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12.09.2026  |  6 Studien  |  healthliteracy.m-vf.de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Kulturell verankerte Schulungsmaterialien für schwangere Diabetikerinnen in Brasilien</w:t>
      </w:r>
    </w:p>
    <w:p>
      <w:r>
        <w:rPr>
          <w:i/>
          <w:color w:val="666666"/>
          <w:sz w:val="18"/>
        </w:rPr>
        <w:t>Gurgel FÉSL et al.  ·  PLoS One  ·  11.09.2026  ·  PMID 42726707</w:t>
      </w:r>
    </w:p>
    <w:p>
      <w:r>
        <w:t>Entwicklung und Inhaltsvalidierung eines ‚Cordel' (traditionelle brasilianische Reimform) als Entlassungsanleitung für schwangere Frauen mit Gestationsdiabetes in zwei Tertiär-Kliniken Fortalezas.</w:t>
      </w:r>
    </w:p>
    <w:p>
      <w:r>
        <w:rPr>
          <w:b/>
        </w:rPr>
        <w:t xml:space="preserve">Ergebnis: </w:t>
      </w:r>
      <w:r>
        <w:t>Alle Items mit Stichprobe (n=22 schwangere Frauen mit Diabetes) erreichten Content-Validity-Index von 1,00; Gesamt-CVI 1,00. Expert:innen-Bewertung (n=40): CVI 0,95-1,00, Gesamt-CVI 0,99. Hohe interne Konsistenz bei Expert:innen (α=0,96). Kulturelle Passung und Verständlichkeit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Brasilien: Zeigt Prinzip der kulturellen Anpassung, Übertragung auf Deutschland müsste lokale Verständigungsformen nutzen.</w:t>
      </w:r>
    </w:p>
    <w:p>
      <w:r>
        <w:rPr>
          <w:color w:val="5A7D3A"/>
          <w:sz w:val="18"/>
        </w:rPr>
        <w:t>https://pubmed.ncbi.nlm.nih.gov/42726707/</w:t>
      </w:r>
    </w:p>
    <w:p>
      <w:pPr>
        <w:pStyle w:val="Heading2"/>
      </w:pPr>
      <w:r>
        <w:t>Wie Hausärzte Herzerkrankungsrisiko bei Diabetespatienten kommunizieren</w:t>
      </w:r>
    </w:p>
    <w:p>
      <w:r>
        <w:rPr>
          <w:i/>
          <w:color w:val="666666"/>
          <w:sz w:val="18"/>
        </w:rPr>
        <w:t>Stenlund AL et al.  ·  Nurs Open  ·  Sept. 2026  ·  PMID 42723130</w:t>
      </w:r>
    </w:p>
    <w:p>
      <w:r>
        <w:t>Qualitative Studie mit 14 Primärversorgern in Schweden zur Frage, wie sie kardiovaskuläres Risiko bei Typ-2-Diabetes verständlich darstellen und mit Unsicherheit umgehen.</w:t>
      </w:r>
    </w:p>
    <w:p>
      <w:r>
        <w:rPr>
          <w:b/>
        </w:rPr>
        <w:t xml:space="preserve">Ergebnis: </w:t>
      </w:r>
      <w:r>
        <w:t>Kernfinding: Profis erleben erhebliche Unsicherheit bei der individuellen Risikobewertung und Schwierigkeiten, Risiko pädagogisch vermittelbar zu machen. Diabetesfachpflegen berichten Isolation und fehlende ärztliche Unterstützung. Alle wünschen sich bessere Teamorganisation und mehr Ressourcen.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(vergleichbares Hausarztsystem), Erkenntnisse zur Kommunikationsbarriere gelten übergreifend.</w:t>
      </w:r>
    </w:p>
    <w:p>
      <w:r>
        <w:rPr>
          <w:color w:val="5A7D3A"/>
          <w:sz w:val="18"/>
        </w:rPr>
        <w:t>https://pubmed.ncbi.nlm.nih.gov/42723130/</w:t>
      </w:r>
    </w:p>
    <w:p>
      <w:pPr>
        <w:pStyle w:val="Heading2"/>
      </w:pPr>
      <w:r>
        <w:t>Entscheidungshilfe Brustkrebs-Op mit Lebensqualitätsdaten senkt Unsicherheit</w:t>
      </w:r>
    </w:p>
    <w:p>
      <w:r>
        <w:rPr>
          <w:i/>
          <w:color w:val="666666"/>
          <w:sz w:val="18"/>
        </w:rPr>
        <w:t>Adams M et al.  ·  Support Care Cancer  ·  10.09.2026  ·  PMID 42722882</w:t>
      </w:r>
    </w:p>
    <w:p>
      <w:r>
        <w:t>Entwicklung und Testung der IDECIDE-Entscheidungshilfe für Brustkrebs-Patienten, die Daten zur langfristigen Lebensqualität nach Operation direkt einbindet und beide Optionen vergleichbar macht.</w:t>
      </w:r>
    </w:p>
    <w:p>
      <w:r>
        <w:rPr>
          <w:b/>
        </w:rPr>
        <w:t xml:space="preserve">Ergebnis: </w:t>
      </w:r>
      <w:r>
        <w:t>Patienten bewerteten Verständlichkeit mit 98,7 %, Handlbarkeit 92,0 %. Ärzte Verständlichkeit 100 %, Handlbarkeit 95,2 %. IPDAS-Kriterium-Erfüllung 92,4 %. Beide Gruppen bescheinigten Ausgewogenheit, klare visuelle Gestaltung und Relevanz der QoL-Integration.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(Colorado), Designprinzipien der Shared Decision-Making-Hilfe sind sprachunabhängig; Systemtransfer erfordert lokale QoL-Daten.</w:t>
      </w:r>
    </w:p>
    <w:p>
      <w:r>
        <w:rPr>
          <w:color w:val="5A7D3A"/>
          <w:sz w:val="18"/>
        </w:rPr>
        <w:t>https://pubmed.ncbi.nlm.nih.gov/42722882/</w:t>
      </w:r>
    </w:p>
    <w:p>
      <w:pPr>
        <w:pStyle w:val="Heading2"/>
      </w:pPr>
      <w:r>
        <w:t>Multimodale Schulung hebt Nasenspül-Adhärenz von 11 % auf 75 %</w:t>
      </w:r>
    </w:p>
    <w:p>
      <w:r>
        <w:rPr>
          <w:i/>
          <w:color w:val="666666"/>
          <w:sz w:val="18"/>
        </w:rPr>
        <w:t>Li LJ et al.  ·  Sci Rep  ·  02.09.2026  ·  PMID 42722715</w:t>
      </w:r>
    </w:p>
    <w:p>
      <w:r>
        <w:t>Qualitätsverbesserungsstudie in Taiwan: Zweiphasige Intervention mit Schulungsmaterialien, Videos und Beratung plus optimiertem Gerät zur Steigerung der Patientenadhärenz beim täglichen Spülen bei chronischer Rhinitis.</w:t>
      </w:r>
    </w:p>
    <w:p>
      <w:r>
        <w:rPr>
          <w:b/>
        </w:rPr>
        <w:t xml:space="preserve">Ergebnis: </w:t>
      </w:r>
      <w:r>
        <w:t>Nasenspül-Adhärenz stieg von Baseline 11,2 % → erste Phase 45,2 % (p&lt;0,001) → zweite Phase 75,0 % (p=0,013). Wissenstest verbesserte sich von 51 % auf 93,8 %. Patientenzufriedenheit deutlich erhöht. Systemisches Design überwand das Problem.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Taiwan: Zeigt aber, dass strukturierte Patientenzentrierung mit aufeinanderbauenden Barrieren-Lösungen universal wirkt.</w:t>
      </w:r>
    </w:p>
    <w:p>
      <w:r>
        <w:rPr>
          <w:color w:val="5A7D3A"/>
          <w:sz w:val="18"/>
        </w:rPr>
        <w:t>https://pubmed.ncbi.nlm.nih.gov/42722715/</w:t>
      </w:r>
    </w:p>
    <w:p>
      <w:pPr>
        <w:pStyle w:val="Heading2"/>
      </w:pPr>
      <w:r>
        <w:t>Welche Beteiligungsformen der Patienten beim Upscaling wirken: Konsensus</w:t>
      </w:r>
    </w:p>
    <w:p>
      <w:r>
        <w:rPr>
          <w:i/>
          <w:color w:val="666666"/>
          <w:sz w:val="18"/>
        </w:rPr>
        <w:t>de Carvalho Corôa R et al.  ·  Health Expect  ·  Okt. 2026  ·  PMID 42717624</w:t>
      </w:r>
    </w:p>
    <w:p>
      <w:r>
        <w:t>Delphi-inspirierte Konsensstudie mit Patienten, Fachkräften und Politikern zu Strategien, wie Patienten und Öffentlichkeit beim Scaling von Gesundheitsinterventionen sinnvoll beteiligt werden.</w:t>
      </w:r>
    </w:p>
    <w:p>
      <w:r>
        <w:rPr>
          <w:b/>
        </w:rPr>
        <w:t xml:space="preserve">Ergebnis: </w:t>
      </w:r>
      <w:r>
        <w:t>23 PPI-Strategien validiert. 19 erreichten Konsens in mind. einem der vier Kriterien (Equity, Comprehensiveness, Adaptability, Significance). Höchste Gesamtscores: Co-Leadership in Qualitätsverbesserung (88,3 %), Co-Leadership Politikgestaltung (87,3 %), Nutzerbedarf-Assess (87,3 %). Priorisierte Strategien unterscheiden sich von Literaturtrends.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aber durch breite internationale Beteiligung und Fokus auf Strukturen eher universell anwendbar.</w:t>
      </w:r>
    </w:p>
    <w:p>
      <w:r>
        <w:rPr>
          <w:color w:val="5A7D3A"/>
          <w:sz w:val="18"/>
        </w:rPr>
        <w:t>https://pubmed.ncbi.nlm.nih.gov/42717624/</w:t>
      </w:r>
    </w:p>
    <w:p>
      <w:pPr>
        <w:pStyle w:val="Heading2"/>
      </w:pPr>
      <w:r>
        <w:t>Wo Patienten Urologie-Infos suchen und wie gut diese Quellen sind</w:t>
      </w:r>
    </w:p>
    <w:p>
      <w:r>
        <w:rPr>
          <w:i/>
          <w:color w:val="666666"/>
          <w:sz w:val="18"/>
        </w:rPr>
        <w:t>Max T et al.  ·  Andrology  ·  22.06.2026  ·  PMID 42333634</w:t>
      </w:r>
    </w:p>
    <w:p>
      <w:r>
        <w:t>Deutsche Befragung (283 Urologen-Patienten) zu Online-Rechercheverhalten kombiniert mit Qualitätsbewertung (DISCERN, Flesch-Index) von Websites und LLMs.</w:t>
      </w:r>
    </w:p>
    <w:p>
      <w:r>
        <w:rPr>
          <w:b/>
        </w:rPr>
        <w:t xml:space="preserve">Ergebnis: </w:t>
      </w:r>
      <w:r>
        <w:t>67 % suchen vorab online, junge Patienten (&lt;50 J.) zu 60 %. Bevorzugt: Fachverbands-Webseiten und Wikipedia; 30 % nutzen kommerzielle Seiten. Websites und LLMs: ausreichend informativ, aber schlecht verständlich (Lesbarkeit unzureichend). Ärzt:innen-Patient:innen-Gespräche bleiben zentral.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Kliniken, direkt übertragbar auf deutsches Informationsumfeld.</w:t>
      </w:r>
    </w:p>
    <w:p>
      <w:r>
        <w:rPr>
          <w:color w:val="5A7D3A"/>
          <w:sz w:val="18"/>
        </w:rPr>
        <w:t>https://pubmed.ncbi.nlm.nih.gov/42333634/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