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</w:t>
      </w:r>
    </w:p>
    <w:p>
      <w:r>
        <w:rPr>
          <w:i/>
          <w:color w:val="666666"/>
          <w:sz w:val="18"/>
        </w:rPr>
        <w:t>Stand: 11.10.2026  |  6 Studien  |  healthliteracy.m-vf.de</w:t>
      </w:r>
    </w:p>
    <w:p>
      <w:pPr>
        <w:pStyle w:val="Heading1"/>
      </w:pPr>
      <w:r>
        <w:t>Aufgenommen am 11.10.2026</w:t>
      </w:r>
    </w:p>
    <w:p>
      <w:pPr>
        <w:pStyle w:val="Heading2"/>
      </w:pPr>
      <w:r>
        <w:t>Digital-gestützte Verhaltenstherapie gegen Schmerz bei Sichelzellerkrankung: Bedeutung der menschlichen Unterstützung</w:t>
      </w:r>
    </w:p>
    <w:p>
      <w:r>
        <w:rPr>
          <w:i/>
          <w:color w:val="666666"/>
          <w:sz w:val="18"/>
        </w:rPr>
        <w:t>Oluwole OB et al.  ·  Ann Behav Med  ·  07.01.2026  ·  PMID 42847392</w:t>
      </w:r>
    </w:p>
    <w:p>
      <w:r>
        <w:t>Randomisierte 12-Monats-Studie mit 359 Erwachsenen zu digitaler kognitiver Verhaltenstherapie versus Edukation für chronische Schmerzen bei Sichelzellerkrankung, beide mit wöchentlicher Health-Coach-Begleitung.</w:t>
      </w:r>
    </w:p>
    <w:p>
      <w:r>
        <w:rPr>
          <w:b/>
        </w:rPr>
        <w:t xml:space="preserve">Ergebnis: </w:t>
      </w:r>
      <w:r>
        <w:t>Nach 12 Monaten: 56,5% Follow-up-Quote (n=203). Keine signifikanten Unterschiede in Schmerzinterferenz zwischen Gruppen [0,43, 95%-KI: -1,61 bis 2,48; p=0,68]. Beide Gruppen zeigten anhaltende Verbesserung von Baseline (CBT: -1,50; Edukation: -1,93). CBT-Gruppe: größere Verbesserung in emotionaler Belastung [2,00, 95%-KI: 0,12-3,88; p=0,04]. Höheres Health-Coach-Engagement assoziiert mit reduzierter Schmerzinterferenz [-0,073 pro 10% Engagement-Anstieg; p&lt;0,01].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Wirkung menschlicher Begleitung in digitalen Interventionen universal.</w:t>
      </w:r>
    </w:p>
    <w:p>
      <w:r>
        <w:rPr>
          <w:color w:val="5A7D3A"/>
          <w:sz w:val="18"/>
        </w:rPr>
        <w:t>https://pubmed.ncbi.nlm.nih.gov/42847392/</w:t>
      </w:r>
    </w:p>
    <w:p>
      <w:pPr>
        <w:pStyle w:val="Heading2"/>
      </w:pPr>
      <w:r>
        <w:t>Pflegende und organisationale Health Literacy: Wie Kliniken Information zugänglich machen</w:t>
      </w:r>
    </w:p>
    <w:p>
      <w:r>
        <w:rPr>
          <w:i/>
          <w:color w:val="666666"/>
          <w:sz w:val="18"/>
        </w:rPr>
        <w:t>Smith GD et al.  ·  Front Public Health  ·  23.09.2026  ·  PMID 42846350</w:t>
      </w:r>
    </w:p>
    <w:p>
      <w:r>
        <w:t>Konzeptuelle Analyse mit fokussierter Mini-Literaturübersicht zu Rolle von Pflegenden bei organisationaler Health Literacy in Kliniken und Praxen.</w:t>
      </w:r>
    </w:p>
    <w:p>
      <w:r>
        <w:rPr>
          <w:b/>
        </w:rPr>
        <w:t xml:space="preserve">Ergebnis: </w:t>
      </w:r>
      <w:r>
        <w:t>Organisationale Health Literacy (statt Individual-Ebene) adressiert, wie Organisationen Information, Services und Care Pathways zugänglich und verständlich machen. Pflegende leisten Beitrag durch: klare Kommunikation, Care Navigation, Shared Decision-Making, Co-Design von Informationsmaterialien, Qualitätsverbesserung, HL-sensitive Systeme. Mapping von Nutbeams HL-Ebenen (funktional, interaktiv, kritisch) auf Organisationsverantwortung gezeigt. Erforderlich: Führungsunterstützung, Personalentwicklung, Assessments, Partnerschaften mit Patienten, Integration in Qualitäts- und Akkreditierungsstrukturen.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 konzeptuell; Organisationsprinzipien auf deutsches Klinik- und Praxissystem übertragbar.</w:t>
      </w:r>
    </w:p>
    <w:p>
      <w:r>
        <w:rPr>
          <w:color w:val="5A7D3A"/>
          <w:sz w:val="18"/>
        </w:rPr>
        <w:t>https://pubmed.ncbi.nlm.nih.gov/42846350/</w:t>
      </w:r>
    </w:p>
    <w:p>
      <w:pPr>
        <w:pStyle w:val="Heading2"/>
      </w:pPr>
      <w:r>
        <w:t>Familie und soziale Unterstützung fördern Health Literacy bei chronischer Erkrankung</w:t>
      </w:r>
    </w:p>
    <w:p>
      <w:r>
        <w:rPr>
          <w:i/>
          <w:color w:val="666666"/>
          <w:sz w:val="18"/>
        </w:rPr>
        <w:t>Zhang H et al.  ·  Front Public Health  ·  23.09.2026  ·  PMID 42845865</w:t>
      </w:r>
    </w:p>
    <w:p>
      <w:r>
        <w:t>Querschnittsstudie mit 1.444 chinesischen Personen mittleren und höheren Alters mit chronischer Erkrankung zu Zusammenhang von Familiengesundheit, wahrgenommener sozialer Unterstützung und Health Literacy mittels Mediations- und Netzwerkanalyse.</w:t>
      </w:r>
    </w:p>
    <w:p>
      <w:r>
        <w:rPr>
          <w:b/>
        </w:rPr>
        <w:t xml:space="preserve">Ergebnis: </w:t>
      </w:r>
      <w:r>
        <w:t>Familie, soziale Unterstützung und Health Literacy signifikant positiv korreliert (p&lt;0,01). Soziale Unterstützung teilweise Mediator im Zusammenhang Familie-Literacy (indirekter Effekt=0,1818, 95%-KI: 0,1331-0,2307), erklärt 47,38% der Gesamtwirkung. "Family Social and Emotional Health Processes" höchster Zentralitätswert im Netzwerk. Struktur unterschied sich nicht zwischen Geschlecht, urban-rural oder Altersgruppen.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Mechanismus familiärer und sozialer Schutzfaktoren für Gesundheitskompetenz auch in Deutschland relevant.</w:t>
      </w:r>
    </w:p>
    <w:p>
      <w:r>
        <w:rPr>
          <w:color w:val="5A7D3A"/>
          <w:sz w:val="18"/>
        </w:rPr>
        <w:t>https://pubmed.ncbi.nlm.nih.gov/42845865/</w:t>
      </w:r>
    </w:p>
    <w:p>
      <w:pPr>
        <w:pStyle w:val="Heading2"/>
      </w:pPr>
      <w:r>
        <w:t>Digital Health Literacy verstärkt Wirkung von Sportumgebung auf Bewegungsaktivität von Jugendlichen</w:t>
      </w:r>
    </w:p>
    <w:p>
      <w:r>
        <w:rPr>
          <w:i/>
          <w:color w:val="666666"/>
          <w:sz w:val="18"/>
        </w:rPr>
        <w:t>Zhang B  ·  Front Public Health  ·  23.09.2026  ·  PMID 42845756</w:t>
      </w:r>
    </w:p>
    <w:p>
      <w:r>
        <w:t>Querschnittstudie mit 2.531 chinesischen Jugendlichen (Durchschnitt 15,2 Jahre) zu Moderationseffekt von digitaler Health Literacy auf Zusammenhang zwischen Schulsportumgebung und körperliche Aktivität (SEM mit latenter Interaktion).</w:t>
      </w:r>
    </w:p>
    <w:p>
      <w:r>
        <w:rPr>
          <w:b/>
        </w:rPr>
        <w:t xml:space="preserve">Ergebnis: </w:t>
      </w:r>
      <w:r>
        <w:t>Schulsportumgebung positiv mit Aktivität assoziiert (β=0,34, p&lt;0,001). Digitale Health Literacy moderierte signifikant (Interaktion β=0,12, p=0,003): Umgebung-Aktivitäts-Pfad stärker bei höherer DHL. Effekt in Stadtschulen (β=0,38) stärker als Landschulen (β=0,29; z=2,87, p=0,004). Moderation signifikant in Urban (β=0,14, p=0,008), nicht in Rural (β=0,07, p=0,14). Digitale Ungleichheiten können zu Bewegungsungleichheiten beitragen.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Stadt-Land-Disparität und Moderationseffekt digital-sozialer Faktoren auch auf Deutschland übertragbar.</w:t>
      </w:r>
    </w:p>
    <w:p>
      <w:r>
        <w:rPr>
          <w:color w:val="5A7D3A"/>
          <w:sz w:val="18"/>
        </w:rPr>
        <w:t>https://pubmed.ncbi.nlm.nih.gov/42845756/</w:t>
      </w:r>
    </w:p>
    <w:p>
      <w:pPr>
        <w:pStyle w:val="Heading2"/>
      </w:pPr>
      <w:r>
        <w:t>Selbstmanagement bei Nierenerkrankung: Was Fachpersonal über Unterstützung weiß</w:t>
      </w:r>
    </w:p>
    <w:p>
      <w:r>
        <w:rPr>
          <w:i/>
          <w:color w:val="666666"/>
          <w:sz w:val="18"/>
        </w:rPr>
        <w:t>Patel NA et al.  ·  J Nephrol  ·  10.10.2026  ·  PMID 42598916</w:t>
      </w:r>
    </w:p>
    <w:p>
      <w:r>
        <w:t>Qualitative Studie mit 42 britischen Fachpersonen zur Unterstützung von Selbstmanagement bei chronischer Nierenerkrankung.</w:t>
      </w:r>
    </w:p>
    <w:p>
      <w:r>
        <w:rPr>
          <w:b/>
        </w:rPr>
        <w:t xml:space="preserve">Ergebnis: </w:t>
      </w:r>
      <w:r>
        <w:t>Vier Themenbereiche identifiziert: (1) Gesundheitssystem unterstützt Selbstmanagement nicht ausreichend, (2) Bedarf für individualisierte Ansätze, (3) Verbesserung von Ressourcen nötig, (4) Anforderungen für Gesundheitsgerechtigkeit. Fachpersonal berichtet mangelnde, zugängliche Selbstmanagement-Ressourcen und fordert evidenzbasierte, auf individuelle Bedürfnisse zugeschnittene Interventionen.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UK-NHS-Kontext, aber identifizierte Systemprobleme in anderen Ländern ähnlich relevant.</w:t>
      </w:r>
    </w:p>
    <w:p>
      <w:r>
        <w:rPr>
          <w:color w:val="5A7D3A"/>
          <w:sz w:val="18"/>
        </w:rPr>
        <w:t>https://pubmed.ncbi.nlm.nih.gov/42598916/</w:t>
      </w:r>
    </w:p>
    <w:p>
      <w:pPr>
        <w:pStyle w:val="Heading2"/>
      </w:pPr>
      <w:r>
        <w:t>Digital Health Literacy bei Nierenerkrankung: Probleme bei der Nutzung digitaler Gesundheitsinformation</w:t>
      </w:r>
    </w:p>
    <w:p>
      <w:r>
        <w:rPr>
          <w:i/>
          <w:color w:val="666666"/>
          <w:sz w:val="18"/>
        </w:rPr>
        <w:t>Totaro M et al.  ·  J Nephrol  ·  10.10.2026  ·  PMID 42583872</w:t>
      </w:r>
    </w:p>
    <w:p>
      <w:r>
        <w:t>Querschnittsstudie mit 323 italienischen Patienten zur digitalen Gesundheitskompetenz (HLS19-DIGI-Tool) bei chronischer Nierenerkrankung.</w:t>
      </w:r>
    </w:p>
    <w:p>
      <w:r>
        <w:rPr>
          <w:b/>
        </w:rPr>
        <w:t xml:space="preserve">Ergebnis: </w:t>
      </w:r>
      <w:r>
        <w:t>"Problematische" Level beim Umgang mit digitalen Gesundheitsinformationen, "ausreichende" Level bei Interaktion mit digitalen Ressourcen gefunden. Älter, geringere Bildung und Arbeitslosigkeit (Rentner) = schlechtere Fähigkeiten; bessere Kompetenz bei höherem Einkommen, digitaler Schulung und regelmäßiger Geräte-Nutzung (1-3 Tage/Woche). Gezielte Interventionen zur Förderung digitaler Health Literacy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Italienisches Versicherungssystem, aber Ungleichheitsprofile und digitale Barrieren auch auf Deutschland übertragbar.</w:t>
      </w:r>
    </w:p>
    <w:p>
      <w:r>
        <w:rPr>
          <w:color w:val="5A7D3A"/>
          <w:sz w:val="18"/>
        </w:rPr>
        <w:t>https://pubmed.ncbi.nlm.nih.gov/42583872/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</dc:title>
  <dc:subject/>
  <dc:creator>Monitor Versorgungsforschung</dc:creator>
  <cp:keywords/>
  <dc:description>generated by python-docx</dc:description>
  <cp:lastModifiedBy/>
  <cp:revision>1</cp:revision>
  <dcterms:created xsi:type="dcterms:W3CDTF">2026-10-11T06:00:00Z</dcterms:created>
  <dcterms:modified xsi:type="dcterms:W3CDTF">2026-10-11T06:00:00Z</dcterms:modified>
  <cp:category/>
</cp:coreProperties>
</file>