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Gesundheitskompetenz und Health Literacy</w:t>
      </w:r>
    </w:p>
    <w:p>
      <w:r>
        <w:rPr>
          <w:i/>
          <w:color w:val="666666"/>
          <w:sz w:val="18"/>
        </w:rPr>
        <w:t>Stand: 16.09.2026  |  6 Studien  |  healthliteracy.m-vf.de</w:t>
      </w:r>
    </w:p>
    <w:p>
      <w:pPr>
        <w:pStyle w:val="Heading1"/>
      </w:pPr>
      <w:r>
        <w:t>Aufgenommen am 16.09.2026</w:t>
      </w:r>
    </w:p>
    <w:p>
      <w:pPr>
        <w:pStyle w:val="Heading2"/>
      </w:pPr>
      <w:r>
        <w:t>Strukturierte Schulung zu Symptommustern verbessert Selbstmanagement prämenstrueller Syndrome</w:t>
      </w:r>
    </w:p>
    <w:p>
      <w:r>
        <w:rPr>
          <w:i/>
          <w:color w:val="666666"/>
          <w:sz w:val="18"/>
        </w:rPr>
        <w:t>Demirhan Kayacik A et al.  ·  Arch Womens Ment Health  ·  15.09.2026  ·  PMID 42742795</w:t>
      </w:r>
    </w:p>
    <w:p>
      <w:r>
        <w:t>Randomisierte kontrollierte Studie mit 101 Frauen mit Prämenstruellem Syndrom: Interventionsgruppe erhielt strukturierte Schulung basierend auf Symptomkarte mit evidenzgestützten Selbstpflegemaßnahmen.</w:t>
      </w:r>
    </w:p>
    <w:p>
      <w:r>
        <w:rPr>
          <w:b/>
        </w:rPr>
        <w:t xml:space="preserve">Ergebnis: </w:t>
      </w:r>
      <w:r>
        <w:t>Interventionsgruppe vs. Kontrolle: signifikant niedrigere Schmerzen (adj. Mittel 4,21 vs. 6,81, p &lt; 0,001) und Stress (8,54 vs. 12,03, p &lt; 0,001) bei Nachuntersuchung. Intervention besonders wirksam für Teilnehmerinnen mit höherer Baseline-Symptombelastung. Verbesserungen in prämenstrueller Lebenszufriedenheit, Reduktion depressiver Symptome trug dazu bei.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Türkei, Schulungsansatz sprach- und settingübergreifend anwendbar</w:t>
      </w:r>
    </w:p>
    <w:p>
      <w:r>
        <w:rPr>
          <w:color w:val="5A7D3A"/>
          <w:sz w:val="18"/>
        </w:rPr>
        <w:t>https://pubmed.ncbi.nlm.nih.gov/42742795/</w:t>
      </w:r>
    </w:p>
    <w:p>
      <w:pPr>
        <w:pStyle w:val="Heading2"/>
      </w:pPr>
      <w:r>
        <w:t>Digitale Kompetenz und Gesundheitskompetenz bei älteren Lernenden: Korrelationen und Assoziation</w:t>
      </w:r>
    </w:p>
    <w:p>
      <w:r>
        <w:rPr>
          <w:i/>
          <w:color w:val="666666"/>
          <w:sz w:val="18"/>
        </w:rPr>
        <w:t>Shen X et al.  ·  Front Public Health  ·  31.08.2026  ·  PMID 42741101</w:t>
      </w:r>
    </w:p>
    <w:p>
      <w:r>
        <w:t>Querschnittstudie mit 558 älteren Teilnehmerinnen und Teilnehmern in Shanghaier Universitäten der Dritten Lebensalter zu Beziehungen zwischen digitaler Kompetenz (DigComp 2.2) und Dimensionen der Gesundheitskompetenz (HLQ).</w:t>
      </w:r>
    </w:p>
    <w:p>
      <w:r>
        <w:rPr>
          <w:b/>
        </w:rPr>
        <w:t xml:space="preserve">Ergebnis: </w:t>
      </w:r>
      <w:r>
        <w:t>Mittlere digitale Kompetenz 63,4 (SD 12,4). Alle DigComp-Bereiche korreliert positiv mit Health-Literacy-Skalen (r = 0,285–0,538). Nach Adjustment stärker assoziiert: Information-und-Datenkompetenz mit Bewertung von Gesundheitsinformation (B = 0,16, p &lt; 0,001), Navigieren im Gesundheitssystem (B = 0,21, p &lt; 0,001), Finden guter Informationen (B = 0,24, p &lt; 0,001) und Verstehen (B = 0,19, p &lt; 0,001).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China, Ergebnisse zur Kompetenzförderung kulturübergreifend relevant</w:t>
      </w:r>
    </w:p>
    <w:p>
      <w:r>
        <w:rPr>
          <w:color w:val="5A7D3A"/>
          <w:sz w:val="18"/>
        </w:rPr>
        <w:t>https://pubmed.ncbi.nlm.nih.gov/42741101/</w:t>
      </w:r>
    </w:p>
    <w:p>
      <w:pPr>
        <w:pStyle w:val="Heading2"/>
      </w:pPr>
      <w:r>
        <w:t>Gesundheitskompetenz in früher Kindheit: Determinanten bei marginalisierten ethnischen Gemeinschaften in Thailand</w:t>
      </w:r>
    </w:p>
    <w:p>
      <w:r>
        <w:rPr>
          <w:i/>
          <w:color w:val="666666"/>
          <w:sz w:val="18"/>
        </w:rPr>
        <w:t>Wutthipan N et al.  ·  Int J Equity Health  ·  21.08.2026  ·  PMID 42736561</w:t>
      </w:r>
    </w:p>
    <w:p>
      <w:r>
        <w:t>Querschnittstudie mit 380 primären Pflegepersonen aus marginalisierten ethnischen Minderheitsgemeinschaften in drei Grenzprovinzen Thailands zu Ebenen und Determinanten der Gesundheitskompetenz.</w:t>
      </w:r>
    </w:p>
    <w:p>
      <w:r>
        <w:rPr>
          <w:b/>
        </w:rPr>
        <w:t xml:space="preserve">Ergebnis: </w:t>
      </w:r>
      <w:r>
        <w:t>Gesamtkomponierte Gesundheitskompetenz moderat (135,04/199 = 67,9 %); niedrig im interaktiven Bereich (Kommunikation von Bedarfen). Stark prädiktiv: Krankenpflege-geführte Beratung (B = 9,318, p = 0,027), Information von Provinzhospitälern (B = 9,013, p = 0,030), frühen Entwicklungszentren (B = 7,531, p = 0,032), wahrgenommene finanzielle Angemessenheit (B = 3,470, p = 0,013), Schulbildung (B = 3,064, p = 0,007) und Parität (Erstgebärende vulnerabel, B = 3,252, p = 0,006).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Thailand, Befunde zu institutionalisierten Face-to-Face-Interventionen für vulnerable Gruppen relevant</w:t>
      </w:r>
    </w:p>
    <w:p>
      <w:r>
        <w:rPr>
          <w:color w:val="5A7D3A"/>
          <w:sz w:val="18"/>
        </w:rPr>
        <w:t>https://pubmed.ncbi.nlm.nih.gov/42736561/</w:t>
      </w:r>
    </w:p>
    <w:p>
      <w:pPr>
        <w:pStyle w:val="Heading2"/>
      </w:pPr>
      <w:r>
        <w:t>Patienten in Technologiebewertung einbeziehen: Implementierung eines Evaluationsprotokolls</w:t>
      </w:r>
    </w:p>
    <w:p>
      <w:r>
        <w:rPr>
          <w:i/>
          <w:color w:val="666666"/>
          <w:sz w:val="18"/>
        </w:rPr>
        <w:t>Reviriego-Rodrigo E et al.  ·  Int J Technol Assess Health Care  ·  29.07.2026  ·  PMID 42521662</w:t>
      </w:r>
    </w:p>
    <w:p>
      <w:r>
        <w:t>Protokoll für kontinuierliche Überwachung der Patientenbeteiligung in Health-Technology-Assessment der spanischen HTA-Netzwerk (RedETS).</w:t>
      </w:r>
    </w:p>
    <w:p>
      <w:r>
        <w:rPr>
          <w:b/>
        </w:rPr>
        <w:t xml:space="preserve">Ergebnis: </w:t>
      </w:r>
      <w:r>
        <w:t>41 % der 49 HTA-Berichte schlossen Patienten ein (hauptsächlich durch Protokollreview, Validierung, Konsultationen). 59 % hatten keine Beteiligung; 21 % davon versuchten Rekrutierung, scheiterten aber. Beteiligung umfasste oft nur einen Patienten und kleine Anteile der Bewertungszeit. Patienten schätzten Mitarbeit, nannten aber unklare Erwartungen, Fachsprache und fehlende Rückmeldung als Hürden.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Spanien, vergleichbare Sozialversicherung und Patientenrechte wie Deutschland</w:t>
      </w:r>
    </w:p>
    <w:p>
      <w:r>
        <w:rPr>
          <w:color w:val="5A7D3A"/>
          <w:sz w:val="18"/>
        </w:rPr>
        <w:t>https://pubmed.ncbi.nlm.nih.gov/42521662/</w:t>
      </w:r>
    </w:p>
    <w:p>
      <w:pPr>
        <w:pStyle w:val="Heading2"/>
      </w:pPr>
      <w:r>
        <w:t>Verständliche Gesundheitsinformationen in der Hausarztpraxis: Nutzung und Bedarf in Österreich</w:t>
      </w:r>
    </w:p>
    <w:p>
      <w:r>
        <w:rPr>
          <w:i/>
          <w:color w:val="666666"/>
          <w:sz w:val="18"/>
        </w:rPr>
        <w:t>Plotho L et al.  ·  Z Evid Fortbild Qual Gesundhwes  ·  08.07.2026  ·  PMID 42420105</w:t>
      </w:r>
    </w:p>
    <w:p>
      <w:r>
        <w:t>Querschnittserhebung unter 891 österreichischen Hausärztinnen und Hausärzten zur Nutzung, Themenauswahl und Quellen von Informationsblättern in der Praxis.</w:t>
      </w:r>
    </w:p>
    <w:p>
      <w:r>
        <w:rPr>
          <w:b/>
        </w:rPr>
        <w:t xml:space="preserve">Ergebnis: </w:t>
      </w:r>
      <w:r>
        <w:t>41,3 % der Befragten nutzen Gesundheitsinformationsblätter; 35,7 % setzen ausschließlich selbst erstellte Materialien ein. Der Bedarf ist deutlich: 54,1 % bevorzugen Papierformat, 29,2 % ein Mix aus Papier und Digital. Größter Informationsbedarf zu Endokrinologie, Ernährung und Infektionskrankheiten.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Österreich, vergleichbares Arztpraxissystem wie Deutschland</w:t>
      </w:r>
    </w:p>
    <w:p>
      <w:r>
        <w:rPr>
          <w:color w:val="5A7D3A"/>
          <w:sz w:val="18"/>
        </w:rPr>
        <w:t>https://pubmed.ncbi.nlm.nih.gov/42420105/</w:t>
      </w:r>
    </w:p>
    <w:p>
      <w:pPr>
        <w:pStyle w:val="Heading2"/>
      </w:pPr>
      <w:r>
        <w:t>Verkürzte Bildung und Übungen verbessern gluteale Tendinopathie: Machbarkeitsstudie in Irland</w:t>
      </w:r>
    </w:p>
    <w:p>
      <w:r>
        <w:rPr>
          <w:i/>
          <w:color w:val="666666"/>
          <w:sz w:val="18"/>
        </w:rPr>
        <w:t>French HP et al.  ·  Musculoskelet Sci Pract  ·  26.06.2026  ·  PMID 42372389</w:t>
      </w:r>
    </w:p>
    <w:p>
      <w:r>
        <w:t>Machbarkeitsstudie mit 65 Teilnehmern (89 % Frauen, Alter 53,1 ± 9,3 Jahre) zu Machbarkeit einer auf 6 Sitzungen verkürzten Intervention (EDX-Ireland) mit Schulung, Abduktor-Stärkung und funktionalem Training über 8 Wochen versus Standardbehandlung.</w:t>
      </w:r>
    </w:p>
    <w:p>
      <w:r>
        <w:rPr>
          <w:b/>
        </w:rPr>
        <w:t xml:space="preserve">Ergebnis: </w:t>
      </w:r>
      <w:r>
        <w:t>Rekrutierungsquote 55 % (65 von 119 gescreenten); 83 % über soziale Medien/Gemeinschaft rekrutiert, 3 % von Hausärzten, 14 % von Fachambulanz. Behalt 92 % nach 8 Wochen (95% CI 82–97 %, n = 60), 89 % nach 3 Monaten (95% CI 79–96 %, n = 58). Vordefinierte Schwellwerte erreicht. Für zukünftige RCT würden 134 Teilnehmer erforderlich sein.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Irland, vergleichbarer Versorgungsansatz und Sprachkontext wie deutschsprachiger Raum</w:t>
      </w:r>
    </w:p>
    <w:p>
      <w:r>
        <w:rPr>
          <w:color w:val="5A7D3A"/>
          <w:sz w:val="18"/>
        </w:rPr>
        <w:t>https://pubmed.ncbi.nlm.nih.gov/42372389/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Gesundheitskompetenz und Health Literacy</dc:title>
  <dc:subject/>
  <dc:creator>Monitor Versorgungsforschung</dc:creator>
  <cp:keywords/>
  <dc:description>generated by python-docx</dc:description>
  <cp:lastModifiedBy/>
  <cp:revision>1</cp:revision>
  <dcterms:created xsi:type="dcterms:W3CDTF">2026-09-16T06:00:00Z</dcterms:created>
  <dcterms:modified xsi:type="dcterms:W3CDTF">2026-09-16T06:00:00Z</dcterms:modified>
  <cp:category/>
</cp:coreProperties>
</file>