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22.10.2026  |  7 Studien  |  healthliteracy.m-vf.de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Psychische Gesundheitskompetenz bei Studierenden: Wissens- und Wissenslücken</w:t>
      </w:r>
    </w:p>
    <w:p>
      <w:r>
        <w:rPr>
          <w:i/>
          <w:color w:val="666666"/>
          <w:sz w:val="18"/>
        </w:rPr>
        <w:t>Muzungu G et al.  ·  BMC Public Health  ·  25.07.2026  ·  PMID 42902196</w:t>
      </w:r>
    </w:p>
    <w:p>
      <w:r>
        <w:t>Querschnittsstudie an 365 nicht-medizinischen Studierenden an der Universität Makerere, Uganda, zur psychischen Gesundheitskompetenz mit standardisiertem Fragebogen.</w:t>
      </w:r>
    </w:p>
    <w:p>
      <w:r>
        <w:rPr>
          <w:b/>
        </w:rPr>
        <w:t xml:space="preserve">Ergebnis: </w:t>
      </w:r>
      <w:r>
        <w:t>77,3% hatten moderate Kenntnisse zur psychischen Gesundheit, aber nur 12,3% hohe Gesundheitskompetenz; 37,8% positive Wahrnehmungen, 13,7% positive Einstellungen gegenüber Menschen mit psychischen Störungen. Assoziation mit weiblichem Geschlecht (aOR 0,422; p=0,014) und Vorgeschichte psychischer Störungen (aOR 2,485; p=0,012).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Uganda-Setting; Befund zeigt Implementierungslücke bei Curriculumintegration, nicht auf deutsches System übertragbar</w:t>
      </w:r>
    </w:p>
    <w:p>
      <w:r>
        <w:rPr>
          <w:color w:val="5A7D3A"/>
          <w:sz w:val="18"/>
        </w:rPr>
        <w:t>https://pubmed.ncbi.nlm.nih.gov/42902196/</w:t>
      </w:r>
    </w:p>
    <w:p>
      <w:pPr>
        <w:pStyle w:val="Heading2"/>
      </w:pPr>
      <w:r>
        <w:t>Nurses als Gesundheitskompetenz-Lotsen in der KI-gestützten Triage</w:t>
      </w:r>
    </w:p>
    <w:p>
      <w:r>
        <w:rPr>
          <w:i/>
          <w:color w:val="666666"/>
          <w:sz w:val="18"/>
        </w:rPr>
        <w:t>Luo W et al.  ·  Front Public Health  ·  30.09.2026  ·  PMID 42876618</w:t>
      </w:r>
    </w:p>
    <w:p>
      <w:r>
        <w:t>Perspektivarbeit, die die Rolle von Pflegekräften in digitalen Triage-Systemen analysiert und ein Modell zur Vermittlung zwischen Algorithmen und Patientenverständnis entwickelt.</w:t>
      </w:r>
    </w:p>
    <w:p>
      <w:r>
        <w:rPr>
          <w:b/>
        </w:rPr>
        <w:t xml:space="preserve">Ergebnis: </w:t>
      </w:r>
      <w:r>
        <w:t>Vier Funktionen wurden identifiziert: Interpretation (Verständlichkeit von KI-Output), emotionale Kalibrierung, klinische Verifikation von Empfehlungen und Begleitung durch komplexe Versorgungspfade. Das Modell betont, dass Pflegekräfte nicht Validatoren von Maschinenoutput sein sollten, sondern Vermittler, die Sicherheit und Gesundheitsgleichheit wahren.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China-Szenario, prinzipiell systemübergreifend relevant; Pflegerolle in Triagenetzwerken vergleichbar</w:t>
      </w:r>
    </w:p>
    <w:p>
      <w:r>
        <w:rPr>
          <w:color w:val="5A7D3A"/>
          <w:sz w:val="18"/>
        </w:rPr>
        <w:t>https://pubmed.ncbi.nlm.nih.gov/42876618/</w:t>
      </w:r>
    </w:p>
    <w:p>
      <w:pPr>
        <w:pStyle w:val="Heading2"/>
      </w:pPr>
      <w:r>
        <w:t>Psychoedukation in der psychiatrischen Pflege: Wachstum und Forschungslücken</w:t>
      </w:r>
    </w:p>
    <w:p>
      <w:r>
        <w:rPr>
          <w:i/>
          <w:color w:val="666666"/>
          <w:sz w:val="18"/>
        </w:rPr>
        <w:t>Durar E et al.  ·  Arch Psychiatr Nurs  ·  27.07.2026  ·  PMID 42863935</w:t>
      </w:r>
    </w:p>
    <w:p>
      <w:r>
        <w:t>Bibliometrische Analyse von 225 Publikationen (1998–2025) zur Psychoedukation in der psychiatrischen Pflege weltweit.</w:t>
      </w:r>
    </w:p>
    <w:p>
      <w:r>
        <w:rPr>
          <w:b/>
        </w:rPr>
        <w:t xml:space="preserve">Ergebnis: </w:t>
      </w:r>
      <w:r>
        <w:t>Jährliche Wachstumsrate 11%; 743 Autoren, durchschnittlich 12,8 Zitate pro Publikation. USA führt mit 22,2% der Publikationen, gefolgt von Türkei. Hauptfindung: Psychoedukation ist etabliert für Schizophrenie, Depression und bipolare Störung, aber Lücken bestehen bei Angehörigenschulung, Selbstmanagement und Programmen für Kinder/Jugendliche.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Analyse; empirische Programme liegen vor, aber systematische Evaluierung im deutschsprachigen Raum fehlt</w:t>
      </w:r>
    </w:p>
    <w:p>
      <w:r>
        <w:rPr>
          <w:color w:val="5A7D3A"/>
          <w:sz w:val="18"/>
        </w:rPr>
        <w:t>https://pubmed.ncbi.nlm.nih.gov/42863935/</w:t>
      </w:r>
    </w:p>
    <w:p>
      <w:pPr>
        <w:pStyle w:val="Heading2"/>
      </w:pPr>
      <w:r>
        <w:t>Menstruelle Gesundheitskompetenz: Definitionen und Forschungsbedarf</w:t>
      </w:r>
    </w:p>
    <w:p>
      <w:r>
        <w:rPr>
          <w:i/>
          <w:color w:val="666666"/>
          <w:sz w:val="18"/>
        </w:rPr>
        <w:t>Chéileachair FN et al.  ·  Womens Health (Lond)  ·  07.10.2026  ·  PMID 42842352</w:t>
      </w:r>
    </w:p>
    <w:p>
      <w:r>
        <w:t>Kommentarbeitrag, der Inkonsistenzen in Definitionen und Messung von menstrueller Gesundheitskompetenz analysiert und einen konzeptionellen Rahmen entwickelt.</w:t>
      </w:r>
    </w:p>
    <w:p>
      <w:r>
        <w:rPr>
          <w:b/>
        </w:rPr>
        <w:t xml:space="preserve">Ergebnis: </w:t>
      </w:r>
      <w:r>
        <w:t>Zentrale Befunde: Keine Konsensdefinition für menstruelle Gesundheitskompetenz existiert, obwohl viele Studien Verbesserungen fordern; Lücken bestehen von Menarche bis Menopause; breite Stigmatisierung erschwert Kompetenzentwicklung. Empfehlung: Universelle Definition erforderlich, die strukturelle, individuelle und stigma-bezogene Dimensionen verbindet, um Forschung und Praxis zu leiten.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Großbritannien-basiert; Konzept und Definitonslücke international relevant, kulturabhängig bei Stigma-Ebene</w:t>
      </w:r>
    </w:p>
    <w:p>
      <w:r>
        <w:rPr>
          <w:color w:val="5A7D3A"/>
          <w:sz w:val="18"/>
        </w:rPr>
        <w:t>https://pubmed.ncbi.nlm.nih.gov/42842352/</w:t>
      </w:r>
    </w:p>
    <w:p>
      <w:pPr>
        <w:pStyle w:val="Heading2"/>
      </w:pPr>
      <w:r>
        <w:t>Digitale Gesundheitskompetenz reduziert psychische Belastung durch besseren Schlaf</w:t>
      </w:r>
    </w:p>
    <w:p>
      <w:r>
        <w:rPr>
          <w:i/>
          <w:color w:val="666666"/>
          <w:sz w:val="18"/>
        </w:rPr>
        <w:t>Wang Z et al.  ·  Front Public Health  ·  21.09.2026  ·  PMID 42835181</w:t>
      </w:r>
    </w:p>
    <w:p>
      <w:r>
        <w:t>Quasiexperimentelle Studie an 407 Studierenden mit Mediationsmodell: digitale Gesundheitskompetenz → Internetabhängigkeit → Schlafqualität → psychische Gesundheit.</w:t>
      </w:r>
    </w:p>
    <w:p>
      <w:r>
        <w:rPr>
          <w:b/>
        </w:rPr>
        <w:t xml:space="preserve">Ergebnis: </w:t>
      </w:r>
      <w:r>
        <w:t>Positive Beziehung zwischen digitaler Gesundheitskompetenz und psychischer Gesundheit nachgewiesen. Indirekter Gesamteffekt über die Kette 0,6304; Internetabhängigkeit und Schlafqualität waren signifikante Mediatoren. Intervention durch Verbesserung digitaler Kompetenz könnte Schlafqualität und psychische Gesundheit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China-Setting, aber Mechanismus (Mediatorenmodell) systemunabhängig; digitale Kompetenz als Interventionsziel relevant</w:t>
      </w:r>
    </w:p>
    <w:p>
      <w:r>
        <w:rPr>
          <w:color w:val="5A7D3A"/>
          <w:sz w:val="18"/>
        </w:rPr>
        <w:t>https://pubmed.ncbi.nlm.nih.gov/42835181/</w:t>
      </w:r>
    </w:p>
    <w:p>
      <w:pPr>
        <w:pStyle w:val="Heading2"/>
      </w:pPr>
      <w:r>
        <w:t>Digitale Gesundheitskompetenz gegen Desinformation: Curriculare Agenda für Universitäten</w:t>
      </w:r>
    </w:p>
    <w:p>
      <w:r>
        <w:rPr>
          <w:i/>
          <w:color w:val="666666"/>
          <w:sz w:val="18"/>
        </w:rPr>
        <w:t>Hassan AM  ·  Front Public Health  ·  18.09.2026  ·  PMID 42827804</w:t>
      </w:r>
    </w:p>
    <w:p>
      <w:r>
        <w:t>Perspektivarbeit zur Verankerung digitaler Gesundheitskompetenz im höheren Bildungswesen Somalias als institutionelle Verantwortung und individuelle Kompetenz gegen Desinformation und KI-Risiken.</w:t>
      </w:r>
    </w:p>
    <w:p>
      <w:r>
        <w:rPr>
          <w:b/>
        </w:rPr>
        <w:t xml:space="preserve">Ergebnis: </w:t>
      </w:r>
      <w:r>
        <w:t>Implementierungsagenda mit fünf Säulen: kritische Informationsappraisal, Resilienz gegen Desinformation, verantwortungsvoller KI-Einsatz, Datenschutz, sichere Eskalation; unterstützt durch Curriculumintegration, institutionelle Informationspfade, lokal relevante Evaluierung und Kapazitätsaufbau bei Lehrenden. Empfehlung: Jenseits von Selbstbericht-Umfragen zu leistungsgestützten Aufgaben und Interventionsevaluierung übergehen.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Somalia-Kontext schwach übertragbar; aber Rahmen für Curriculum und digitale Äquität prinzipiell relevant</w:t>
      </w:r>
    </w:p>
    <w:p>
      <w:r>
        <w:rPr>
          <w:color w:val="5A7D3A"/>
          <w:sz w:val="18"/>
        </w:rPr>
        <w:t>https://pubmed.ncbi.nlm.nih.gov/42827804/</w:t>
      </w:r>
    </w:p>
    <w:p>
      <w:pPr>
        <w:pStyle w:val="Heading2"/>
      </w:pPr>
      <w:r>
        <w:t>Verständlichkeit von KI-generierten Patienteninformationen: ChatGPT vs. DeepSeek</w:t>
      </w:r>
    </w:p>
    <w:p>
      <w:r>
        <w:rPr>
          <w:i/>
          <w:color w:val="666666"/>
          <w:sz w:val="18"/>
        </w:rPr>
        <w:t>Zhang R et al.  ·  Oral Surg Oral Med Oral Pathol Oral Radiol  ·  07.07.2026  ·  PMID 42823233</w:t>
      </w:r>
    </w:p>
    <w:p>
      <w:r>
        <w:t>Vergleichende Bewertung von Antworten zweier KI-Systeme (ChatGPT-4, DeepSeek-v3) auf 23 häufig gestellte Patientenfragen zu Lichen planus durch Expertenpanels in fünf Dimensionen.</w:t>
      </w:r>
    </w:p>
    <w:p>
      <w:r>
        <w:rPr>
          <w:b/>
        </w:rPr>
        <w:t xml:space="preserve">Ergebnis: </w:t>
      </w:r>
      <w:r>
        <w:t>DeepSeek-v3 überlegen bei Umfassendheit (4,65±0,37 vs. 4,04±0,54; p&lt;0,001), Logik (4,41±0,32 vs. 4,03±0,35; p&lt;0,001) und Fairness (4,34±0,33 vs. 4,03±0,27; p&lt;0,001); ChatGPT-4 besser bei Einfachheit (4,25±0,31 vs. 4,04±0,28; p=0,034). DeepSeek-v3 leicht überlegen bei Genauigkeit (4,49±0,38 vs. 4,22±0,34; p=0,025). Kombinieren beider Modelle könnte Patientenverständnis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Neuseeland-Studie, sprachunabhängiger Vergleich; Befund zu Verständlichkeit systemübergreifend relevant</w:t>
      </w:r>
    </w:p>
    <w:p>
      <w:r>
        <w:rPr>
          <w:color w:val="5A7D3A"/>
          <w:sz w:val="18"/>
        </w:rPr>
        <w:t>https://pubmed.ncbi.nlm.nih.gov/42823233/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