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15.09.2026  |  6 Studien  |  healthliteracy.m-vf.de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Verstehen von Frailty durch kreative Beteiligung: Wandel von Fachbegriffen in der Patientenkommunikation</w:t>
      </w:r>
    </w:p>
    <w:p>
      <w:r>
        <w:rPr>
          <w:i/>
          <w:color w:val="666666"/>
          <w:sz w:val="18"/>
        </w:rPr>
        <w:t>Lammons W et al.  ·  Health Expect  ·  Okt. 2026  ·  PMID 42734162</w:t>
      </w:r>
    </w:p>
    <w:p>
      <w:r>
        <w:t>Qualitative Studie mit kreativen Partizipations-Workshops (Poetry, Quilting) zur Verständlichkeit des Begriffs ‚Frailty' und zu Kommunikationsbarrieren im englischen NHS.</w:t>
      </w:r>
    </w:p>
    <w:p>
      <w:r>
        <w:rPr>
          <w:b/>
        </w:rPr>
        <w:t xml:space="preserve">Ergebnis: </w:t>
      </w:r>
      <w:r>
        <w:t>22 Teilnehmer in 3 Workshops; Qualitative Analyse ergab drei zentrale Themen: Probleme mit dem Begriff ‚Frailty' selbst, Notwendigkeit personalisierter Patientenkommunikation und Zeitdruck in Gesundheitsdiensten. Befund zeigt, dass nicht-diskursive Beteiligung neue Erkenntnisse über komplexe Konzepte offenbart.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(NHS), Methode für Deutschland übertragbar: Partizipation mit diversen Bevölkerungsgruppen stärkt Relevanz von Fachbegriffen.</w:t>
      </w:r>
    </w:p>
    <w:p>
      <w:r>
        <w:rPr>
          <w:color w:val="5A7D3A"/>
          <w:sz w:val="18"/>
        </w:rPr>
        <w:t>https://pubmed.ncbi.nlm.nih.gov/42734162/</w:t>
      </w:r>
    </w:p>
    <w:p>
      <w:pPr>
        <w:pStyle w:val="Heading2"/>
      </w:pPr>
      <w:r>
        <w:t>Kommunikationsschwierigkeiten verschärfen Probleme mit Medikamentenbeteiligung bei Multipler Sklerose</w:t>
      </w:r>
    </w:p>
    <w:p>
      <w:r>
        <w:rPr>
          <w:i/>
          <w:color w:val="666666"/>
          <w:sz w:val="18"/>
        </w:rPr>
        <w:t>Khdair S et al.  ·  Brain Behav  ·  Sept. 2026  ·  PMID 42706782</w:t>
      </w:r>
    </w:p>
    <w:p>
      <w:r>
        <w:t>Querschnittsstudie (307 MS-Patienten, Jordanien) zur Assoziation von Kommunikationsschwierigkeiten mit Gesundheitskompetenz und Medikamentenadhärenz.</w:t>
      </w:r>
    </w:p>
    <w:p>
      <w:r>
        <w:rPr>
          <w:b/>
        </w:rPr>
        <w:t xml:space="preserve">Ergebnis: </w:t>
      </w:r>
      <w:r>
        <w:t>Kommunikationsschwierigkeiten häufig berichtet (Wortfindung, Gedankenfolge, Gedächtnisbelastung); niedrigere Gesundheitskompetenz signifikant assoziiert mit höheren Kommunikationsproblemen; höhere Medikamentenbedenken unabhängig mit schlechterer Kommunikation. Medikamentenadhärenz, Überzeugungskomponenten, Alter und Geschlecht nicht signifikant im adjustierten Modell.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Mittlere Übertragbarkeit: Jordanien, arabischsprachig; Problem Kommunikations-Barrieren und Gesundheitskompetenz aber Krankheit-unabhängig relevant.</w:t>
      </w:r>
    </w:p>
    <w:p>
      <w:r>
        <w:rPr>
          <w:color w:val="5A7D3A"/>
          <w:sz w:val="18"/>
        </w:rPr>
        <w:t>https://pubmed.ncbi.nlm.nih.gov/42706782/</w:t>
      </w:r>
    </w:p>
    <w:p>
      <w:pPr>
        <w:pStyle w:val="Heading2"/>
      </w:pPr>
      <w:r>
        <w:t>Digitale Aufklärung vor genetischer Beratung: Patientenbefähigung und Praktikabilität</w:t>
      </w:r>
    </w:p>
    <w:p>
      <w:r>
        <w:rPr>
          <w:i/>
          <w:color w:val="666666"/>
          <w:sz w:val="18"/>
        </w:rPr>
        <w:t>Hejla D et al.  ·  J Genet Couns  ·  Okt. 2026  ·  PMID 42702971</w:t>
      </w:r>
    </w:p>
    <w:p>
      <w:r>
        <w:t>Pilotstudie einer webbasierten Plattform (Genetics Adviser) zur Prätest-Aufklärung vor genetischer Beratung in Kanada; gemischte Methoden mit Surveys, Google Analytics und qualitativen Interviews.</w:t>
      </w:r>
    </w:p>
    <w:p>
      <w:r>
        <w:rPr>
          <w:b/>
        </w:rPr>
        <w:t xml:space="preserve">Ergebnis: </w:t>
      </w:r>
      <w:r>
        <w:t>85 von 102 (83 %) Patienten/Betreuer nutzten Plattform, 71 (70 %) über Startseite hinaus, 60 (59 %) vollständig. Hohe Zuversicht genetisches Verständnis (Genomics Outcome Scale 77/100). Provider identifizierten technische und inhaltliche Limitationen. Weitere Forschung für diverse Populationen und Langzeit-Effekte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(ähnliches System), direkt vergleichbar: Digitale Barrierenabbau in komplexen Aufklärungsprozessen; Implementierungshürden aber noch offen.</w:t>
      </w:r>
    </w:p>
    <w:p>
      <w:r>
        <w:rPr>
          <w:color w:val="5A7D3A"/>
          <w:sz w:val="18"/>
        </w:rPr>
        <w:t>https://pubmed.ncbi.nlm.nih.gov/42702971/</w:t>
      </w:r>
    </w:p>
    <w:p>
      <w:pPr>
        <w:pStyle w:val="Heading2"/>
      </w:pPr>
      <w:r>
        <w:t>eHealth Literacy moderiert Wirkung von Lebensstiländerungen bei älteren Erwachsenen</w:t>
      </w:r>
    </w:p>
    <w:p>
      <w:r>
        <w:rPr>
          <w:i/>
          <w:color w:val="666666"/>
          <w:sz w:val="18"/>
        </w:rPr>
        <w:t>Ertürk Ö et al.  ·  Psychogeriatrics  ·  Sept. 2026  ·  PMID 42702775</w:t>
      </w:r>
    </w:p>
    <w:p>
      <w:r>
        <w:t>Path-Analyse (251 ältere Türken) zur indirekten Wirkung gesunder Lebensstiländerungen auf Selbstvernachlässigung über eHealth Literacy als Mediator.</w:t>
      </w:r>
    </w:p>
    <w:p>
      <w:r>
        <w:rPr>
          <w:b/>
        </w:rPr>
        <w:t xml:space="preserve">Ergebnis: </w:t>
      </w:r>
      <w:r>
        <w:t>Gesunde Lebensstiländerungen direkt mit eHealth Literacy assoziiert (β=0,423, p&lt;0,001); eHealth Literacy invers mit Selbstvernachlässigung (β=-0,300, p&lt;0,001). Indirekte Assoziation durch eHealth Literacy statistisch signifikant (β=-0,127, p&lt;0,001). Modell zeigt, dass Lebensstiländerungen nur über höhere eHealth Literacy zu weniger Selbstvernachlässigung führen.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Mittlere Übertragbarkeit: Türkei, ähnliche Sozialversicherung, älter- und genderdiverse Populations-Strukturen relevant auch für Deutschland.</w:t>
      </w:r>
    </w:p>
    <w:p>
      <w:r>
        <w:rPr>
          <w:color w:val="5A7D3A"/>
          <w:sz w:val="18"/>
        </w:rPr>
        <w:t>https://pubmed.ncbi.nlm.nih.gov/42702775/</w:t>
      </w:r>
    </w:p>
    <w:p>
      <w:pPr>
        <w:pStyle w:val="Heading2"/>
      </w:pPr>
      <w:r>
        <w:t>Vertrauen in ChatGPT für Gesundheit: Bewusstsein, Vertrauen und Nutzungsbereitschaft in Saudi-Arabien</w:t>
      </w:r>
    </w:p>
    <w:p>
      <w:r>
        <w:rPr>
          <w:i/>
          <w:color w:val="666666"/>
          <w:sz w:val="18"/>
        </w:rPr>
        <w:t>Kandasamy G et al.  ·  Front Public Health  ·  21.08.2026  ·  PMID 42698587</w:t>
      </w:r>
    </w:p>
    <w:p>
      <w:r>
        <w:t>Querschnittsstudie zur Wahrnehmung und Akzeptanz von ChatGPT als Gesundheitsinformationswerkzeug unter 429 Erwachsenen im Asir-Bundesstaat.</w:t>
      </w:r>
    </w:p>
    <w:p>
      <w:r>
        <w:rPr>
          <w:b/>
        </w:rPr>
        <w:t xml:space="preserve">Ergebnis: </w:t>
      </w:r>
      <w:r>
        <w:t>70,4 % nutzten ChatGPT bereits; Bewusstsein moderat (höher bei jüngeren, Gebildeteren); 61,77 % bereit zur Nutzung. Multivariate Regression: Vertrauen (β=0,36, p&lt;0,001) und Bewusstsein (β=0,41, p&lt;0,001) positiv assoziiert mit Nutzungsbereitschaft; Risikowahrnehmung negativ (β=-0,12, p=0,019). Bedenken: Desinformation, Datenschutz, Überabhängigkeit.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Gering übertragbar: Kontext Saudi-Arabiens grundlegend verschieden; nur Erkenntnisse zur Vertrauensbildung und Risikokommunikation relevant.</w:t>
      </w:r>
    </w:p>
    <w:p>
      <w:r>
        <w:rPr>
          <w:color w:val="5A7D3A"/>
          <w:sz w:val="18"/>
        </w:rPr>
        <w:t>https://pubmed.ncbi.nlm.nih.gov/42698587/</w:t>
      </w:r>
    </w:p>
    <w:p>
      <w:pPr>
        <w:pStyle w:val="Heading2"/>
      </w:pPr>
      <w:r>
        <w:t>Virtuelle Patientenschulung senkt Hürden und Emissionen in der Adipositaschirurgie</w:t>
      </w:r>
    </w:p>
    <w:p>
      <w:r>
        <w:rPr>
          <w:i/>
          <w:color w:val="666666"/>
          <w:sz w:val="18"/>
        </w:rPr>
        <w:t>Schmid J et al.  ·  Obes Surg  ·  17.07.2026  ·  PMID 42467324</w:t>
      </w:r>
    </w:p>
    <w:p>
      <w:r>
        <w:t>Deutsche Studie zur Akzeptanz virtueller Präoperativ-Schulungen bei Bariatrischen Patienten und Berechnung von CO₂-Einsparungen durch Entfall von Reisewegen.</w:t>
      </w:r>
    </w:p>
    <w:p>
      <w:r>
        <w:rPr>
          <w:b/>
        </w:rPr>
        <w:t xml:space="preserve">Ergebnis: </w:t>
      </w:r>
      <w:r>
        <w:t>183 Patienten: 93,4 % bewerteten virtuelles Format als gleichwertig oder besser als Präsenz; 25 % hätten ohne virtuelles Angebot nicht teilgenommen. Gesamtvermeidung von 1,792 Tonnen CO₂-Äquivalente über Studienzeitraum. Durchschnittliche Anreiseentfernung 33,08 km.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 anwendbar: Deutsche Klinikdaten mit deutschem Transportmodell, systemische Barriereabbau durch Digitalisierung nachgewiesen.</w:t>
      </w:r>
    </w:p>
    <w:p>
      <w:r>
        <w:rPr>
          <w:color w:val="5A7D3A"/>
          <w:sz w:val="18"/>
        </w:rPr>
        <w:t>https://pubmed.ncbi.nlm.nih.gov/42467324/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