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737360" cy="459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f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45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51A1"/>
          <w:sz w:val="19"/>
        </w:rPr>
        <w:t>Ein Service des Knowledge-Hubs von Monitor Versorgungsforschung. Täglich automatisiert KI-kuratiert aus PubMed und auf Deutsch übersetzt.</w:t>
      </w:r>
    </w:p>
    <w:p>
      <w:pPr>
        <w:pStyle w:val="Title"/>
      </w:pPr>
      <w:r>
        <w:t>Neueste Studien - Gesundheitskompetenz</w:t>
      </w:r>
    </w:p>
    <w:p>
      <w:r>
        <w:rPr>
          <w:i/>
          <w:color w:val="666666"/>
          <w:sz w:val="18"/>
        </w:rPr>
        <w:t>Stand: 24.10.2026  |  6 Studien  |  healthliteracy.m-vf.de</w:t>
      </w:r>
    </w:p>
    <w:p>
      <w:pPr>
        <w:pStyle w:val="Heading1"/>
      </w:pPr>
      <w:r>
        <w:t>Aufgenommen am 24.10.2026</w:t>
      </w:r>
    </w:p>
    <w:p>
      <w:pPr>
        <w:pStyle w:val="Heading2"/>
      </w:pPr>
      <w:r>
        <w:t>Strukturierte Mundhygiene-Schulung verbessert Zahngesundheit vor Tumorbestrahlung langfristig</w:t>
      </w:r>
    </w:p>
    <w:p>
      <w:r>
        <w:rPr>
          <w:i/>
          <w:color w:val="666666"/>
          <w:sz w:val="18"/>
        </w:rPr>
        <w:t>Sun C et al.  ·  BMC Oral Health  ·  28.07.2026  ·  PMID 42919312</w:t>
      </w:r>
    </w:p>
    <w:p>
      <w:r>
        <w:t>Zweiarmige Studie in China: 63 Patienten mit Kopf-Hals-Tumoren erhielten strukturierte Schulung (OHBCA) zu Mundhygiene vor Bestrahlung; 24 davon wurden 12 Monate nachbeobachtet und mit 19 Kontrollpatienten verglichen.</w:t>
      </w:r>
    </w:p>
    <w:p>
      <w:r>
        <w:rPr>
          <w:b/>
        </w:rPr>
        <w:t xml:space="preserve">Ergebnis: </w:t>
      </w:r>
      <w:r>
        <w:t>Phase 1: Schulung führte zu signifikanten Verbesserungen bei Wissen, Bewusstsein und Verhalten (alle p&lt;0,01). Phase 2 (12 Monate): Interventionsgruppe zeigte bessere Mundhygiene-Indizes (alle p&lt;0,0001) als Kontrolle, weniger Zahnbelag und Zahnfleischentzündung.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China, aber Schulungsansatz zur Vermeidung strahlentherapiebedingter Zahnkomplikationen prinzipiell übertragbar.</w:t>
      </w:r>
    </w:p>
    <w:p>
      <w:r>
        <w:rPr>
          <w:color w:val="5A7D3A"/>
          <w:sz w:val="18"/>
        </w:rPr>
        <w:t>https://pubmed.ncbi.nlm.nih.gov/42919312/</w:t>
      </w:r>
    </w:p>
    <w:p>
      <w:pPr>
        <w:pStyle w:val="Heading2"/>
      </w:pPr>
      <w:r>
        <w:t>Strukturierte Schulung senkt Stürze bei älteren Patienten deutlich</w:t>
      </w:r>
    </w:p>
    <w:p>
      <w:r>
        <w:rPr>
          <w:i/>
          <w:color w:val="666666"/>
          <w:sz w:val="18"/>
        </w:rPr>
        <w:t>Kim E et al.  ·  BMC Geriatr  ·  27.07.2026  ·  PMID 42919133</w:t>
      </w:r>
    </w:p>
    <w:p>
      <w:r>
        <w:t>Quasi-experimentelle Studie zur Wirkung eines partizipativen fünftägigen Schulungsprogramms (APREAL) auf Sturzrisiken bei älteren Patienten in koreanischen Krankenhausstationen.</w:t>
      </w:r>
    </w:p>
    <w:p>
      <w:r>
        <w:rPr>
          <w:b/>
        </w:rPr>
        <w:t xml:space="preserve">Ergebnis: </w:t>
      </w:r>
      <w:r>
        <w:t>Die Interventionsgruppe zeigte nach der Schulung signifikant höhere Werte bei Sturzwissen (F=27,41, p&lt;0,001, η²=0,287), Selbstwirksamkeit (F=32,85, p&lt;0,001, η²=0,326) und Sturzprävention-Verhalten (F=93,14, p&lt;0,001, η²=0,578). Die Kontrollstation verzeichnete 2,3 Stürze pro 1.000 Patiententage, die Interventionsstation 0,0.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Südkorea, aber Design und Schulungsformat lassen sich auf deutsche Krankenhausstationen übertragen.</w:t>
      </w:r>
    </w:p>
    <w:p>
      <w:r>
        <w:rPr>
          <w:color w:val="5A7D3A"/>
          <w:sz w:val="18"/>
        </w:rPr>
        <w:t>https://pubmed.ncbi.nlm.nih.gov/42919133/</w:t>
      </w:r>
    </w:p>
    <w:p>
      <w:pPr>
        <w:pStyle w:val="Heading2"/>
      </w:pPr>
      <w:r>
        <w:t>Informationsquellen beeinflussen Selbstwirksamkeit von Demenzpflegenden stärker als Wissen</w:t>
      </w:r>
    </w:p>
    <w:p>
      <w:r>
        <w:rPr>
          <w:i/>
          <w:color w:val="666666"/>
          <w:sz w:val="18"/>
        </w:rPr>
        <w:t>Goh YL et al.  ·  BMC Geriatr  ·  28.07.2026  ·  PMID 42919127</w:t>
      </w:r>
    </w:p>
    <w:p>
      <w:r>
        <w:t>Querschnittstudie mit 258 Angehörigen von Demenzkranken in Malaysia: Welche Informationsquellen und deren Kombinationen beeinflussen die Selbstwirksamkeit in der Pflegeverantwortung?</w:t>
      </w:r>
    </w:p>
    <w:p>
      <w:r>
        <w:rPr>
          <w:b/>
        </w:rPr>
        <w:t xml:space="preserve">Ergebnis: </w:t>
      </w:r>
      <w:r>
        <w:t>Nutzung mehrerer Informationsquellen erhöht Selbstwirksamkeit signifikant (erklärte Varianz 6,7% auf 12,6%, p&lt;0,05). Schriftliche Materialien und ärztliche Beratung steigerten Selbstwirksamkeit; Facebook und Selbsthilfegruppen wirkten sich negativ aus. Besonderheit: Vertrauen war kulturabhängig (Glaubenshaltung half Malayen mehr).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Mittleres Einkommenland, aber Befund zu Qualität von Informationsquellen prinzipiell übertragbar.</w:t>
      </w:r>
    </w:p>
    <w:p>
      <w:r>
        <w:rPr>
          <w:color w:val="5A7D3A"/>
          <w:sz w:val="18"/>
        </w:rPr>
        <w:t>https://pubmed.ncbi.nlm.nih.gov/42919127/</w:t>
      </w:r>
    </w:p>
    <w:p>
      <w:pPr>
        <w:pStyle w:val="Heading2"/>
      </w:pPr>
      <w:r>
        <w:t>Mehrsprachige Schulungsmaterialien zu chronischen Erkrankungen sind verständlich und akzeptiert</w:t>
      </w:r>
    </w:p>
    <w:p>
      <w:r>
        <w:rPr>
          <w:i/>
          <w:color w:val="666666"/>
          <w:sz w:val="18"/>
        </w:rPr>
        <w:t>Lexius O et al.  ·  Rev Lat Am Enfermagem  ·  16.10.2026  ·  PMID 42912030</w:t>
      </w:r>
    </w:p>
    <w:p>
      <w:r>
        <w:t>Validierungsstudie eines Schulungsleitfadens in Kreolisch für haitianische Migranten in Brasilien: Inhalts- und semantische Validierung durch 17 Fachexperten und 30 Migranten.</w:t>
      </w:r>
    </w:p>
    <w:p>
      <w:r>
        <w:rPr>
          <w:b/>
        </w:rPr>
        <w:t xml:space="preserve">Ergebnis: </w:t>
      </w:r>
      <w:r>
        <w:t>Gesamter Konkordanzindex 0,91, SAM-Score 25,8 Punkte. Beide Validierungen bestätigen Eignung des Materials für Prävention und Selbstmanagement chronischer Erkrankungen bei Migranten. Hohe kulturelle und sprachliche Angemessenheit.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Brasilien, aber Ansatz zur migrantengerechten Materialentwicklung mit Sprachangepassung auf Deutschland übertragbar.</w:t>
      </w:r>
    </w:p>
    <w:p>
      <w:r>
        <w:rPr>
          <w:color w:val="5A7D3A"/>
          <w:sz w:val="18"/>
        </w:rPr>
        <w:t>https://pubmed.ncbi.nlm.nih.gov/42912030/</w:t>
      </w:r>
    </w:p>
    <w:p>
      <w:pPr>
        <w:pStyle w:val="Heading2"/>
      </w:pPr>
      <w:r>
        <w:t>Gesundheitskompetenz in Erwachsenenbildung: Verständnis und Handeln korrelieren nur schwach</w:t>
      </w:r>
    </w:p>
    <w:p>
      <w:r>
        <w:rPr>
          <w:i/>
          <w:color w:val="666666"/>
          <w:sz w:val="18"/>
        </w:rPr>
        <w:t>Bazileva A et al.  ·  Front Public Health  ·  07.10.2026  ·  PMID 42908939</w:t>
      </w:r>
    </w:p>
    <w:p>
      <w:r>
        <w:t>Mixed-Methods-Studie in Lettland: 320 Erwachsene wurden online zu Gesundheitskompetenz befragt, 6 Experten interviewt – Welche Faktoren fördern Verständnis und praktische Anwendung von Gesundheitsinformation?</w:t>
      </w:r>
    </w:p>
    <w:p>
      <w:r>
        <w:rPr>
          <w:b/>
        </w:rPr>
        <w:t xml:space="preserve">Ergebnis: </w:t>
      </w:r>
      <w:r>
        <w:t>Moderate positive Korrelation zwischen Verständnis und Anwendung (τ=0,383, p&lt;0,001), zwischen Zugang und Verständnis (τ=0,428, p&lt;0,001). Familienstand signifikant für kritische Informationsbewertung (H(3)=10,45, p=0,015). Barrieren: Fragmentierung der Bildung, fehlende Motivation, Desinformation. Ein konzeptueller Rahmen für mehrstufige Interventionen wurde entwickelt.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Lettland (EU), vergleichbare Gesundheitssystemaufgaben, Befunde zur Lücke zwischen Verständnis und Handeln relevant für Deutschland.</w:t>
      </w:r>
    </w:p>
    <w:p>
      <w:r>
        <w:rPr>
          <w:color w:val="5A7D3A"/>
          <w:sz w:val="18"/>
        </w:rPr>
        <w:t>https://pubmed.ncbi.nlm.nih.gov/42908939/</w:t>
      </w:r>
    </w:p>
    <w:p>
      <w:pPr>
        <w:pStyle w:val="Heading2"/>
      </w:pPr>
      <w:r>
        <w:t>Radiographen kommunizieren Strahlenrisiken oft unklar – Schulung und Materialien helfen</w:t>
      </w:r>
    </w:p>
    <w:p>
      <w:r>
        <w:rPr>
          <w:i/>
          <w:color w:val="666666"/>
          <w:sz w:val="18"/>
        </w:rPr>
        <w:t>Angaag NA et al.  ·  Radiography (Lond)  ·  10.10.2026  ·  PMID 42858546</w:t>
      </w:r>
    </w:p>
    <w:p>
      <w:r>
        <w:t>Scoping Review der Kommunikationspraktiken von Radiographen beim Aufklären über Strahlenrisiken in der Bildgebung: Welche Strategien funktionieren, welche Barrieren bestehen?</w:t>
      </w:r>
    </w:p>
    <w:p>
      <w:r>
        <w:rPr>
          <w:b/>
        </w:rPr>
        <w:t xml:space="preserve">Ergebnis: </w:t>
      </w:r>
      <w:r>
        <w:t>Radiographen nutzten überwiegend verbale, aktive oder passive Kommunikation. Hauptbarrieren: Angst vor Patientenangst, niedriges Wissen und Selbstvertrauen, unklare Rollenverteilung, fehlende Ressourcen. Empfohlen: standardisierte Protokolle, Radiographen-Fortbildung, interaktive Strategien und Patientenmaterialien.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Überwiegend Studien aus Großbritannien und Australien; Befunde zu Kommunikationsbarrieren in der Medizin international relevant.</w:t>
      </w:r>
    </w:p>
    <w:p>
      <w:r>
        <w:rPr>
          <w:color w:val="5A7D3A"/>
          <w:sz w:val="18"/>
        </w:rPr>
        <w:t>https://pubmed.ncbi.nlm.nih.gov/42858546/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Neueste Studien - Gesundheitskompetenz</dc:title>
  <dc:subject/>
  <dc:creator>Monitor Versorgungsforschung</dc:creator>
  <cp:keywords/>
  <dc:description>generated by python-docx</dc:description>
  <cp:lastModifiedBy/>
  <cp:revision>1</cp:revision>
  <dcterms:created xsi:type="dcterms:W3CDTF">2026-10-24T06:00:00Z</dcterms:created>
  <dcterms:modified xsi:type="dcterms:W3CDTF">2026-10-24T06:00:00Z</dcterms:modified>
  <cp:category/>
</cp:coreProperties>
</file>