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Gesundheitskompetenz und Health Literacy</w:t>
      </w:r>
    </w:p>
    <w:p>
      <w:r>
        <w:rPr>
          <w:i/>
          <w:color w:val="666666"/>
          <w:sz w:val="18"/>
        </w:rPr>
        <w:t>Stand: 29.09.2026  |  5 Studien  |  healthliteracy.m-vf.de</w:t>
      </w:r>
    </w:p>
    <w:p>
      <w:pPr>
        <w:pStyle w:val="Heading1"/>
      </w:pPr>
      <w:r>
        <w:t>Aufgenommen am 29.09.2026</w:t>
      </w:r>
    </w:p>
    <w:p>
      <w:pPr>
        <w:pStyle w:val="Heading2"/>
      </w:pPr>
      <w:r>
        <w:t>KI-Chatbot verbessert HPV-Impf-Verständnis gegenüber Regierungsbroschüre</w:t>
      </w:r>
    </w:p>
    <w:p>
      <w:r>
        <w:rPr>
          <w:i/>
          <w:color w:val="666666"/>
          <w:sz w:val="18"/>
        </w:rPr>
        <w:t>Kobayashi K et al.  ·  JAMA Netw Open  ·  01.09.2026  ·  PMID 42804696</w:t>
      </w:r>
    </w:p>
    <w:p>
      <w:r>
        <w:t>Randomisierte Studie mit 848 weiblichen Betreuerinnen in Japan (Endauswertung: 704 unmittelbar, 477 nach 2 Wochen), die Impf-Verständnis nach AI-Chatbot oder Regierungsbroschüre zur HPV-Prävention bei Töchtern maßen.</w:t>
      </w:r>
    </w:p>
    <w:p>
      <w:r>
        <w:rPr>
          <w:b/>
        </w:rPr>
        <w:t xml:space="preserve">Ergebnis: </w:t>
      </w:r>
      <w:r>
        <w:t>Chatbot-Gruppe zeigte höhere Impf-Verständniswerte unmittelbar nach Intervention (adjustierte Mittelwertdifferenz 0,30 Punkte auf 0–7-Skala, KI 0,18–0,43, p &lt; 0,001) und nach 2 Wochen (0,30 Punkte, KI 0,13–0,47, p &lt; 0,001); Impfentscheidungen unterschieden sich nicht (40,3% vs. 39,6%, p = 0,31). Verständnis war messbar höher, führte aber kurzfristig nicht zu mehr Impfungen.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Japan, Frage sprachabhängig; Chatbot-Effekt auf Verständnis nicht systemgebunden.</w:t>
      </w:r>
    </w:p>
    <w:p>
      <w:r>
        <w:rPr>
          <w:color w:val="5A7D3A"/>
          <w:sz w:val="18"/>
        </w:rPr>
        <w:t>https://pubmed.ncbi.nlm.nih.gov/42804696/</w:t>
      </w:r>
    </w:p>
    <w:p>
      <w:pPr>
        <w:pStyle w:val="Heading2"/>
      </w:pPr>
      <w:r>
        <w:t>Teach-Back-Methode mit Ernährungsberatung senkt Blutzucker und verbessert Schwangerschaftsergebnisse</w:t>
      </w:r>
    </w:p>
    <w:p>
      <w:r>
        <w:rPr>
          <w:i/>
          <w:color w:val="666666"/>
          <w:sz w:val="18"/>
        </w:rPr>
        <w:t>Li H  ·  Endocrine  ·  28.09.2026  ·  PMID 42804033</w:t>
      </w:r>
    </w:p>
    <w:p>
      <w:r>
        <w:t>Retrospektive Analyse von 120 Schwangeren mit Gestationsdiabetes, die entweder Routineaufklärung oder Teach-Back-Methode mit umfassender Ernährungsintervention erhielten, um Auswirkungen auf mütterliche und neonatale Gesundheitsergebnisse zu untersuchen.</w:t>
      </w:r>
    </w:p>
    <w:p>
      <w:r>
        <w:rPr>
          <w:b/>
        </w:rPr>
        <w:t xml:space="preserve">Ergebnis: </w:t>
      </w:r>
      <w:r>
        <w:t>Die Teach-Back-Gruppe zeigte niedrigere Nüchternblutzuckerwerte, höhere Selbstwirksamkeitswerte und weniger postpartale Blutungen, Frühgeburten, Makrosomie und neonatale Asphyxie (alle p &lt; 0,05); spontane vaginale Entbindungsrate höher, Pflegezufriedenheit höher. Ein Maß für das Verständnis der Aufklärung (Teach-Back) führte nachweislich zu besseren klinischen Ergebnissen.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aber Teach-Back-Effektivität nicht sprachgebunden.</w:t>
      </w:r>
    </w:p>
    <w:p>
      <w:r>
        <w:rPr>
          <w:color w:val="5A7D3A"/>
          <w:sz w:val="18"/>
        </w:rPr>
        <w:t>https://pubmed.ncbi.nlm.nih.gov/42804033/</w:t>
      </w:r>
    </w:p>
    <w:p>
      <w:pPr>
        <w:pStyle w:val="Heading2"/>
      </w:pPr>
      <w:r>
        <w:t>Dolmetscher mit Gehörlosenerfahrung verbessern Shared Decision Making bei Krebsvorsorge</w:t>
      </w:r>
    </w:p>
    <w:p>
      <w:r>
        <w:rPr>
          <w:i/>
          <w:color w:val="666666"/>
          <w:sz w:val="18"/>
        </w:rPr>
        <w:t>Perrodin-Njoku E et al.  ·  Cancer Control  ·  28.09.2026  ·  PMID 42803113</w:t>
      </w:r>
    </w:p>
    <w:p>
      <w:r>
        <w:t>Qualitative nested study mit 15 gehörlosen und schwerhörigen Erwachsenen, die an einem Programm mit Gebärdensprachdolmetscher-Navigatoren teilnahmen, zu deren Erfahrungen bei Krebsvorsorgescreening.</w:t>
      </w:r>
    </w:p>
    <w:p>
      <w:r>
        <w:rPr>
          <w:b/>
        </w:rPr>
        <w:t xml:space="preserve">Ergebnis: </w:t>
      </w:r>
      <w:r>
        <w:t>Interventions-Teilnehmer beschrieben selbstgeleitete Entscheidungsfindung und höheres Vertrauen, während Standardversorgung-Teilnehmer häufiger Anbieterempfehlungen befolgten ohne Deliberation. Dolmetscher mit geteilter Gehörlosenerfahrung wurden als entscheidend für Vertrauensaufbau und Screening-Engagement genannt. Videoferndolmetschzugang war universelle Barriere für echte Shared Decision Making.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Befund zur Identifikation und Vertrauenseffekt übertragbar.</w:t>
      </w:r>
    </w:p>
    <w:p>
      <w:r>
        <w:rPr>
          <w:color w:val="5A7D3A"/>
          <w:sz w:val="18"/>
        </w:rPr>
        <w:t>https://pubmed.ncbi.nlm.nih.gov/42803113/</w:t>
      </w:r>
    </w:p>
    <w:p>
      <w:pPr>
        <w:pStyle w:val="Heading2"/>
      </w:pPr>
      <w:r>
        <w:t>Was fördert und hemmt Patientenbeteiligung in Forschungsgremien</w:t>
      </w:r>
    </w:p>
    <w:p>
      <w:r>
        <w:rPr>
          <w:i/>
          <w:color w:val="666666"/>
          <w:sz w:val="18"/>
        </w:rPr>
        <w:t>Jawanda S et al.  ·  Health Expect  ·  Okt. 2026  ·  PMID 42802662</w:t>
      </w:r>
    </w:p>
    <w:p>
      <w:r>
        <w:t>Qualitative Studie mit 11 Panelmitgliedern (Jugendliche, Betreuer, Gesundheitsanbieter, Systemführer) zu Erfahrungen und Barrieren der Teilnahme an einem integrierten Knowledge-Translation-Panel für Konsensbildung.</w:t>
      </w:r>
    </w:p>
    <w:p>
      <w:r>
        <w:rPr>
          <w:b/>
        </w:rPr>
        <w:t xml:space="preserve">Ergebnis: </w:t>
      </w:r>
      <w:r>
        <w:t>Mittlere PEIRS-22-Bewertung 88,3 (SD 10,5), 70% berichteten sehr oder extrem sinnvolle Beteiligung. Förderfaktoren: klare Kommunikation, Vertrauen, inklusives Umfeld, flexible Teilnahmeoptionen. Hemmnisse: Kommunikationsbelastung, Machtdynamiken, konkurrierende Verpflichtungen, Technologieprobleme, unerfüllte Erwartungen.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Kanada, übertragbar auf deutschsprachige Beteiligungsgremien.</w:t>
      </w:r>
    </w:p>
    <w:p>
      <w:r>
        <w:rPr>
          <w:color w:val="5A7D3A"/>
          <w:sz w:val="18"/>
        </w:rPr>
        <w:t>https://pubmed.ncbi.nlm.nih.gov/42802662/</w:t>
      </w:r>
    </w:p>
    <w:p>
      <w:pPr>
        <w:pStyle w:val="Heading2"/>
      </w:pPr>
      <w:r>
        <w:t>Gesundheitskompetenz älterer Menschen mit Multimorbidität zeigt drei heterogene Profile</w:t>
      </w:r>
    </w:p>
    <w:p>
      <w:r>
        <w:rPr>
          <w:i/>
          <w:color w:val="666666"/>
          <w:sz w:val="18"/>
        </w:rPr>
        <w:t>Guo J et al.  ·  Front Public Health  ·  11.09.2026  ·  PMID 42798461</w:t>
      </w:r>
    </w:p>
    <w:p>
      <w:r>
        <w:t>Latent-Profile-Analyse mit 302 älteren multimorbiden Patienten aus China zur Identifikation von Gesundheitskompetenz-Klassen und deren Assoziation mit Selbstmanagement-Verhalten.</w:t>
      </w:r>
    </w:p>
    <w:p>
      <w:r>
        <w:rPr>
          <w:b/>
        </w:rPr>
        <w:t xml:space="preserve">Ergebnis: </w:t>
      </w:r>
      <w:r>
        <w:t>Drei Profile identifiziert: 18,5% niedrige Kompetenz mit begrenzter Informationsverarbeitung, 42,6% moderate Kompetenz mit Arztabhängigkeit, 38,9% hohe Kompetenz mit autonomer Entscheidung. Geschlecht, Alter, Wohnort, Bildung, Alkoholkonsum und Krankheitsdauer signifikant assoziiert. Selbstmanagement unterschied sich markant zwischen Profilen. Heterogenität erfordert gestaffelte, profilspezifische Interventionen.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aber Profile-Struktur und Bildungseffekt auf deutsches Alter 65+ übertragbar.</w:t>
      </w:r>
    </w:p>
    <w:p>
      <w:r>
        <w:rPr>
          <w:color w:val="5A7D3A"/>
          <w:sz w:val="18"/>
        </w:rPr>
        <w:t>https://pubmed.ncbi.nlm.nih.gov/42798461/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Gesundheitskompetenz und Health Literacy</dc:title>
  <dc:subject/>
  <dc:creator>Monitor Versorgungsforschung</dc:creator>
  <cp:keywords/>
  <dc:description>generated by python-docx</dc:description>
  <cp:lastModifiedBy/>
  <cp:revision>1</cp:revision>
  <dcterms:created xsi:type="dcterms:W3CDTF">2026-09-29T06:00:00Z</dcterms:created>
  <dcterms:modified xsi:type="dcterms:W3CDTF">2026-09-29T06:00:00Z</dcterms:modified>
  <cp:category/>
</cp:coreProperties>
</file>