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29.09.2026  |  238 Studien  |  healthliteracy.m-vf.de</w:t>
      </w:r>
    </w:p>
    <w:p>
      <w:pPr>
        <w:pStyle w:val="Heading1"/>
      </w:pPr>
      <w:r>
        <w:t>Aufgenommen am 29.09.2026</w:t>
      </w:r>
    </w:p>
    <w:p>
      <w:pPr>
        <w:pStyle w:val="Heading2"/>
      </w:pPr>
      <w:r>
        <w:t>KI-Chatbot verbessert HPV-Impf-Verständnis gegenüber Regierungsbroschüre</w:t>
      </w:r>
    </w:p>
    <w:p>
      <w:r>
        <w:rPr>
          <w:i/>
          <w:color w:val="666666"/>
          <w:sz w:val="18"/>
        </w:rPr>
        <w:t>Kobayashi K et al.  ·  JAMA Netw Open  ·  01.09.2026  ·  PMID 42804696</w:t>
      </w:r>
    </w:p>
    <w:p>
      <w:r>
        <w:t>Randomisierte Studie mit 848 weiblichen Betreuerinnen in Japan (Endauswertung: 704 unmittelbar, 477 nach 2 Wochen), die Impf-Verständnis nach AI-Chatbot oder Regierungsbroschüre zur HPV-Prävention bei Töchtern maßen.</w:t>
      </w:r>
    </w:p>
    <w:p>
      <w:r>
        <w:rPr>
          <w:b/>
        </w:rPr>
        <w:t xml:space="preserve">Ergebnis: </w:t>
      </w:r>
      <w:r>
        <w:t>Chatbot-Gruppe zeigte höhere Impf-Verständniswerte unmittelbar nach Intervention (adjustierte Mittelwertdifferenz 0,30 Punkte auf 0–7-Skala, KI 0,18–0,43, p &lt; 0,001) und nach 2 Wochen (0,30 Punkte, KI 0,13–0,47, p &lt; 0,001); Impfentscheidungen unterschieden sich nicht (40,3% vs. 39,6%, p = 0,31). Verständnis war messbar höher, führte aber kurzfristig nicht zu mehr Impfungen.</w:t>
      </w:r>
    </w:p>
    <w:p>
      <w:r>
        <w:rPr>
          <w:b/>
          <w:sz w:val="19"/>
        </w:rPr>
        <w:t xml:space="preserve">Übertragbarkeit: </w:t>
      </w:r>
      <w:r>
        <w:rPr>
          <w:sz w:val="19"/>
        </w:rPr>
        <w:t>Japan, Frage sprachabhängig; Chatbot-Effekt auf Verständnis nicht systemgebunden.</w:t>
      </w:r>
    </w:p>
    <w:p>
      <w:r>
        <w:rPr>
          <w:color w:val="5A7D3A"/>
          <w:sz w:val="18"/>
        </w:rPr>
        <w:t>https://pubmed.ncbi.nlm.nih.gov/42804696/</w:t>
      </w:r>
    </w:p>
    <w:p>
      <w:pPr>
        <w:pStyle w:val="Heading2"/>
      </w:pPr>
      <w:r>
        <w:t>Teach-Back-Methode mit Ernährungsberatung senkt Blutzucker und verbessert Schwangerschaftsergebnisse</w:t>
      </w:r>
    </w:p>
    <w:p>
      <w:r>
        <w:rPr>
          <w:i/>
          <w:color w:val="666666"/>
          <w:sz w:val="18"/>
        </w:rPr>
        <w:t>Li H  ·  Endocrine  ·  28.09.2026  ·  PMID 42804033</w:t>
      </w:r>
    </w:p>
    <w:p>
      <w:r>
        <w:t>Retrospektive Analyse von 120 Schwangeren mit Gestationsdiabetes, die entweder Routineaufklärung oder Teach-Back-Methode mit umfassender Ernährungsintervention erhielten, um Auswirkungen auf mütterliche und neonatale Gesundheitsergebnisse zu untersuchen.</w:t>
      </w:r>
    </w:p>
    <w:p>
      <w:r>
        <w:rPr>
          <w:b/>
        </w:rPr>
        <w:t xml:space="preserve">Ergebnis: </w:t>
      </w:r>
      <w:r>
        <w:t>Die Teach-Back-Gruppe zeigte niedrigere Nüchternblutzuckerwerte, höhere Selbstwirksamkeitswerte und weniger postpartale Blutungen, Frühgeburten, Makrosomie und neonatale Asphyxie (alle p &lt; 0,05); spontane vaginale Entbindungsrate höher, Pflegezufriedenheit höher. Ein Maß für das Verständnis der Aufklärung (Teach-Back) führte nachweislich zu besseren klinischen Ergebnissen.</w:t>
      </w:r>
    </w:p>
    <w:p>
      <w:r>
        <w:rPr>
          <w:b/>
          <w:sz w:val="19"/>
        </w:rPr>
        <w:t xml:space="preserve">Übertragbarkeit: </w:t>
      </w:r>
      <w:r>
        <w:rPr>
          <w:sz w:val="19"/>
        </w:rPr>
        <w:t>China, aber Teach-Back-Effektivität nicht sprachgebunden.</w:t>
      </w:r>
    </w:p>
    <w:p>
      <w:r>
        <w:rPr>
          <w:color w:val="5A7D3A"/>
          <w:sz w:val="18"/>
        </w:rPr>
        <w:t>https://pubmed.ncbi.nlm.nih.gov/42804033/</w:t>
      </w:r>
    </w:p>
    <w:p>
      <w:pPr>
        <w:pStyle w:val="Heading2"/>
      </w:pPr>
      <w:r>
        <w:t>Dolmetscher mit Gehörlosenerfahrung verbessern Shared Decision Making bei Krebsvorsorge</w:t>
      </w:r>
    </w:p>
    <w:p>
      <w:r>
        <w:rPr>
          <w:i/>
          <w:color w:val="666666"/>
          <w:sz w:val="18"/>
        </w:rPr>
        <w:t>Perrodin-Njoku E et al.  ·  Cancer Control  ·  28.09.2026  ·  PMID 42803113</w:t>
      </w:r>
    </w:p>
    <w:p>
      <w:r>
        <w:t>Qualitative nested study mit 15 gehörlosen und schwerhörigen Erwachsenen, die an einem Programm mit Gebärdensprachdolmetscher-Navigatoren teilnahmen, zu deren Erfahrungen bei Krebsvorsorgescreening.</w:t>
      </w:r>
    </w:p>
    <w:p>
      <w:r>
        <w:rPr>
          <w:b/>
        </w:rPr>
        <w:t xml:space="preserve">Ergebnis: </w:t>
      </w:r>
      <w:r>
        <w:t>Interventions-Teilnehmer beschrieben selbstgeleitete Entscheidungsfindung und höheres Vertrauen, während Standardversorgung-Teilnehmer häufiger Anbieterempfehlungen befolgten ohne Deliberation. Dolmetscher mit geteilter Gehörlosenerfahrung wurden als entscheidend für Vertrauensaufbau und Screening-Engagement genannt. Videoferndolmetschzugang war universelle Barriere für echte Shared Decision Making.</w:t>
      </w:r>
    </w:p>
    <w:p>
      <w:r>
        <w:rPr>
          <w:b/>
          <w:sz w:val="19"/>
        </w:rPr>
        <w:t xml:space="preserve">Übertragbarkeit: </w:t>
      </w:r>
      <w:r>
        <w:rPr>
          <w:sz w:val="19"/>
        </w:rPr>
        <w:t>USA, Befund zur Identifikation und Vertrauenseffekt übertragbar.</w:t>
      </w:r>
    </w:p>
    <w:p>
      <w:r>
        <w:rPr>
          <w:color w:val="5A7D3A"/>
          <w:sz w:val="18"/>
        </w:rPr>
        <w:t>https://pubmed.ncbi.nlm.nih.gov/42803113/</w:t>
      </w:r>
    </w:p>
    <w:p>
      <w:pPr>
        <w:pStyle w:val="Heading2"/>
      </w:pPr>
      <w:r>
        <w:t>Was fördert und hemmt Patientenbeteiligung in Forschungsgremien</w:t>
      </w:r>
    </w:p>
    <w:p>
      <w:r>
        <w:rPr>
          <w:i/>
          <w:color w:val="666666"/>
          <w:sz w:val="18"/>
        </w:rPr>
        <w:t>Jawanda S et al.  ·  Health Expect  ·  Okt. 2026  ·  PMID 42802662</w:t>
      </w:r>
    </w:p>
    <w:p>
      <w:r>
        <w:t>Qualitative Studie mit 11 Panelmitgliedern (Jugendliche, Betreuer, Gesundheitsanbieter, Systemführer) zu Erfahrungen und Barrieren der Teilnahme an einem integrierten Knowledge-Translation-Panel für Konsensbildung.</w:t>
      </w:r>
    </w:p>
    <w:p>
      <w:r>
        <w:rPr>
          <w:b/>
        </w:rPr>
        <w:t xml:space="preserve">Ergebnis: </w:t>
      </w:r>
      <w:r>
        <w:t>Mittlere PEIRS-22-Bewertung 88,3 (SD 10,5), 70% berichteten sehr oder extrem sinnvolle Beteiligung. Förderfaktoren: klare Kommunikation, Vertrauen, inklusives Umfeld, flexible Teilnahmeoptionen. Hemmnisse: Kommunikationsbelastung, Machtdynamiken, konkurrierende Verpflichtungen, Technologieprobleme, unerfüllte Erwartungen.</w:t>
      </w:r>
    </w:p>
    <w:p>
      <w:r>
        <w:rPr>
          <w:b/>
          <w:sz w:val="19"/>
        </w:rPr>
        <w:t xml:space="preserve">Übertragbarkeit: </w:t>
      </w:r>
      <w:r>
        <w:rPr>
          <w:sz w:val="19"/>
        </w:rPr>
        <w:t>Kanada, übertragbar auf deutschsprachige Beteiligungsgremien.</w:t>
      </w:r>
    </w:p>
    <w:p>
      <w:r>
        <w:rPr>
          <w:color w:val="5A7D3A"/>
          <w:sz w:val="18"/>
        </w:rPr>
        <w:t>https://pubmed.ncbi.nlm.nih.gov/42802662/</w:t>
      </w:r>
    </w:p>
    <w:p>
      <w:pPr>
        <w:pStyle w:val="Heading2"/>
      </w:pPr>
      <w:r>
        <w:t>Gesundheitskompetenz älterer Menschen mit Multimorbidität zeigt drei heterogene Profile</w:t>
      </w:r>
    </w:p>
    <w:p>
      <w:r>
        <w:rPr>
          <w:i/>
          <w:color w:val="666666"/>
          <w:sz w:val="18"/>
        </w:rPr>
        <w:t>Guo J et al.  ·  Front Public Health  ·  11.09.2026  ·  PMID 42798461</w:t>
      </w:r>
    </w:p>
    <w:p>
      <w:r>
        <w:t>Latent-Profile-Analyse mit 302 älteren multimorbiden Patienten aus China zur Identifikation von Gesundheitskompetenz-Klassen und deren Assoziation mit Selbstmanagement-Verhalten.</w:t>
      </w:r>
    </w:p>
    <w:p>
      <w:r>
        <w:rPr>
          <w:b/>
        </w:rPr>
        <w:t xml:space="preserve">Ergebnis: </w:t>
      </w:r>
      <w:r>
        <w:t>Drei Profile identifiziert: 18,5% niedrige Kompetenz mit begrenzter Informationsverarbeitung, 42,6% moderate Kompetenz mit Arztabhängigkeit, 38,9% hohe Kompetenz mit autonomer Entscheidung. Geschlecht, Alter, Wohnort, Bildung, Alkoholkonsum und Krankheitsdauer signifikant assoziiert. Selbstmanagement unterschied sich markant zwischen Profilen. Heterogenität erfordert gestaffelte, profilspezifische Interventionen.</w:t>
      </w:r>
    </w:p>
    <w:p>
      <w:r>
        <w:rPr>
          <w:b/>
          <w:sz w:val="19"/>
        </w:rPr>
        <w:t xml:space="preserve">Übertragbarkeit: </w:t>
      </w:r>
      <w:r>
        <w:rPr>
          <w:sz w:val="19"/>
        </w:rPr>
        <w:t>China, aber Profile-Struktur und Bildungseffekt auf deutsches Alter 65+ übertragbar.</w:t>
      </w:r>
    </w:p>
    <w:p>
      <w:r>
        <w:rPr>
          <w:color w:val="5A7D3A"/>
          <w:sz w:val="18"/>
        </w:rPr>
        <w:t>https://pubmed.ncbi.nlm.nih.gov/42798461/</w:t>
      </w:r>
    </w:p>
    <w:p>
      <w:pPr>
        <w:pStyle w:val="Heading1"/>
      </w:pPr>
      <w:r>
        <w:t>Aufgenommen am 28.09.2026</w:t>
      </w:r>
    </w:p>
    <w:p>
      <w:pPr>
        <w:pStyle w:val="Heading2"/>
      </w:pPr>
      <w:r>
        <w:t>Patient-Aktivierung und eHealth Literacy beeinflussen Selbstmanagement bei koronarer Herzerkrankung</w:t>
      </w:r>
    </w:p>
    <w:p>
      <w:r>
        <w:rPr>
          <w:i/>
          <w:color w:val="666666"/>
          <w:sz w:val="18"/>
        </w:rPr>
        <w:t>Tan J et al.  ·  Front Public Health  ·  11.09.2026  ·  PMID 42798483</w:t>
      </w:r>
    </w:p>
    <w:p>
      <w:r>
        <w:t>Querschnittstudie mit 433 Patienten mit koronarer Herzerkrankung, die den Zusammenhang zwischen Patient-Aktivierung, eHealth Literacy und Selbstmanagement untersuchte.</w:t>
      </w:r>
    </w:p>
    <w:p>
      <w:r>
        <w:rPr>
          <w:b/>
        </w:rPr>
        <w:t xml:space="preserve">Ergebnis: </w:t>
      </w:r>
      <w:r>
        <w:t>Patient-Aktivierung korrelierte moderat positiv mit eHealth Literacy (r = 0,51; p &lt; 0,001) und stärker mit kombiniertem Selbstmanagement (r = 0,59; p &lt; 0,001). eHealth Literacy mediierte die Assoziation teilweise (indirekter Effekt = 0,043, 95%-CI [0,002; 0,088]; 9% des Gesamteffekts). Der direkte Pfad war substantiell wichtiger als der indirekte Pfad.</w:t>
      </w:r>
    </w:p>
    <w:p>
      <w:r>
        <w:rPr>
          <w:b/>
          <w:sz w:val="19"/>
        </w:rPr>
        <w:t xml:space="preserve">Übertragbarkeit: </w:t>
      </w:r>
      <w:r>
        <w:rPr>
          <w:sz w:val="19"/>
        </w:rPr>
        <w:t>China, vergleichbare Erkrankungslast, Messinstrumente international etabliert</w:t>
      </w:r>
    </w:p>
    <w:p>
      <w:r>
        <w:rPr>
          <w:color w:val="5A7D3A"/>
          <w:sz w:val="18"/>
        </w:rPr>
        <w:t>https://pubmed.ncbi.nlm.nih.gov/42798483/</w:t>
      </w:r>
    </w:p>
    <w:p>
      <w:pPr>
        <w:pStyle w:val="Heading2"/>
      </w:pPr>
      <w:r>
        <w:t>Sprachmodelle für öffentliche Gesundheitsinformation zum Myokardinfarkt: Qualität und Verständlichkeit</w:t>
      </w:r>
    </w:p>
    <w:p>
      <w:r>
        <w:rPr>
          <w:i/>
          <w:color w:val="666666"/>
          <w:sz w:val="18"/>
        </w:rPr>
        <w:t>Lv T et al.  ·  Front Public Health  ·  10.09.2026  ·  PMID 42787455</w:t>
      </w:r>
    </w:p>
    <w:p>
      <w:r>
        <w:t>Vergleichende Bewertung von Antworten dreier Sprachmodelle (Gemini, Claude, ChatGPT) auf 25 Laienfragen zum Myokardinfarkt durch zwei Kardiologen mit validierten Qualitätsinstrumenten und Lesbarkeitsmetriken.</w:t>
      </w:r>
    </w:p>
    <w:p>
      <w:r>
        <w:rPr>
          <w:b/>
        </w:rPr>
        <w:t xml:space="preserve">Ergebnis: </w:t>
      </w:r>
      <w:r>
        <w:t>Signifikante Unterschiede in DISCERN (p &lt; 0,001) und EQIP (p &lt; 0,001) zwischen Modellen. Claude erzielte höhere DISCERN-Werte als Gemini und ChatGPT; alle zeigten schwache JAMA-Leistung (mangelnde Transparenz). Alle Modelle unterschritten die angestrebte Lesbarkeit (Klasse 6), erzeugten teilweise unvollständige oder potenziell schädliche Informationen. Sprachmodelle sind als eigenständige Patientenbildungs-Tools nicht geeignet.</w:t>
      </w:r>
    </w:p>
    <w:p>
      <w:r>
        <w:rPr>
          <w:b/>
          <w:sz w:val="19"/>
        </w:rPr>
        <w:t xml:space="preserve">Übertragbarkeit: </w:t>
      </w:r>
      <w:r>
        <w:rPr>
          <w:sz w:val="19"/>
        </w:rPr>
        <w:t>China, aber Befunde zu Lesbarkeit und Transparenz für deutschsprachige Zielgruppen relevant; Sprachgebundenheit beachten</w:t>
      </w:r>
    </w:p>
    <w:p>
      <w:r>
        <w:rPr>
          <w:color w:val="5A7D3A"/>
          <w:sz w:val="18"/>
        </w:rPr>
        <w:t>https://pubmed.ncbi.nlm.nih.gov/42787455/</w:t>
      </w:r>
    </w:p>
    <w:p>
      <w:pPr>
        <w:pStyle w:val="Heading2"/>
      </w:pPr>
      <w:r>
        <w:t>Klimawandelbildung erhöht Awareness, Angst und Hoffnung bei Schwangeren</w:t>
      </w:r>
    </w:p>
    <w:p>
      <w:r>
        <w:rPr>
          <w:i/>
          <w:color w:val="666666"/>
          <w:sz w:val="18"/>
        </w:rPr>
        <w:t>Aydın Çeli̇k S et al.  ·  BMC Pregnancy Childbirth  ·  25.07.2026  ·  PMID 42778888</w:t>
      </w:r>
    </w:p>
    <w:p>
      <w:r>
        <w:t>Randomisierte kontrollierte Studie mit 154 schwangeren Frauen (Interventionsgruppe n = 77, Kontrollgruppe n = 77) zu Effekten einer 60-minütigen Klimawandelschulung auf Bewusstsein, Angst und Hoffnung.</w:t>
      </w:r>
    </w:p>
    <w:p>
      <w:r>
        <w:rPr>
          <w:b/>
        </w:rPr>
        <w:t xml:space="preserve">Ergebnis: </w:t>
      </w:r>
      <w:r>
        <w:t>Interventionsgruppe zeigte signifikante Anstiege in Klimawandelangst, Awareness und Hoffnung nach der Schulung (p &lt; 0,001) mit großen Effektstärken (d = 1,30–2,20). Kontrollgruppe zeigte Angst- und Hoffnungsabnahme (p &lt; 0,05), nur marginale Awareness-Steigerung. Zwischen-Gruppen-Vergleiche zeigten signifikant höhere Posttest-Werte in der Interventionsgruppe (p &lt; 0,05). Wiederholte ANOVA: signifikante Gruppe-Zeit-Wechselwirkung (p &lt; 0,001).</w:t>
      </w:r>
    </w:p>
    <w:p>
      <w:r>
        <w:rPr>
          <w:b/>
          <w:sz w:val="19"/>
        </w:rPr>
        <w:t xml:space="preserve">Übertragbarkeit: </w:t>
      </w:r>
      <w:r>
        <w:rPr>
          <w:sz w:val="19"/>
        </w:rPr>
        <w:t>Türkei, generalisierbar auf deutschsprachige Schwangerschaftsbetreuung; Schulungsformat systemübergreifend adaptierbar</w:t>
      </w:r>
    </w:p>
    <w:p>
      <w:r>
        <w:rPr>
          <w:color w:val="5A7D3A"/>
          <w:sz w:val="18"/>
        </w:rPr>
        <w:t>https://pubmed.ncbi.nlm.nih.gov/42778888/</w:t>
      </w:r>
    </w:p>
    <w:p>
      <w:pPr>
        <w:pStyle w:val="Heading2"/>
      </w:pPr>
      <w:r>
        <w:t>Shared Decision-Making bei Schlaganfall: Umsetzungsformate und Barrieren</w:t>
      </w:r>
    </w:p>
    <w:p>
      <w:r>
        <w:rPr>
          <w:i/>
          <w:color w:val="666666"/>
          <w:sz w:val="18"/>
        </w:rPr>
        <w:t>Wang S et al.  ·  BMJ Open  ·  23.09.2026  ·  PMID 42778243</w:t>
      </w:r>
    </w:p>
    <w:p>
      <w:r>
        <w:t>Scoping Review von 17 Studien zu Shared Decision-Making (SDM) in der Schlaganfall-Akutbehandlung, Sekundärprävention und Entlassungsplanung.</w:t>
      </w:r>
    </w:p>
    <w:p>
      <w:r>
        <w:rPr>
          <w:b/>
        </w:rPr>
        <w:t xml:space="preserve">Ergebnis: </w:t>
      </w:r>
      <w:r>
        <w:t>SDM wurde über mehrere Schlaganfall-Prozesse hinweg angewendet mit variablen Umsetzungsformaten (papiergestützte Entscheidungshilfen, visuell, webbasiert, computergestützt). Einflussfaktoren identifiziert auf Patient-, Professionellen-, Werkzeug- und Organisations-Ebene. Evidenz zeigt potenziellen Nutzen, bleibt aber heterogen und begrenzt. Standardisierte Definitionen und Evaluationen fehlen.</w:t>
      </w:r>
    </w:p>
    <w:p>
      <w:r>
        <w:rPr>
          <w:b/>
          <w:sz w:val="19"/>
        </w:rPr>
        <w:t xml:space="preserve">Übertragbarkeit: </w:t>
      </w:r>
      <w:r>
        <w:rPr>
          <w:sz w:val="19"/>
        </w:rPr>
        <w:t>International, aber USA-Studien eingeschlossen; Empfehlungen zu Definitionen und Messung systemübergreifend relevant</w:t>
      </w:r>
    </w:p>
    <w:p>
      <w:r>
        <w:rPr>
          <w:color w:val="5A7D3A"/>
          <w:sz w:val="18"/>
        </w:rPr>
        <w:t>https://pubmed.ncbi.nlm.nih.gov/42778243/</w:t>
      </w:r>
    </w:p>
    <w:p>
      <w:pPr>
        <w:pStyle w:val="Heading2"/>
      </w:pPr>
      <w:r>
        <w:t>Kulturelle Anpassung von Shared Decision-Making und Navigation für hispanische Lungenkrebsscreening-Teilnehmer</w:t>
      </w:r>
    </w:p>
    <w:p>
      <w:r>
        <w:rPr>
          <w:i/>
          <w:color w:val="666666"/>
          <w:sz w:val="18"/>
        </w:rPr>
        <w:t>Arana-Chicas E et al.  ·  Cancer Causes Control  ·  23.09.2026  ·  PMID 42776309</w:t>
      </w:r>
    </w:p>
    <w:p>
      <w:r>
        <w:t>Qualitative Studie mit 19 hispanischen Erwachsenen (50–77 Jahre, 68 % spanischsprachig) zu Wahrnehmungen von Lungenkrebsscreening und Shared Decision-Making für die kulturelle Adaption der TELESCOPE-Intervention.</w:t>
      </w:r>
    </w:p>
    <w:p>
      <w:r>
        <w:rPr>
          <w:b/>
        </w:rPr>
        <w:t xml:space="preserve">Ergebnis: </w:t>
      </w:r>
      <w:r>
        <w:t>Vier Themen identifiziert: (1) begrenzte Kenntnis von Lungenkrebsscreening; (2) Präferenz für klare und freundliche Kommunikation; (3) Besorgnis um Angst und Fatalismus; (4) Bedeutung kulturell relevanter Gestaltung. Diese Befunde sollen Kulturanpassung einer telemedizingestützten SDM-Intervention leiten.</w:t>
      </w:r>
    </w:p>
    <w:p>
      <w:r>
        <w:rPr>
          <w:b/>
          <w:sz w:val="19"/>
        </w:rPr>
        <w:t xml:space="preserve">Übertragbarkeit: </w:t>
      </w:r>
      <w:r>
        <w:rPr>
          <w:sz w:val="19"/>
        </w:rPr>
        <w:t>USA, aber Befunde zur Kommunikationsgestaltung und Angstabbau gelten systemübergreifend; Sprachkompetenz systemgebunden</w:t>
      </w:r>
    </w:p>
    <w:p>
      <w:r>
        <w:rPr>
          <w:color w:val="5A7D3A"/>
          <w:sz w:val="18"/>
        </w:rPr>
        <w:t>https://pubmed.ncbi.nlm.nih.gov/42776309/</w:t>
      </w:r>
    </w:p>
    <w:p>
      <w:pPr>
        <w:pStyle w:val="Heading2"/>
      </w:pPr>
      <w:r>
        <w:t>Selbsteingeschätzte Gesundheit und eHealth Literacy bei Pflegestudierenden korrelieren</w:t>
      </w:r>
    </w:p>
    <w:p>
      <w:r>
        <w:rPr>
          <w:i/>
          <w:color w:val="666666"/>
          <w:sz w:val="18"/>
        </w:rPr>
        <w:t>Huang L et al.  ·  Nurs Open  ·  Sept. 2026  ·  PMID 42768417</w:t>
      </w:r>
    </w:p>
    <w:p>
      <w:r>
        <w:t>Querschnittsstudie mit 727 Pflegestudierenden aus einer chinesischen Fachschule zur Assoziation zwischen Selbstbewertung der Gesundheit und eHealth Literacy, adjustiert für Alter, Geschlecht, familiärer Sozioökonomie und akademischen Stress.</w:t>
      </w:r>
    </w:p>
    <w:p>
      <w:r>
        <w:rPr>
          <w:b/>
        </w:rPr>
        <w:t xml:space="preserve">Ergebnis: </w:t>
      </w:r>
      <w:r>
        <w:t>Nach Adjustierung für Kovariaten: Studierende mit schlechter Selbsteinschätzung der Gesundheit zeigten signifikant niedrigere eHealth-Literacy-Scores als solche mit guter Gesundheit. Auch Studierende mit fairer Selbstbewertung hatten niedrigere Scores, der Unterschied war aber erheblich kleiner. Assoziation statistisch signifikant, kausale Richtung ungeklärt.</w:t>
      </w:r>
    </w:p>
    <w:p>
      <w:r>
        <w:rPr>
          <w:b/>
          <w:sz w:val="19"/>
        </w:rPr>
        <w:t xml:space="preserve">Übertragbarkeit: </w:t>
      </w:r>
      <w:r>
        <w:rPr>
          <w:sz w:val="19"/>
        </w:rPr>
        <w:t>China, aber Befund zur Bedeutung von Gesundheitswahrnehmung für digitale Kompetenz in Pflegeausbildung EU-weit relevant</w:t>
      </w:r>
    </w:p>
    <w:p>
      <w:r>
        <w:rPr>
          <w:color w:val="5A7D3A"/>
          <w:sz w:val="18"/>
        </w:rPr>
        <w:t>https://pubmed.ncbi.nlm.nih.gov/42768417/</w:t>
      </w:r>
    </w:p>
    <w:p>
      <w:pPr>
        <w:pStyle w:val="Heading1"/>
      </w:pPr>
      <w:r>
        <w:t>Aufgenommen am 27.09.2026</w:t>
      </w:r>
    </w:p>
    <w:p>
      <w:pPr>
        <w:pStyle w:val="Heading2"/>
      </w:pPr>
      <w:r>
        <w:t>Virtuelle Ernährungsschulung für Nierenkranke: hohe Akzeptanz, machbar</w:t>
      </w:r>
    </w:p>
    <w:p>
      <w:r>
        <w:rPr>
          <w:i/>
          <w:color w:val="666666"/>
          <w:sz w:val="18"/>
        </w:rPr>
        <w:t>Santos-López MF et al.  ·  Nutrients  ·  21.09.2026  ·  PMID 42797080</w:t>
      </w:r>
    </w:p>
    <w:p>
      <w:r>
        <w:t>Die Studie entwickelte systematisch ein strukturiertes virtuelles Schulungsprogramm für erwachsene Patienten mit chronischer Nierenerkrankung Stadium 3–4 und prüfte dessen Machbarkeit anhand von Akzeptanz und Vollendungsraten.</w:t>
      </w:r>
    </w:p>
    <w:p>
      <w:r>
        <w:rPr>
          <w:b/>
        </w:rPr>
        <w:t xml:space="preserve">Ergebnis: </w:t>
      </w:r>
      <w:r>
        <w:t>Das Programm besteht aus 4 Sitzungen mit 10 kurzen Videos und 6 digitalen Materialien. 87 % der eingeladenen Patienten absolvierten das Programm und füllten Akzeptanzfragebögen aus. Mittlere Akzeptanzpunktzahl: 32 von 35 Punkten. Hohe Machbarkeit und Akzeptabilität demonstriert.</w:t>
      </w:r>
    </w:p>
    <w:p>
      <w:r>
        <w:rPr>
          <w:b/>
          <w:sz w:val="19"/>
        </w:rPr>
        <w:t xml:space="preserve">Übertragbarkeit: </w:t>
      </w:r>
      <w:r>
        <w:rPr>
          <w:sz w:val="19"/>
        </w:rPr>
        <w:t>Systematische ADDIE-Methode und COM-B-Modell sind sprachsystemunabhängig; Implementierung in Deutschland analog möglich.</w:t>
      </w:r>
    </w:p>
    <w:p>
      <w:r>
        <w:rPr>
          <w:color w:val="5A7D3A"/>
          <w:sz w:val="18"/>
        </w:rPr>
        <w:t>https://pubmed.ncbi.nlm.nih.gov/42797080/</w:t>
      </w:r>
    </w:p>
    <w:p>
      <w:pPr>
        <w:pStyle w:val="Heading2"/>
      </w:pPr>
      <w:r>
        <w:t>Niedrigere Gesundheitskompetenz korreliert mit schlechterer Ernährungsqualität</w:t>
      </w:r>
    </w:p>
    <w:p>
      <w:r>
        <w:rPr>
          <w:i/>
          <w:color w:val="666666"/>
          <w:sz w:val="18"/>
        </w:rPr>
        <w:t>Joo H et al.  ·  Nutrients  ·  20.09.2026  ·  PMID 42797065</w:t>
      </w:r>
    </w:p>
    <w:p>
      <w:r>
        <w:t>Die Studie analysierte an 5.353 koreanischen Erwachsenen den Zusammenhang zwischen Gesundheitskompetenz (10-Item-Instrument) und Ernährungsqualität (Korean Healthy Eating Index aus 24-h-Recall), mit Altersstratifizierung.</w:t>
      </w:r>
    </w:p>
    <w:p>
      <w:r>
        <w:rPr>
          <w:b/>
        </w:rPr>
        <w:t xml:space="preserve">Ergebnis: </w:t>
      </w:r>
      <w:r>
        <w:t>Rohe Differenz schien positiv, aber Altersadjustierung invertierte sie (β = −2,76; vollständig adjustiert β = −1,70, 95%-KI −2,66 bis −0,75). Höhere Odds für schlechteste Ernährungsterzile bei niedriger Kompetenz (OR = 1,37, 95%-KI 1,09–1,72; p = 0,007). Pro 1-SD-Anstieg der Gesundheitskompetenz: β = +0,77 (95%-KI 0,42–1,12). Assoziation stärker bei Männern.</w:t>
      </w:r>
    </w:p>
    <w:p>
      <w:r>
        <w:rPr>
          <w:b/>
          <w:sz w:val="19"/>
        </w:rPr>
        <w:t xml:space="preserve">Übertragbarkeit: </w:t>
      </w:r>
      <w:r>
        <w:rPr>
          <w:sz w:val="19"/>
        </w:rPr>
        <w:t>Südkorea; Querschnittdesign schließt Kausalität aus; Befund zeigt Ungleichheit nach Bildung.</w:t>
      </w:r>
    </w:p>
    <w:p>
      <w:r>
        <w:rPr>
          <w:color w:val="5A7D3A"/>
          <w:sz w:val="18"/>
        </w:rPr>
        <w:t>https://pubmed.ncbi.nlm.nih.gov/42797065/</w:t>
      </w:r>
    </w:p>
    <w:p>
      <w:pPr>
        <w:pStyle w:val="Heading2"/>
      </w:pPr>
      <w:r>
        <w:t>Eltern chronisch kranker Kinder: bessere Gesundheitskompetenz bedeutet weniger Stress</w:t>
      </w:r>
    </w:p>
    <w:p>
      <w:r>
        <w:rPr>
          <w:i/>
          <w:color w:val="666666"/>
          <w:sz w:val="18"/>
        </w:rPr>
        <w:t>Skoss R et al.  ·  BMC Health Serv Res  ·  11.08.2026  ·  PMID 42791541</w:t>
      </w:r>
    </w:p>
    <w:p>
      <w:r>
        <w:t>Die Studie untersuchte mittels Clusteranalyse Gesundheitskompetenz-Profile (Health Literacy Questionnaire) von australischen Eltern von Kindern mit speziellen Gesundheitsbedürfnissen und deren Zusammenhang mit Erfahrungen der Versorgungsintegration und elterlichem Stress.</w:t>
      </w:r>
    </w:p>
    <w:p>
      <w:r>
        <w:rPr>
          <w:b/>
        </w:rPr>
        <w:t xml:space="preserve">Ergebnis: </w:t>
      </w:r>
      <w:r>
        <w:t>Drei distinct Health-Literacy-Profile identifiziert. Eltern mit höherer Gesundheitskompetenz berichteten bessere Erfahrungen mit koordinierter Versorgung und niedrigere wahrgenommene Stresslevels. Profile unterschieden sich nicht in Demografie, aber in Stresserleben und Versorgungserfahrung.</w:t>
      </w:r>
    </w:p>
    <w:p>
      <w:r>
        <w:rPr>
          <w:b/>
          <w:sz w:val="19"/>
        </w:rPr>
        <w:t xml:space="preserve">Übertragbarkeit: </w:t>
      </w:r>
      <w:r>
        <w:rPr>
          <w:sz w:val="19"/>
        </w:rPr>
        <w:t>Australien, englischsprachiges Sozialversicherungssystem; HLQ-Messmethode international validiert, Profile-Ansatz übertragbar.</w:t>
      </w:r>
    </w:p>
    <w:p>
      <w:r>
        <w:rPr>
          <w:color w:val="5A7D3A"/>
          <w:sz w:val="18"/>
        </w:rPr>
        <w:t>https://pubmed.ncbi.nlm.nih.gov/42791541/</w:t>
      </w:r>
    </w:p>
    <w:p>
      <w:pPr>
        <w:pStyle w:val="Heading2"/>
      </w:pPr>
      <w:r>
        <w:t>ChatGPT vereinfacht medizinische Berichte – Patienten verstehen mehr</w:t>
      </w:r>
    </w:p>
    <w:p>
      <w:r>
        <w:rPr>
          <w:i/>
          <w:color w:val="666666"/>
          <w:sz w:val="18"/>
        </w:rPr>
        <w:t>Stephan D et al.  ·  Oral Maxillofac Surg  ·  26.09.2026  ·  PMID 42791420</w:t>
      </w:r>
    </w:p>
    <w:p>
      <w:r>
        <w:t>Die Studie untersuchte, ob ChatGPT komplexe medizinische Berichte (MRT, CT, OP-Berichte, Entlassungssummern) in verständlichere Fassungen für Patienten umwandeln kann und ob dies das Verständnis verbessert.</w:t>
      </w:r>
    </w:p>
    <w:p>
      <w:r>
        <w:rPr>
          <w:b/>
        </w:rPr>
        <w:t xml:space="preserve">Ergebnis: </w:t>
      </w:r>
      <w:r>
        <w:t>Vereinfachte Berichte erhielten signifikant höhere Lesbarkeitsindizes (Flesch Reading Ease 48,4 ± 5,0 vs. 22,9 ± 5,2; p &lt; 0,0001). Patienten beurteilten vereinfachte Texte als deutlich klarer und nützlicher (p &lt; 0,001). Die Verständnisgenauigkeit verbesserte sich markant (z. B. MRI 80,3% vs. 53,7%; p &lt; 0,001). Keine medizinischen Informationen gingen verloren.</w:t>
      </w:r>
    </w:p>
    <w:p>
      <w:r>
        <w:rPr>
          <w:b/>
          <w:sz w:val="19"/>
        </w:rPr>
        <w:t xml:space="preserve">Übertragbarkeit: </w:t>
      </w:r>
      <w:r>
        <w:rPr>
          <w:sz w:val="19"/>
        </w:rPr>
        <w:t>Deutschland: Sprachgebunden; Anwendbarkeit auf deutsche Fachbegriffe und Dokumentationsstandards zu prüfen.</w:t>
      </w:r>
    </w:p>
    <w:p>
      <w:r>
        <w:rPr>
          <w:color w:val="5A7D3A"/>
          <w:sz w:val="18"/>
        </w:rPr>
        <w:t>https://pubmed.ncbi.nlm.nih.gov/42791420/</w:t>
      </w:r>
    </w:p>
    <w:p>
      <w:pPr>
        <w:pStyle w:val="Heading2"/>
      </w:pPr>
      <w:r>
        <w:t>Mentale Gesundheitsschulung für Schüler in Kambodscha und Vietnam: Co-Adaptation gelungen</w:t>
      </w:r>
    </w:p>
    <w:p>
      <w:r>
        <w:rPr>
          <w:i/>
          <w:color w:val="666666"/>
          <w:sz w:val="18"/>
        </w:rPr>
        <w:t>Murray A et al.  ·  BMJ Glob Health  ·  25.09.2026  ·  PMID 42791046</w:t>
      </w:r>
    </w:p>
    <w:p>
      <w:r>
        <w:t>Die Studie beschreibt die partizipative Co-Adaption einer schulgestützten Intervention zur Mental Health Literacy für Jugendliche in zwei Ländern mit niedrigem/mittlerem Einkommen, unter Beteiligung von Schülern, Eltern, Lehrern und Stakeholdern.</w:t>
      </w:r>
    </w:p>
    <w:p>
      <w:r>
        <w:rPr>
          <w:b/>
        </w:rPr>
        <w:t xml:space="preserve">Ergebnis: </w:t>
      </w:r>
      <w:r>
        <w:t>Zentrale Adaptationen: Zwei Facilitatoren pro Sitzung (ein Lehrer, ein externer Provider, Rückfallehrer in Kambodscha); Peer-Co-Facilitation in einigen Sitzungen; Ergänzung neuer Themen (Internet, Essstörungen/Körperbild, Selbstverletzung/Suizid). Frühes und diverse Stakeholder-Engagement stärkte Co-Adaptationsprozess.</w:t>
      </w:r>
    </w:p>
    <w:p>
      <w:r>
        <w:rPr>
          <w:b/>
          <w:sz w:val="19"/>
        </w:rPr>
        <w:t xml:space="preserve">Übertragbarkeit: </w:t>
      </w:r>
      <w:r>
        <w:rPr>
          <w:sz w:val="19"/>
        </w:rPr>
        <w:t>Kambodscha, Vietnam; LMIC-Kontext; partizipative Methodik und Kulturadaption sind systemunabhängig, Modell auf Deutschland übertragbar.</w:t>
      </w:r>
    </w:p>
    <w:p>
      <w:r>
        <w:rPr>
          <w:color w:val="5A7D3A"/>
          <w:sz w:val="18"/>
        </w:rPr>
        <w:t>https://pubmed.ncbi.nlm.nih.gov/42791046/</w:t>
      </w:r>
    </w:p>
    <w:p>
      <w:pPr>
        <w:pStyle w:val="Heading2"/>
      </w:pPr>
      <w:r>
        <w:t>Patienten in Jordanien lesen Beipackzettel – aber nicht bei Polypharmaka</w:t>
      </w:r>
    </w:p>
    <w:p>
      <w:r>
        <w:rPr>
          <w:i/>
          <w:color w:val="666666"/>
          <w:sz w:val="18"/>
        </w:rPr>
        <w:t>Al-Anasweh Q et al.  ·  Farm Comunitarios  ·  15.10.2026  ·  PMID 42774024</w:t>
      </w:r>
    </w:p>
    <w:p>
      <w:r>
        <w:t>Die Studie untersuchte an 343 jordanischen Patienten Einstellungen und Verhalten gegenüber Packungsbeilagen (Patient Information Leaflets) und identifizierte Prädiktoren für deren Lektüre.</w:t>
      </w:r>
    </w:p>
    <w:p>
      <w:r>
        <w:rPr>
          <w:b/>
        </w:rPr>
        <w:t xml:space="preserve">Ergebnis: </w:t>
      </w:r>
      <w:r>
        <w:t>Hohe Leseprävalenz: 87,2 %. Häufigste gelesene Abschnitte: Indikation (80,6 %), Nebenwirkungen (77,9 %), Anwendung (63,5 %). Höhere Wahrscheinlichkeit für Lektüre: weiblich, verheiratet, niedriges Einkommen (alle p &lt; 0,05). Polypharmaka assoziiert mit Nicht-Lesen (p &lt; 0,001). Hauptgründe für Nicht-Lesen: ausreichende ärztliche Information (52,3 %), ungeeignete Schriftgröße (29,5 %).</w:t>
      </w:r>
    </w:p>
    <w:p>
      <w:r>
        <w:rPr>
          <w:b/>
          <w:sz w:val="19"/>
        </w:rPr>
        <w:t xml:space="preserve">Übertragbarkeit: </w:t>
      </w:r>
      <w:r>
        <w:rPr>
          <w:sz w:val="19"/>
        </w:rPr>
        <w:t>Jordanien (Mittlerer Osten); zeigt Ungleichheit nach Geschlecht, Einkommen und Medikamentenzahl; Schriftgrößen-Problem universal.</w:t>
      </w:r>
    </w:p>
    <w:p>
      <w:r>
        <w:rPr>
          <w:color w:val="5A7D3A"/>
          <w:sz w:val="18"/>
        </w:rPr>
        <w:t>https://pubmed.ncbi.nlm.nih.gov/42774024/</w:t>
      </w:r>
    </w:p>
    <w:p>
      <w:pPr>
        <w:pStyle w:val="Heading2"/>
      </w:pPr>
      <w:r>
        <w:t>Herzrehabilitations-Schulung senkt Sterblichkeit nach Herzinfarkt deutlich</w:t>
      </w:r>
    </w:p>
    <w:p>
      <w:r>
        <w:rPr>
          <w:i/>
          <w:color w:val="666666"/>
          <w:sz w:val="18"/>
        </w:rPr>
        <w:t>Jeon K et al.  ·  Yonsei Med J  ·  Okt. 2026  ·  PMID 42773494</w:t>
      </w:r>
    </w:p>
    <w:p>
      <w:r>
        <w:t>Die Studie untersuchte anhand von Krankenkassendaten von 92.968 südkoreanischen Herzinfarkt-Patienten (2018–2022), wie strukturierte Schulung und Therapiesitzungen in der Rehabilitation auf Sterblichkeit und Krankenhauseinweisungen wirken.</w:t>
      </w:r>
    </w:p>
    <w:p>
      <w:r>
        <w:rPr>
          <w:b/>
        </w:rPr>
        <w:t xml:space="preserve">Ergebnis: </w:t>
      </w:r>
      <w:r>
        <w:t>85,5 % erhielten keine Rehabilitation. Alle Rehabilitationsgruppen zeigten niedrigere Sterblichkeit. Größter Effekt: Schulung + ≥4 Therapiesitzungen (HR 0,257, 95%-KI 0,123–0,539) oder ≥4 Sitzungen ohne Schulung (HR 0,291, 95%-KI 0,203–0,417). Schulungsbasierte Rehabilitation korrelierte zudem mit weniger kardiovaskulären Neuaufnahmen und Wiederinterventionen.</w:t>
      </w:r>
    </w:p>
    <w:p>
      <w:r>
        <w:rPr>
          <w:b/>
          <w:sz w:val="19"/>
        </w:rPr>
        <w:t xml:space="preserve">Übertragbarkeit: </w:t>
      </w:r>
      <w:r>
        <w:rPr>
          <w:sz w:val="19"/>
        </w:rPr>
        <w:t>Südkorea, ähnliches Versicherungssystem; Struktur und Outcome-Tracking auf deutsches Gesundheitswesen übertragbar.</w:t>
      </w:r>
    </w:p>
    <w:p>
      <w:r>
        <w:rPr>
          <w:color w:val="5A7D3A"/>
          <w:sz w:val="18"/>
        </w:rPr>
        <w:t>https://pubmed.ncbi.nlm.nih.gov/42773494/</w:t>
      </w:r>
    </w:p>
    <w:p>
      <w:pPr>
        <w:pStyle w:val="Heading1"/>
      </w:pPr>
      <w:r>
        <w:t>Aufgenommen am 26.09.2026</w:t>
      </w:r>
    </w:p>
    <w:p>
      <w:pPr>
        <w:pStyle w:val="Heading2"/>
      </w:pPr>
      <w:r>
        <w:t>Patientenbeteiligung bei digitaler Überwachung: Co-Design für Aortendissektion</w:t>
      </w:r>
    </w:p>
    <w:p>
      <w:r>
        <w:rPr>
          <w:i/>
          <w:color w:val="666666"/>
          <w:sz w:val="18"/>
        </w:rPr>
        <w:t>Grewal N et al.  ·  BMJ Open  ·  25.09.2026  ·  PMID 42790905</w:t>
      </w:r>
    </w:p>
    <w:p>
      <w:r>
        <w:t>Qualitative Co-Creation-Studie mit 76 Patienten mit thorakaler Aortendissektion in vier Phasen, um Monitoring-Domains zu identifizieren, die Patienten selbst als bedeutsam erachten.</w:t>
      </w:r>
    </w:p>
    <w:p>
      <w:r>
        <w:rPr>
          <w:b/>
        </w:rPr>
        <w:t xml:space="preserve">Ergebnis: </w:t>
      </w:r>
      <w:r>
        <w:t>Fünf wiederkehrende Domains: Unsicherheit und Rezidivangst managen, Symptome interpretieren, Blutdrucküberwachung, Lebenspartizipation und Zugänglichkeit. Diese wurden in eine Monitoring-Agenda mit Symptomkontextualisierung, Blutdrucktrends, Patient-Reported Outcomes, Aktivitäts-Feedback, Entscheidungshilfen und Eskalationspfaden übersetzt. Patienten betonten Monitoring als Ergänzung, nicht Ersatz für bildgebende Verfahren.</w:t>
      </w:r>
    </w:p>
    <w:p>
      <w:r>
        <w:rPr>
          <w:b/>
          <w:sz w:val="19"/>
        </w:rPr>
        <w:t xml:space="preserve">Übertragbarkeit: </w:t>
      </w:r>
      <w:r>
        <w:rPr>
          <w:sz w:val="19"/>
        </w:rPr>
        <w:t>Niederlande, tertiäres Zentrum – Strukturen nicht ohne Weiteres übertragbar, aber Co-Design-Methode bewährt.</w:t>
      </w:r>
    </w:p>
    <w:p>
      <w:r>
        <w:rPr>
          <w:color w:val="5A7D3A"/>
          <w:sz w:val="18"/>
        </w:rPr>
        <w:t>https://pubmed.ncbi.nlm.nih.gov/42790905/</w:t>
      </w:r>
    </w:p>
    <w:p>
      <w:pPr>
        <w:pStyle w:val="Heading2"/>
      </w:pPr>
      <w:r>
        <w:t>Konsistenz der Stillaufklärung über perinatale Periode: eHealth-Lösung gefordert</w:t>
      </w:r>
    </w:p>
    <w:p>
      <w:r>
        <w:rPr>
          <w:i/>
          <w:color w:val="666666"/>
          <w:sz w:val="18"/>
        </w:rPr>
        <w:t>Abbass-Dick J et al.  ·  J Mother Child  ·  01.01.2026  ·  PMID 42790888</w:t>
      </w:r>
    </w:p>
    <w:p>
      <w:r>
        <w:t>Deskriptive Befragung von 93 Fachpersonen und 78 Müttern zu Erfahrungen mit Stillaufklärung und Eignung von eHealth-Ressourcen zur Standardisierung.</w:t>
      </w:r>
    </w:p>
    <w:p>
      <w:r>
        <w:rPr>
          <w:b/>
        </w:rPr>
        <w:t xml:space="preserve">Ergebnis: </w:t>
      </w:r>
      <w:r>
        <w:t>Mütter erhielten Aufklärung von diversen Fachpersonen mit variierender Information zu verschiedenen Zeitpunkten. Mündliche Kommunikation war häufigste Methode. Beide Gruppen nannten Online-Videos und Websites als wirksamste digitale Lösungen. Mangel an Konsistenz und Zugänglichkeit über die gesamte perinatale Phase identifiziert.</w:t>
      </w:r>
    </w:p>
    <w:p>
      <w:r>
        <w:rPr>
          <w:b/>
          <w:sz w:val="19"/>
        </w:rPr>
        <w:t xml:space="preserve">Übertragbarkeit: </w:t>
      </w:r>
      <w:r>
        <w:rPr>
          <w:sz w:val="19"/>
        </w:rPr>
        <w:t>Kanada – Organisierungsmodell unterschiedlich, aber Fragmentierung perinataler Beratung systemübergreifend relevant.</w:t>
      </w:r>
    </w:p>
    <w:p>
      <w:r>
        <w:rPr>
          <w:color w:val="5A7D3A"/>
          <w:sz w:val="18"/>
        </w:rPr>
        <w:t>https://pubmed.ncbi.nlm.nih.gov/42790888/</w:t>
      </w:r>
    </w:p>
    <w:p>
      <w:pPr>
        <w:pStyle w:val="Heading2"/>
      </w:pPr>
      <w:r>
        <w:t>Vergleich digitaler Entscheidungshilfen für Endometriose: Qualität und Vollständigkeit unzureichend</w:t>
      </w:r>
    </w:p>
    <w:p>
      <w:r>
        <w:rPr>
          <w:i/>
          <w:color w:val="666666"/>
          <w:sz w:val="18"/>
        </w:rPr>
        <w:t>Pittet O et al.  ·  Health Expect  ·  Okt. 2026  ·  PMID 42788763</w:t>
      </w:r>
    </w:p>
    <w:p>
      <w:r>
        <w:t>Scoping Review zu digitalen Patient Decision Aids (PtDAs) für Endometriose: 10 PtDAs wurden analysiert (5 von Experten, 5 KI-generiert) nach IPDAS-Kriterien und Transparenz.</w:t>
      </w:r>
    </w:p>
    <w:p>
      <w:r>
        <w:rPr>
          <w:b/>
        </w:rPr>
        <w:t xml:space="preserve">Ergebnis: </w:t>
      </w:r>
      <w:r>
        <w:t>Die meisten PtDAs beschrieben Gesundheitszustand, Optionen mit Pro/Contra, verfehlten aber wichtige IPDAS-Kriterien. Expertengenerierte PtDAs zeigten mangelnde Transparenz in Entwicklung und fehlende formale Evaluation. KI-Aids erwähnten häufiger Komplementärmedizin. Alle zeigten Defizite in Vollständigkeit und Evidenzstützung.</w:t>
      </w:r>
    </w:p>
    <w:p>
      <w:r>
        <w:rPr>
          <w:b/>
          <w:sz w:val="19"/>
        </w:rPr>
        <w:t xml:space="preserve">Übertragbarkeit: </w:t>
      </w:r>
      <w:r>
        <w:rPr>
          <w:sz w:val="19"/>
        </w:rPr>
        <w:t>Schweiz, strukturelles Problem unabhängig vom System – Qualitätsdefizite universell.</w:t>
      </w:r>
    </w:p>
    <w:p>
      <w:r>
        <w:rPr>
          <w:color w:val="5A7D3A"/>
          <w:sz w:val="18"/>
        </w:rPr>
        <w:t>https://pubmed.ncbi.nlm.nih.gov/42788763/</w:t>
      </w:r>
    </w:p>
    <w:p>
      <w:pPr>
        <w:pStyle w:val="Heading2"/>
      </w:pPr>
      <w:r>
        <w:t>Spirituelle Ressourcen stärken Patientenempowerment auch bei hoher Symptombelastung</w:t>
      </w:r>
    </w:p>
    <w:p>
      <w:r>
        <w:rPr>
          <w:i/>
          <w:color w:val="666666"/>
          <w:sz w:val="18"/>
        </w:rPr>
        <w:t>Gürdap Z et al.  ·  BMC Palliat Care  ·  05.08.2026  ·  PMID 42786479</w:t>
      </w:r>
    </w:p>
    <w:p>
      <w:r>
        <w:t>Querschnittsstudie mit 140 Patienten in Palliativpflege in der Türkei zur Vorhersage von Patient Empowerment durch Symptombelastung und spirituales Wohlbefinden.</w:t>
      </w:r>
    </w:p>
    <w:p>
      <w:r>
        <w:rPr>
          <w:b/>
        </w:rPr>
        <w:t xml:space="preserve">Ergebnis: </w:t>
      </w:r>
      <w:r>
        <w:t>Mittlere Symptombelastung (50,95 ± 11,41), aber moderate spirituale Wohlbefindensscores (24,25 ± 4,93) und Empowerment (3,05 ± 0,48). Regressionsmodell erklärte 42,8 % der Varianz: Spirituales Wohlbefinden (β = 0,484, p&lt;0,001) und andere chronische Erkrankungen (β = 0,372, p&lt;0,001) waren stärkste Prädiktoren; Symptombelastung zeigte keinen signifikanten Effekt.</w:t>
      </w:r>
    </w:p>
    <w:p>
      <w:r>
        <w:rPr>
          <w:b/>
          <w:sz w:val="19"/>
        </w:rPr>
        <w:t xml:space="preserve">Übertragbarkeit: </w:t>
      </w:r>
      <w:r>
        <w:rPr>
          <w:sz w:val="19"/>
        </w:rPr>
        <w:t>Türkei – holistische Pflege systemunabhängig, spirituelle Begleitung in allen Kulturen relevant.</w:t>
      </w:r>
    </w:p>
    <w:p>
      <w:r>
        <w:rPr>
          <w:color w:val="5A7D3A"/>
          <w:sz w:val="18"/>
        </w:rPr>
        <w:t>https://pubmed.ncbi.nlm.nih.gov/42786479/</w:t>
      </w:r>
    </w:p>
    <w:p>
      <w:pPr>
        <w:pStyle w:val="Heading2"/>
      </w:pPr>
      <w:r>
        <w:t>Umfassende Aufklärung senkt postoperative Schmerzen nach Ureterstent-Einlage</w:t>
      </w:r>
    </w:p>
    <w:p>
      <w:r>
        <w:rPr>
          <w:i/>
          <w:color w:val="666666"/>
          <w:sz w:val="18"/>
        </w:rPr>
        <w:t>Golomb D et al.  ·  Urolithiasis  ·  24.09.2026  ·  PMID 42782293</w:t>
      </w:r>
    </w:p>
    <w:p>
      <w:r>
        <w:t>Randomisierte Pilotstudie mit 48 Patienten (19 Intervention, 29 Kontrolle): Intervention erhielt multimodale Aufklärung (Erklärung, Video, Stent-Muster), Kontrolle Standardberatung.</w:t>
      </w:r>
    </w:p>
    <w:p>
      <w:r>
        <w:rPr>
          <w:b/>
        </w:rPr>
        <w:t xml:space="preserve">Ergebnis: </w:t>
      </w:r>
      <w:r>
        <w:t>Intervention hatte niedrigeren medianen Schmerzwert POD1 (1 vs. 3, p=0,084) und weniger ungeplante Notaufnahme-Besuche (5,3 % vs. 24,1 %, OR 0,18, 95%KI 0,004–1,62; Risikodifferenz –18,9 %, p=0,123). Keine statistischen Signifikanz, aber Konfidenzintervalle vereinbar mit klinischem Nutzen. Geringe Komplikationsraten.</w:t>
      </w:r>
    </w:p>
    <w:p>
      <w:r>
        <w:rPr>
          <w:b/>
          <w:sz w:val="19"/>
        </w:rPr>
        <w:t xml:space="preserve">Übertragbarkeit: </w:t>
      </w:r>
      <w:r>
        <w:rPr>
          <w:sz w:val="19"/>
        </w:rPr>
        <w:t>Israel – Pilotstudie, größere Fallzahl erforderlich; Konzept von Sprachenbarrieren unabhängig.</w:t>
      </w:r>
    </w:p>
    <w:p>
      <w:r>
        <w:rPr>
          <w:color w:val="5A7D3A"/>
          <w:sz w:val="18"/>
        </w:rPr>
        <w:t>https://pubmed.ncbi.nlm.nih.gov/42782293/</w:t>
      </w:r>
    </w:p>
    <w:p>
      <w:pPr>
        <w:pStyle w:val="Heading2"/>
      </w:pPr>
      <w:r>
        <w:t>Digitale Faktoren und Health Literacy: Wer ist anfällig für Gesundheitsfehlinformation?</w:t>
      </w:r>
    </w:p>
    <w:p>
      <w:r>
        <w:rPr>
          <w:i/>
          <w:color w:val="666666"/>
          <w:sz w:val="18"/>
        </w:rPr>
        <w:t>Duplaga M  ·  Stud Health Technol Inform  ·  29.06.2026  ·  PMID 42393957</w:t>
      </w:r>
    </w:p>
    <w:p>
      <w:r>
        <w:t>Online-Befragung von 2.701 polnischen Erwachsenen (18–75 Jahre) zum Zusammenhang zwischen digitalen Verhaltensweisen, Health Literacy und Anfälligkeit für Fehlinformation.</w:t>
      </w:r>
    </w:p>
    <w:p>
      <w:r>
        <w:rPr>
          <w:b/>
        </w:rPr>
        <w:t xml:space="preserve">Ergebnis: </w:t>
      </w:r>
      <w:r>
        <w:t>Höhere Social-Media-Sucht, zwanghafter Internetgebrauch und E-Health Literacy waren mit erhöhter Anfälligkeit assoziiert (p&lt;0,05). Niedrigere tägliche Internetnutzung war mit höherer Anfälligkeit verknüpft als &gt;3 Stunden/Tag. Digitale Variablen erklärten jedoch nur bescheidene zusätzliche Varianz im Gesamtmodell – begrenzte Erklärungskraft.</w:t>
      </w:r>
    </w:p>
    <w:p>
      <w:r>
        <w:rPr>
          <w:b/>
          <w:sz w:val="19"/>
        </w:rPr>
        <w:t xml:space="preserve">Übertragbarkeit: </w:t>
      </w:r>
      <w:r>
        <w:rPr>
          <w:sz w:val="19"/>
        </w:rPr>
        <w:t>Polen, EU-Land mit vergleichbarem Gesundheitssystem – digitale Literacy-Befunde potenziell übertragbar.</w:t>
      </w:r>
    </w:p>
    <w:p>
      <w:r>
        <w:rPr>
          <w:color w:val="5A7D3A"/>
          <w:sz w:val="18"/>
        </w:rPr>
        <w:t>https://pubmed.ncbi.nlm.nih.gov/42393957/</w:t>
      </w:r>
    </w:p>
    <w:p>
      <w:pPr>
        <w:pStyle w:val="Heading1"/>
      </w:pPr>
      <w:r>
        <w:t>Aufgenommen am 25.09.2026</w:t>
      </w:r>
    </w:p>
    <w:p>
      <w:pPr>
        <w:pStyle w:val="Heading2"/>
      </w:pPr>
      <w:r>
        <w:t>Sprachliche Barrieren erklären Gesundheitskompetenz-Unterschiede nicht vollständig</w:t>
      </w:r>
    </w:p>
    <w:p>
      <w:r>
        <w:rPr>
          <w:i/>
          <w:color w:val="666666"/>
          <w:sz w:val="18"/>
        </w:rPr>
        <w:t>Ausserhofer D et al.  ·  JMIR Form Res  ·  24.09.2026  ·  PMID 42784772</w:t>
      </w:r>
    </w:p>
    <w:p>
      <w:r>
        <w:t>Studie untersuchte in Südtirol, wie digitale Gesundheitsinformation die sprachbedingten Unterschiede in Health Literacy zwischen deutsch- und italienischsprachigen Bevölkerungsgruppen vermittelt.</w:t>
      </w:r>
    </w:p>
    <w:p>
      <w:r>
        <w:rPr>
          <w:b/>
        </w:rPr>
        <w:t xml:space="preserve">Ergebnis: </w:t>
      </w:r>
      <w:r>
        <w:t>Italienischsprachige Teilnehmende zeigten signifikant höhere HL-Werte (Mittelwert 12,54 vs. 11,56 auf 0-16-Skala; p&lt;0,001) und nutzten häufiger digitale Gesundheitsinformation (p=0,003). Der indirekte Effekt der Sprache auf HL durch digitale Nutzung war jedoch nicht signifikant (B=0,018, 95% CI -0,035–0,074), während der direkte Effekt robust blieb (B=0,96; p&lt;0,001). Vertrauen in professionelle Quellen (B=0,39) und Internet-Gesundheitsinformation (B=0,61) waren beide positiv mit HL assoziiert.</w:t>
      </w:r>
    </w:p>
    <w:p>
      <w:r>
        <w:rPr>
          <w:b/>
          <w:sz w:val="19"/>
        </w:rPr>
        <w:t xml:space="preserve">Übertragbarkeit: </w:t>
      </w:r>
      <w:r>
        <w:rPr>
          <w:sz w:val="19"/>
        </w:rPr>
        <w:t>Südtirol, zweisprachiges Versicherungssystem, weist auf kulturelle/sprachliche Ungleichheit hin</w:t>
      </w:r>
    </w:p>
    <w:p>
      <w:r>
        <w:rPr>
          <w:color w:val="5A7D3A"/>
          <w:sz w:val="18"/>
        </w:rPr>
        <w:t>https://pubmed.ncbi.nlm.nih.gov/42784772/</w:t>
      </w:r>
    </w:p>
    <w:p>
      <w:pPr>
        <w:pStyle w:val="Heading2"/>
      </w:pPr>
      <w:r>
        <w:t>Entscheidungshilfen senken Entscheidungskonflikt bei Brustkrebs nachweislich</w:t>
      </w:r>
    </w:p>
    <w:p>
      <w:r>
        <w:rPr>
          <w:i/>
          <w:color w:val="666666"/>
          <w:sz w:val="18"/>
        </w:rPr>
        <w:t>Sdinami S et al.  ·  Curr Oncol  ·  30.08.2026  ·  PMID 42782865</w:t>
      </w:r>
    </w:p>
    <w:p>
      <w:r>
        <w:t>Systematischer Review von 26 Studien (5174 Teilnehmende) bewertete Effektivität von Patient Decision Aids (PDA) auf Entscheidungsqualität, Psyche und Lebensqualität bei frühem Brustkrebs, mit Fokus auf vulnerable Bevölkerungsgruppen.</w:t>
      </w:r>
    </w:p>
    <w:p>
      <w:r>
        <w:rPr>
          <w:b/>
        </w:rPr>
        <w:t xml:space="preserve">Ergebnis: </w:t>
      </w:r>
      <w:r>
        <w:t>PDAs waren assoziiert mit reduziertem Entscheidungskonflikt (6 von 7 Studien), verbesserter Entscheidungszufriedenheit (4 Studien) und verbessertem Wissen (4 von 8 Studien signifikant). Zehn Studien zu niedrigerem sozioökonomischem Status/niedriger Literalität zeigten Effektivität von piktorialen und vereinfachten PDAs. Keine konsistenten negativen Effekte auf Angst/Depression. Qualitative Befunde: hohe Akzeptabilität, aber Barrieren bei Timing und institutioneller Umsetzung.</w:t>
      </w:r>
    </w:p>
    <w:p>
      <w:r>
        <w:rPr>
          <w:b/>
          <w:sz w:val="19"/>
        </w:rPr>
        <w:t xml:space="preserve">Übertragbarkeit: </w:t>
      </w:r>
      <w:r>
        <w:rPr>
          <w:sz w:val="19"/>
        </w:rPr>
        <w:t>Südeuropäische Onkologiesysteme, Shared Decision Making, PDA-Prinzipien deutschlandgerecht adaptierbar</w:t>
      </w:r>
    </w:p>
    <w:p>
      <w:r>
        <w:rPr>
          <w:color w:val="5A7D3A"/>
          <w:sz w:val="18"/>
        </w:rPr>
        <w:t>https://pubmed.ncbi.nlm.nih.gov/42782865/</w:t>
      </w:r>
    </w:p>
    <w:p>
      <w:pPr>
        <w:pStyle w:val="Heading2"/>
      </w:pPr>
      <w:r>
        <w:t>Diätassistentin-geführtes Webinar verbessert Wissen und Verhalten bei Zöliakie</w:t>
      </w:r>
    </w:p>
    <w:p>
      <w:r>
        <w:rPr>
          <w:i/>
          <w:color w:val="666666"/>
          <w:sz w:val="18"/>
        </w:rPr>
        <w:t>Seamark L et al.  ·  J Hum Nutr Diet  ·  Okt. 2026  ·  PMID 42779232</w:t>
      </w:r>
    </w:p>
    <w:p>
      <w:r>
        <w:t>Diätassistentinnen erstellten ein Webinar zur glutenfreien Ernährung für Patienten mit Zöliakie und evaluierten den Wissens- und Verhaltenseffekt vor und nach dem Anschauen.</w:t>
      </w:r>
    </w:p>
    <w:p>
      <w:r>
        <w:rPr>
          <w:b/>
        </w:rPr>
        <w:t xml:space="preserve">Ergebnis: </w:t>
      </w:r>
      <w:r>
        <w:t>Von 1050 Zugriff durch erwachsene Patienten (57% innerhalb 8 Wochen nach Diagnose) zeigten 165 Komplettbeantworter signifikante Verbesserungen: Sicherheit (p&lt;0,001) und Wissen (p&lt;0,001) zur glutenfreien Diät. Von 71 mit Symptomen bei Glutenaufnahme berichteten nachher mehr zufriedenstellende Symptomlinderung (p=0,02). Mehr Patienten praktizieren Maßnahmen zur Glutenvermeidung zuhause und haben glutenfreie Lebensmittel unterwegs dabei (p&lt;0,05).</w:t>
      </w:r>
    </w:p>
    <w:p>
      <w:r>
        <w:rPr>
          <w:b/>
          <w:sz w:val="19"/>
        </w:rPr>
        <w:t xml:space="preserve">Übertragbarkeit: </w:t>
      </w:r>
      <w:r>
        <w:rPr>
          <w:sz w:val="19"/>
        </w:rPr>
        <w:t>Britischer Kontext NHS, digitale Spezialistenkommunikation, skalierbar auf deutschsprachige Diätologie</w:t>
      </w:r>
    </w:p>
    <w:p>
      <w:r>
        <w:rPr>
          <w:color w:val="5A7D3A"/>
          <w:sz w:val="18"/>
        </w:rPr>
        <w:t>https://pubmed.ncbi.nlm.nih.gov/42779232/</w:t>
      </w:r>
    </w:p>
    <w:p>
      <w:pPr>
        <w:pStyle w:val="Heading2"/>
      </w:pPr>
      <w:r>
        <w:t>Gesundheitskompetenz prägt Informationsverhalten unterschiedlich je Alter</w:t>
      </w:r>
    </w:p>
    <w:p>
      <w:r>
        <w:rPr>
          <w:i/>
          <w:color w:val="666666"/>
          <w:sz w:val="18"/>
        </w:rPr>
        <w:t>Kwon DH et al.  ·  JMIR Public Health Surveill  ·  23.09.2026  ·  PMID 42777145</w:t>
      </w:r>
    </w:p>
    <w:p>
      <w:r>
        <w:t>Südkoreanische Querschnittsstudie (N=7910) untersuchte, ob Gesundheitskompetenz die Assoziation zwischen Alter und zwei Stufen der Gesundheitsinformationssuche (Erfahrung und Quelltyp) erklärt.</w:t>
      </w:r>
    </w:p>
    <w:p>
      <w:r>
        <w:rPr>
          <w:b/>
        </w:rPr>
        <w:t xml:space="preserve">Ergebnis: </w:t>
      </w:r>
      <w:r>
        <w:t>Mittlere HL-Werte sanken mit Alter (14,10±2,94 bei 19–44 Jahren vs. 8,34±4,65 bei ≥65 Jahren). Informationssuchprävalenz war höchst bei Jüngsten (66,7%) und niedrigst bei Ältesten (30,2%). Im aktiven Informationssuchen-Modus waren 92,7% der Jüngsten vs. 48,2% der Ältesten. HL war signifikant assoziiert mit Informationsverhalten bei 45–64 und ≥65 Jahren, nicht bei 19–44 Jahren; dort waren Bildung und Gesundheitsfaktoren salienter.</w:t>
      </w:r>
    </w:p>
    <w:p>
      <w:r>
        <w:rPr>
          <w:b/>
          <w:sz w:val="19"/>
        </w:rPr>
        <w:t xml:space="preserve">Übertragbarkeit: </w:t>
      </w:r>
      <w:r>
        <w:rPr>
          <w:sz w:val="19"/>
        </w:rPr>
        <w:t>Südkorea, hochdigitalisiertes System, Hinweis auf altersgerechte Strategien jenseits reiner HL</w:t>
      </w:r>
    </w:p>
    <w:p>
      <w:r>
        <w:rPr>
          <w:color w:val="5A7D3A"/>
          <w:sz w:val="18"/>
        </w:rPr>
        <w:t>https://pubmed.ncbi.nlm.nih.gov/42777145/</w:t>
      </w:r>
    </w:p>
    <w:p>
      <w:pPr>
        <w:pStyle w:val="Heading2"/>
      </w:pPr>
      <w:r>
        <w:t>Rahmenwerk zur klinischen Bewertung von KI-Patientenedukation nach Verständlichkeit</w:t>
      </w:r>
    </w:p>
    <w:p>
      <w:r>
        <w:rPr>
          <w:i/>
          <w:color w:val="666666"/>
          <w:sz w:val="18"/>
        </w:rPr>
        <w:t>Austria D et al.  ·  JMIR Form Res  ·  21.09.2026  ·  PMID 42766478</w:t>
      </w:r>
    </w:p>
    <w:p>
      <w:r>
        <w:t>Autorengruppe entwickelt TAM-MCRS-Evaluierungsrahmen für Kliniker, um von großen Sprachmodellen erzeugte Patientenmaterialien auf Genauigkeit, Verständlichkeit und Vollständigkeit zu bewerten, unter Kontrolle von Evaluator-Einstellungen.</w:t>
      </w:r>
    </w:p>
    <w:p>
      <w:r>
        <w:rPr>
          <w:b/>
        </w:rPr>
        <w:t xml:space="preserve">Ergebnis: </w:t>
      </w:r>
      <w:r>
        <w:t>Das Rahmenwerk paart Technologieakzeptanzmodell (TAM) mit Medizinische-Erkrankung-Würdigung-Skala (MCRS). TAM ordnet wahrgenommene Nützlichkeit auf Genauigkeit/Vollständigkeit, wahrgenommene Bedienfreundlichkeit auf Klarheit/Angemessenheit. Nach Bewertung durch klinisches Panel wird MCRS als Kovariat für Evaluator-Einstellung administriert, um zu testen, ob Einstellung die Ratings beeinflusst. Ziel: objektive, theoriegestützte, klinisch realistische und Ungleichheit-responsive Evidenz.</w:t>
      </w:r>
    </w:p>
    <w:p>
      <w:r>
        <w:rPr>
          <w:b/>
          <w:sz w:val="19"/>
        </w:rPr>
        <w:t xml:space="preserve">Übertragbarkeit: </w:t>
      </w:r>
      <w:r>
        <w:rPr>
          <w:sz w:val="19"/>
        </w:rPr>
        <w:t>USA, Konzeptpapier für KI-Governance, Übertragbarkeit auf deutsche Kliniken hoch bei Adaptierung an ärztliche Entscheidungskultur</w:t>
      </w:r>
    </w:p>
    <w:p>
      <w:r>
        <w:rPr>
          <w:color w:val="5A7D3A"/>
          <w:sz w:val="18"/>
        </w:rPr>
        <w:t>https://pubmed.ncbi.nlm.nih.gov/42766478/</w:t>
      </w:r>
    </w:p>
    <w:p>
      <w:pPr>
        <w:pStyle w:val="Heading2"/>
      </w:pPr>
      <w:r>
        <w:t>Wahrgenommene Physical Literacy vermittelt Bewegung und Ausdauerfitness bei Jugendlichen</w:t>
      </w:r>
    </w:p>
    <w:p>
      <w:r>
        <w:rPr>
          <w:i/>
          <w:color w:val="666666"/>
          <w:sz w:val="18"/>
        </w:rPr>
        <w:t>Valle-Muñoz VM et al.  ·  Front Public Health  ·  09.06.2026  ·  PMID 42344264</w:t>
      </w:r>
    </w:p>
    <w:p>
      <w:r>
        <w:t>Studie untersuchte in Spanien (ENERGYCO), wie wahrgenommene Physical Literacy die Beziehung zwischen körperlicher Aktivität und kardiorespiratorischer Fitness bei Jugendlichen vermittelt.</w:t>
      </w:r>
    </w:p>
    <w:p>
      <w:r>
        <w:rPr>
          <w:b/>
        </w:rPr>
        <w:t xml:space="preserve">Ergebnis: </w:t>
      </w:r>
      <w:r>
        <w:t>Bei 262 spanischen Jugendlichen (Median 14,3 Jahre, 47,7% Mädchen) zeigte die Mediationsanalyse einen signifikanten indirekten Effekt von Aktivität auf VO₂max durch Physical Literacy (indirekter Effekt=0,61, 95% BCa CI 0,14–1,16), der 54,2% des Gesamteffekts ausmachte. Besonders relevant waren Kommunikation (indirekter Effekt=0,38, 95% BCa CI 0,05–0,77) und Wissen/Verständnis (indirekter Effekt=0,60, 95% BCa CI 0,17–1,08).</w:t>
      </w:r>
    </w:p>
    <w:p>
      <w:r>
        <w:rPr>
          <w:b/>
          <w:sz w:val="19"/>
        </w:rPr>
        <w:t xml:space="preserve">Übertragbarkeit: </w:t>
      </w:r>
      <w:r>
        <w:rPr>
          <w:sz w:val="19"/>
        </w:rPr>
        <w:t>Spanisches Schulsystem, Fitness-Assessment, europäisch übertragbar auf deutschsprachige Prävention</w:t>
      </w:r>
    </w:p>
    <w:p>
      <w:r>
        <w:rPr>
          <w:color w:val="5A7D3A"/>
          <w:sz w:val="18"/>
        </w:rPr>
        <w:t>https://pubmed.ncbi.nlm.nih.gov/42344264/</w:t>
      </w:r>
    </w:p>
    <w:p>
      <w:pPr>
        <w:pStyle w:val="Heading1"/>
      </w:pPr>
      <w:r>
        <w:t>Aufgenommen am 24.09.2026</w:t>
      </w:r>
    </w:p>
    <w:p>
      <w:pPr>
        <w:pStyle w:val="Heading2"/>
      </w:pPr>
      <w:r>
        <w:t>Beteiligung in der Geburtshilfe: Engagement-Stufen bei der Entscheidungsfindung unter Echtbedingungen</w:t>
      </w:r>
    </w:p>
    <w:p>
      <w:r>
        <w:rPr>
          <w:i/>
          <w:color w:val="666666"/>
          <w:sz w:val="18"/>
        </w:rPr>
        <w:t>Johnson K et al.  ·  PLoS One  ·  23.09.2026  ·  PMID 42776998</w:t>
      </w:r>
    </w:p>
    <w:p>
      <w:r>
        <w:t>Qualitative Studie mit 65 Interviews und 79 Beobachtungen zu vier Engagement-Ebenen bei der Einbeziehung von Frauen in Entscheidungen während der Geburt in schwedischen Kliniken.</w:t>
      </w:r>
    </w:p>
    <w:p>
      <w:r>
        <w:rPr>
          <w:b/>
        </w:rPr>
        <w:t xml:space="preserve">Ergebnis: </w:t>
      </w:r>
      <w:r>
        <w:t>Vier Engagement-Ebenen identifiziert: Keine Einbeziehung (Anweisungen ohne Erklärung), Information (kurze Updates), Beteiligung (Diskussionen, aber Entscheidungen durch Personal – häufigste Ebene) und Partnerschaft (gemeinsame Entscheidungen – seltenste Ebene). Barrieren: begrenzte Schwedischkenntnisse, hohe Arbeitsbelastung, kritische Situationen. Förderfaktoren: kontinuierliche Unterstützung, effektives Schmerzmanagement, TeamBirth-Prozess.</w:t>
      </w:r>
    </w:p>
    <w:p>
      <w:r>
        <w:rPr>
          <w:b/>
          <w:sz w:val="19"/>
        </w:rPr>
        <w:t xml:space="preserve">Übertragbarkeit: </w:t>
      </w:r>
      <w:r>
        <w:rPr>
          <w:sz w:val="19"/>
        </w:rPr>
        <w:t>Schweden, vergleichbares Gesundheitssystem; systemisch übertragbar auf deutsches Klinikwesen.</w:t>
      </w:r>
    </w:p>
    <w:p>
      <w:r>
        <w:rPr>
          <w:color w:val="5A7D3A"/>
          <w:sz w:val="18"/>
        </w:rPr>
        <w:t>https://pubmed.ncbi.nlm.nih.gov/42776998/</w:t>
      </w:r>
    </w:p>
    <w:p>
      <w:pPr>
        <w:pStyle w:val="Heading2"/>
      </w:pPr>
      <w:r>
        <w:t>Frauengesundheit auf Instagram: Kommerzielle Desinformation dominiert Inhalte</w:t>
      </w:r>
    </w:p>
    <w:p>
      <w:r>
        <w:rPr>
          <w:i/>
          <w:color w:val="666666"/>
          <w:sz w:val="18"/>
        </w:rPr>
        <w:t>Nickel B et al.  ·  Health Promot Int  ·  01.09.2026  ·  PMID 42773967</w:t>
      </w:r>
    </w:p>
    <w:p>
      <w:r>
        <w:t>Inhaltsanalyse von 472 Instagram-Posts zum Hashtag #womenshealth auf Genauigkeit, Interessenskonflikte und Evidenzreferenzen.</w:t>
      </w:r>
    </w:p>
    <w:p>
      <w:r>
        <w:rPr>
          <w:b/>
        </w:rPr>
        <w:t xml:space="preserve">Ergebnis: </w:t>
      </w:r>
      <w:r>
        <w:t>63 % von individuellen Influencern erstellt (162 Nicht-Mediziner, 105 Ärzte). 56 % allgemeine Gesundheitsinformationen, 16 % Produkt-Werbung. 48 % zu Hormon- und Reproduktionsgesundheit (58 Posts zur Menopause). 69 % mit expliziten Gesundheitsbehauptungen, nur 7 % mit Evidenzreferenzen. 51 % der Konten mit finanziellen Interessen, 39 % direkt verkaufend. Schlussfolgerung: Umfeld dominiert von Nicht-Experten und kommerziellen Botschaften.</w:t>
      </w:r>
    </w:p>
    <w:p>
      <w:r>
        <w:rPr>
          <w:b/>
          <w:sz w:val="19"/>
        </w:rPr>
        <w:t xml:space="preserve">Übertragbarkeit: </w:t>
      </w:r>
      <w:r>
        <w:rPr>
          <w:sz w:val="19"/>
        </w:rPr>
        <w:t>Englischsprachiges Instagram; sprachlich übertragbar, aber Plattformdynamiken unterscheiden sich; regulatorische Befunde gelten global.</w:t>
      </w:r>
    </w:p>
    <w:p>
      <w:r>
        <w:rPr>
          <w:color w:val="5A7D3A"/>
          <w:sz w:val="18"/>
        </w:rPr>
        <w:t>https://pubmed.ncbi.nlm.nih.gov/42773967/</w:t>
      </w:r>
    </w:p>
    <w:p>
      <w:pPr>
        <w:pStyle w:val="Heading2"/>
      </w:pPr>
      <w:r>
        <w:t>Schmerzedukation plus Training gegen chronische Schmerzen nach Knieop: RCT-Protokoll</w:t>
      </w:r>
    </w:p>
    <w:p>
      <w:r>
        <w:rPr>
          <w:i/>
          <w:color w:val="666666"/>
          <w:sz w:val="18"/>
        </w:rPr>
        <w:t>Xu J et al.  ·  J Orthop Surg Res  ·  20.08.2026  ·  PMID 42773464</w:t>
      </w:r>
    </w:p>
    <w:p>
      <w:r>
        <w:t>Protokoll für vier-armige RCT mit 148 Patienten nach Totalendoprothese des Knies: Schmerzneurowissenschafts-Edukation (PNE) kombiniert mit Blutfluss-Restriktionstraining (BFRT) gegen chronische postoperative Schmerzen.</w:t>
      </w:r>
    </w:p>
    <w:p>
      <w:r>
        <w:rPr>
          <w:b/>
        </w:rPr>
        <w:t xml:space="preserve">Ergebnis: </w:t>
      </w:r>
      <w:r>
        <w:t>Studiendesign: Kontrolle, PNE allein, BFRT allein, PNE+BFRT. Zwei strukturierte PNE-Sitzungen, 12-wöchiges BFRT. Primärer Endpunkt: KOOS₄-Zeitverlauf. Sekundär: Schmerzintensität, globales Wohlbefinden, psychologische Maße (HADS, PCS), körperliche Tests, Kraft. Follow-up: 12, 24, 36 Wochen. Intention-to-treat-Analyse. Ethikvotum erhalten.</w:t>
      </w:r>
    </w:p>
    <w:p>
      <w:r>
        <w:rPr>
          <w:b/>
          <w:sz w:val="19"/>
        </w:rPr>
        <w:t xml:space="preserve">Übertragbarkeit: </w:t>
      </w:r>
      <w:r>
        <w:rPr>
          <w:sz w:val="19"/>
        </w:rPr>
        <w:t>China-basiert, Studienprotokoll ohne Ergebnisse; methodisch aber auf deutsches Versorgungssystem übertragbar (keine System-Abhängigkeit).</w:t>
      </w:r>
    </w:p>
    <w:p>
      <w:r>
        <w:rPr>
          <w:color w:val="5A7D3A"/>
          <w:sz w:val="18"/>
        </w:rPr>
        <w:t>https://pubmed.ncbi.nlm.nih.gov/42773464/</w:t>
      </w:r>
    </w:p>
    <w:p>
      <w:pPr>
        <w:pStyle w:val="Heading2"/>
      </w:pPr>
      <w:r>
        <w:t>Mental Health Literacy bei Studierenden: Kurs verbessert Verständnis und Sicherheit im Umgang mit Peers</w:t>
      </w:r>
    </w:p>
    <w:p>
      <w:r>
        <w:rPr>
          <w:i/>
          <w:color w:val="666666"/>
          <w:sz w:val="18"/>
        </w:rPr>
        <w:t>Newbold A et al.  ·  BMJ Open  ·  22.09.2026  ·  PMID 42772882</w:t>
      </w:r>
    </w:p>
    <w:p>
      <w:r>
        <w:t>Qualitative Studie mit fünf Fokusgruppen zu 19 Studierenden, die einen asynchronen Mental Health Literacy-Kurs absolvierten.</w:t>
      </w:r>
    </w:p>
    <w:p>
      <w:r>
        <w:rPr>
          <w:b/>
        </w:rPr>
        <w:t xml:space="preserve">Ergebnis: </w:t>
      </w:r>
      <w:r>
        <w:t>Vier Themen aus Erfahrungen: verbessertes Verständnis für psychische Gesundheit, größeres Selbstbewusstsein, besseres Verständnis für andere mit Schwierigkeiten. Kurs wurde als relevant, nützlich und zugänglich bewertet. Empfehlung aller 19 Teilnehmer. Aber: Unsicherheit bei Peer-Unterstützung, Grenzenziehung, Krisenhilfe und professioneller Weitervermittlung identifiziert.</w:t>
      </w:r>
    </w:p>
    <w:p>
      <w:r>
        <w:rPr>
          <w:b/>
          <w:sz w:val="19"/>
        </w:rPr>
        <w:t xml:space="preserve">Übertragbarkeit: </w:t>
      </w:r>
      <w:r>
        <w:rPr>
          <w:sz w:val="19"/>
        </w:rPr>
        <w:t>Großbritannien, vergleichbares Hochschulsystem; auch deutsch anwendbar, nutzt digitales Format ohne technische Barrieren.</w:t>
      </w:r>
    </w:p>
    <w:p>
      <w:r>
        <w:rPr>
          <w:color w:val="5A7D3A"/>
          <w:sz w:val="18"/>
        </w:rPr>
        <w:t>https://pubmed.ncbi.nlm.nih.gov/42772882/</w:t>
      </w:r>
    </w:p>
    <w:p>
      <w:pPr>
        <w:pStyle w:val="Heading2"/>
      </w:pPr>
      <w:r>
        <w:t>Gesundheitskompetenz und psychologische Resilienz vorhersagen Funktionsfähigkeit nach Rückenmarksverletzung</w:t>
      </w:r>
    </w:p>
    <w:p>
      <w:r>
        <w:rPr>
          <w:i/>
          <w:color w:val="666666"/>
          <w:sz w:val="18"/>
        </w:rPr>
        <w:t>Li S et al.  ·  J Rehabil Med  ·  22.09.2026  ·  PMID 42768903</w:t>
      </w:r>
    </w:p>
    <w:p>
      <w:r>
        <w:t>6-Monat-Follow-up-Studie bei 367 Rückenmarksverletzungspatienten: Alter, Resilienz, soziale Unterstützung und Health Literacy als Prädiktoren der funktionalen Fähigkeit (Modified Barthel Index).</w:t>
      </w:r>
    </w:p>
    <w:p>
      <w:r>
        <w:rPr>
          <w:b/>
        </w:rPr>
        <w:t xml:space="preserve">Ergebnis: </w:t>
      </w:r>
      <w:r>
        <w:t>MBI-Scores verbesserten sich leicht (43,50 auf 46,81, geringe Effektgröße). Multivariate Analyse: jüngeres Alter (β = -0,02; p = 0,028), höhere Resilienz (β = 0,22; p &lt; 0,001) und höhere Health Literacy (β = 0,32; p = 0,001) waren unabhängige Prädiktoren besserer Funktionsfähigkeit. Soziale Unterstützung nur in univariater Analyse signifikant (β = 0,44; p = 0,038).</w:t>
      </w:r>
    </w:p>
    <w:p>
      <w:r>
        <w:rPr>
          <w:b/>
          <w:sz w:val="19"/>
        </w:rPr>
        <w:t xml:space="preserve">Übertragbarkeit: </w:t>
      </w:r>
      <w:r>
        <w:rPr>
          <w:sz w:val="19"/>
        </w:rPr>
        <w:t>China, aber Konzepte und Messinstrumente (Health Literacy, Connor-Davidson Resilience) sind international validiert; übertragbar auf deutsche Rehabilitationsstrukturen.</w:t>
      </w:r>
    </w:p>
    <w:p>
      <w:r>
        <w:rPr>
          <w:color w:val="5A7D3A"/>
          <w:sz w:val="18"/>
        </w:rPr>
        <w:t>https://pubmed.ncbi.nlm.nih.gov/42768903/</w:t>
      </w:r>
    </w:p>
    <w:p>
      <w:pPr>
        <w:pStyle w:val="Heading2"/>
      </w:pPr>
      <w:r>
        <w:t>Digitale COPD-Selbstmanagement-App: Proaktive Unterstützung steigert Adhärenz stärker als passive Einführung</w:t>
      </w:r>
    </w:p>
    <w:p>
      <w:r>
        <w:rPr>
          <w:i/>
          <w:color w:val="666666"/>
          <w:sz w:val="18"/>
        </w:rPr>
        <w:t>Ruddock M et al.  ·  JMIR Hum Factors  ·  21.09.2026  ·  PMID 42766845</w:t>
      </w:r>
    </w:p>
    <w:p>
      <w:r>
        <w:t>Qualitative Studie mit 30 Interviews (16 Patienten, 14 Fachkräfte) zu Lieferung und Engagement mit myCOPD-App in zwei englischen NHS-Settings (Gemeinde-Reha und Krankenhausentlassung).</w:t>
      </w:r>
    </w:p>
    <w:p>
      <w:r>
        <w:rPr>
          <w:b/>
        </w:rPr>
        <w:t xml:space="preserve">Ergebnis: </w:t>
      </w:r>
      <w:r>
        <w:t>Zwei Liefermodelle: (1) Gemeindemedzinteams – proaktiv, beziehungsbasiert, iterative Unterstützung, kontinuierlich: multifacettiertes Engagement (routinemäßig, langfristig). (2) Krankenhausteams – passiv, Onboarding-fokussiert, Zeitdruck, Entlassungspriorität: einfaches Engagement (kurzfristig, transaktional). Vulnerabilitätsschichten (Multimorbidität, digitale Fähigkeiten, Sozioökonomie) beeinflussen Priorisierung der COPD-Selbstpflege.</w:t>
      </w:r>
    </w:p>
    <w:p>
      <w:r>
        <w:rPr>
          <w:b/>
          <w:sz w:val="19"/>
        </w:rPr>
        <w:t xml:space="preserve">Übertragbarkeit: </w:t>
      </w:r>
      <w:r>
        <w:rPr>
          <w:sz w:val="19"/>
        </w:rPr>
        <w:t>Großbritannien, NHS-Struktur; System-gebunden an Gatekeeping-Modell und Schichtarbeit; Evidenz zur proaktiven Unterstützung ist systemübergreifend übertragbar.</w:t>
      </w:r>
    </w:p>
    <w:p>
      <w:r>
        <w:rPr>
          <w:color w:val="5A7D3A"/>
          <w:sz w:val="18"/>
        </w:rPr>
        <w:t>https://pubmed.ncbi.nlm.nih.gov/42766845/</w:t>
      </w:r>
    </w:p>
    <w:p>
      <w:pPr>
        <w:pStyle w:val="Heading2"/>
      </w:pPr>
      <w:r>
        <w:t>Patientenbeteiligung bei Studiendesign: Co-Design reduziert Barrieren zur Adhärenz</w:t>
      </w:r>
    </w:p>
    <w:p>
      <w:r>
        <w:rPr>
          <w:i/>
          <w:color w:val="666666"/>
          <w:sz w:val="18"/>
        </w:rPr>
        <w:t>Holze M et al.  ·  Eur J Surg Oncol  ·  28.07.2026  ·  PMID 42570350</w:t>
      </w:r>
    </w:p>
    <w:p>
      <w:r>
        <w:t>Strukturierte 12-Monat-Konzeptphase in Deutschland mit Patientenumfrage, Fokusgruppen und Expertenbeteiligung zur Gestaltung einer RCT zu Prehabilitation vor Darmkrebsoperation.</w:t>
      </w:r>
    </w:p>
    <w:p>
      <w:r>
        <w:rPr>
          <w:b/>
        </w:rPr>
        <w:t xml:space="preserve">Ergebnis: </w:t>
      </w:r>
      <w:r>
        <w:t>Patientenvertreter und klinische Experten einigten sich auf: gezielte Risikogruppe (Alter, Gebrechlichkeit, Ernährung), vierwöchiges ambulantes Prähabilitationsprogramm mit vier Komponenten, Quality of Recovery als primärer Endpunkt. Co-Entwicklung von Adhärenz-Strategien gegen identifizierte Barrieren; Patientenprioritäten führten zu Studiendesign-Änderungen.</w:t>
      </w:r>
    </w:p>
    <w:p>
      <w:r>
        <w:rPr>
          <w:b/>
          <w:sz w:val="19"/>
        </w:rPr>
        <w:t xml:space="preserve">Übertragbarkeit: </w:t>
      </w:r>
      <w:r>
        <w:rPr>
          <w:sz w:val="19"/>
        </w:rPr>
        <w:t>Deutschland, deutsche Patienten und Versorgungssystem; direkt übertragbar.</w:t>
      </w:r>
    </w:p>
    <w:p>
      <w:r>
        <w:rPr>
          <w:color w:val="5A7D3A"/>
          <w:sz w:val="18"/>
        </w:rPr>
        <w:t>https://pubmed.ncbi.nlm.nih.gov/42570350/</w:t>
      </w:r>
    </w:p>
    <w:p>
      <w:pPr>
        <w:pStyle w:val="Heading1"/>
      </w:pPr>
      <w:r>
        <w:t>Aufgenommen am 23.09.2026</w:t>
      </w:r>
    </w:p>
    <w:p>
      <w:pPr>
        <w:pStyle w:val="Heading2"/>
      </w:pPr>
      <w:r>
        <w:t>Schulung zu Gesundheitsinformation stärkt Gesundheitskompetenz in ländlichen Gemeinden</w:t>
      </w:r>
    </w:p>
    <w:p>
      <w:r>
        <w:rPr>
          <w:i/>
          <w:color w:val="666666"/>
          <w:sz w:val="18"/>
        </w:rPr>
        <w:t>Dai R et al.  ·  Ann N Y Acad Sci  ·  Sept. 2026  ·  PMID 42771486</w:t>
      </w:r>
    </w:p>
    <w:p>
      <w:r>
        <w:t>Randomisierte Cluster-Kontrolltrial zu einem theorie-basierten Interventionsprogramm zur Verbesserung der Gesundheitskompetenz bei Erwachsenen in ländlichen Regionen Chinas durch Schulungsmaterialien, WeChat-Messaging, interaktive Vorträge und praktisches Training.</w:t>
      </w:r>
    </w:p>
    <w:p>
      <w:r>
        <w:rPr>
          <w:b/>
        </w:rPr>
        <w:t xml:space="preserve">Ergebnis: </w:t>
      </w:r>
      <w:r>
        <w:t>Das Interventionsprogramm verbesserte signifikant die Verhaltenseinstellung (p&lt;0,001), subjektiven Normen (p&lt;0,001), Verhaltensabsicht (p&lt;0,001), Gesundheitskompetenz-Akquisitionsverhalten (p&lt;0,001) und die allgemeine Gesundheitskompetenz (p&lt;0,001), nicht aber die wahrgenommene Verhaltenskontrolle. Die Effekte zeigten sich konsistent in den Sensitivitätsanalysen.</w:t>
      </w:r>
    </w:p>
    <w:p>
      <w:r>
        <w:rPr>
          <w:b/>
          <w:sz w:val="19"/>
        </w:rPr>
        <w:t xml:space="preserve">Übertragbarkeit: </w:t>
      </w:r>
      <w:r>
        <w:rPr>
          <w:sz w:val="19"/>
        </w:rPr>
        <w:t>China - ländliches Versicherungssystem, begrenzte Internetinfrastruktur wie in Teilen Deutschlands</w:t>
      </w:r>
    </w:p>
    <w:p>
      <w:r>
        <w:rPr>
          <w:color w:val="5A7D3A"/>
          <w:sz w:val="18"/>
        </w:rPr>
        <w:t>https://pubmed.ncbi.nlm.nih.gov/42771486/</w:t>
      </w:r>
    </w:p>
    <w:p>
      <w:pPr>
        <w:pStyle w:val="Heading2"/>
      </w:pPr>
      <w:r>
        <w:t>Transparenz in Transplantationsentscheidungen: Patientenbeteiligung an Ausschusssitzungen</w:t>
      </w:r>
    </w:p>
    <w:p>
      <w:r>
        <w:rPr>
          <w:i/>
          <w:color w:val="666666"/>
          <w:sz w:val="18"/>
        </w:rPr>
        <w:t>Graham N et al.  ·  JAMA Netw Open  ·  01.09.2026  ·  PMID 42771341</w:t>
      </w:r>
    </w:p>
    <w:p>
      <w:r>
        <w:t>Qualitative Studie mit 41 Teilnehmern (19 Patienten, 13 Kliniker, 9 Patienten-Kliniker) zu Perspektiven auf Patientenbeteiligung bei Transplantationsausschuss-Meetings mittels semistrukturierter Interviews und thematischer Analyse.</w:t>
      </w:r>
    </w:p>
    <w:p>
      <w:r>
        <w:rPr>
          <w:b/>
        </w:rPr>
        <w:t xml:space="preserve">Ergebnis: </w:t>
      </w:r>
      <w:r>
        <w:t>Vier Themen wurden identifiziert: Machtausgleich und Autonomie, Prozessverständnis als Empowerment, gegenseitige Verwundbarkeit und Umgang mit Unsicherheit. Teilnehmer befürworteten bedingt die Patientenbeteiligung mit strukturierten Rollen, moderierter Teilnahme, Meeting-Zusammenfassungen und standardisierten Kommunikationsrahmen als Voraussetzungen für Vertrauen und Transparenz.</w:t>
      </w:r>
    </w:p>
    <w:p>
      <w:r>
        <w:rPr>
          <w:b/>
          <w:sz w:val="19"/>
        </w:rPr>
        <w:t xml:space="preserve">Übertragbarkeit: </w:t>
      </w:r>
      <w:r>
        <w:rPr>
          <w:sz w:val="19"/>
        </w:rPr>
        <w:t>USA - Transplantationssystem und ethische Grundlagen unterscheiden sich; Kernfrage nach Transparenz ist systemübergreifend gültig</w:t>
      </w:r>
    </w:p>
    <w:p>
      <w:r>
        <w:rPr>
          <w:color w:val="5A7D3A"/>
          <w:sz w:val="18"/>
        </w:rPr>
        <w:t>https://pubmed.ncbi.nlm.nih.gov/42771341/</w:t>
      </w:r>
    </w:p>
    <w:p>
      <w:pPr>
        <w:pStyle w:val="Heading2"/>
      </w:pPr>
      <w:r>
        <w:t>Strukturiertes Schulungsprogramm reduziert Angst vor der Geburt nachweislich</w:t>
      </w:r>
    </w:p>
    <w:p>
      <w:r>
        <w:rPr>
          <w:i/>
          <w:color w:val="666666"/>
          <w:sz w:val="18"/>
        </w:rPr>
        <w:t>Al Mamari M et al.  ·  Sultan Qaboos Univ Med J  ·  10.09.2026  ·  PMID 42770113</w:t>
      </w:r>
    </w:p>
    <w:p>
      <w:r>
        <w:t>Quasi-experimentelle Vor-Nach-Studie mit 79 Erstgebärenden in Oman zur Wirkung eines strukturierten pränatalen Schulungsprogramms auf die Geburtsangst, gemessen mit dem Self-Evaluation Questionnaire.</w:t>
      </w:r>
    </w:p>
    <w:p>
      <w:r>
        <w:rPr>
          <w:b/>
        </w:rPr>
        <w:t xml:space="preserve">Ergebnis: </w:t>
      </w:r>
      <w:r>
        <w:t>Die Angst-vor-Geburt-Score sank signifikant von 4,35±0,63 vor der Intervention auf 1,79±0,74 zwei Wochen postpartum (Mittelwertdifferenz 2,56 Punkte; 95%-CI: 2,38–2,74; t=27,8; p&lt;0,001; Cohens d=3,12). Die Effektstärke zeigt klinisch relevante Verbesserung.</w:t>
      </w:r>
    </w:p>
    <w:p>
      <w:r>
        <w:rPr>
          <w:b/>
          <w:sz w:val="19"/>
        </w:rPr>
        <w:t xml:space="preserve">Übertragbarkeit: </w:t>
      </w:r>
      <w:r>
        <w:rPr>
          <w:sz w:val="19"/>
        </w:rPr>
        <w:t>Oman - anderes Gesundheitssystem; Befund zur Wirksamkeit von Schulung ist kulturübergreifend übertragbar</w:t>
      </w:r>
    </w:p>
    <w:p>
      <w:r>
        <w:rPr>
          <w:color w:val="5A7D3A"/>
          <w:sz w:val="18"/>
        </w:rPr>
        <w:t>https://pubmed.ncbi.nlm.nih.gov/42770113/</w:t>
      </w:r>
    </w:p>
    <w:p>
      <w:pPr>
        <w:pStyle w:val="Heading2"/>
      </w:pPr>
      <w:r>
        <w:t>Kinderrecht auf echte Mitsprache in Krebsforschung: Beteiligung noch lückenhaft</w:t>
      </w:r>
    </w:p>
    <w:p>
      <w:r>
        <w:rPr>
          <w:i/>
          <w:color w:val="666666"/>
          <w:sz w:val="18"/>
        </w:rPr>
        <w:t>Wieslander KN et al.  ·  Trials  ·  21.09.2026  ·  PMID 42768367</w:t>
      </w:r>
    </w:p>
    <w:p>
      <w:r>
        <w:t>Qualitative Studie mit 11 Kinder mit Krebs, 17 Geschwistern und 9 Eltern in Schweden zur Erfahrung von Assent-Prozessen bei der Teilnahme an pädiatrischer Onkologie-Forschung mittels Interviews und reflexiver thematischer Analyse.</w:t>
      </w:r>
    </w:p>
    <w:p>
      <w:r>
        <w:rPr>
          <w:b/>
        </w:rPr>
        <w:t xml:space="preserve">Ergebnis: </w:t>
      </w:r>
      <w:r>
        <w:t>Zwei Hauptthemen: moralisches und emotionales Engagement für Forschung; relationales Assent durch Vertrauen, Loyalität und elterliche Vermittlung. Kinder zeigten Spektrum von aktiver bis zu minimaler Teilnahme; einige Entscheidungen wurden primär von Eltern getroffen. Familien waren stark motiviert, zur Forschung beizutragen, aber echtes Assent erfordert Kind-zentrierte, flexible und kontextabhängige Prozesse mit ethischem Bewusstsein für Autonomiedynamiken.</w:t>
      </w:r>
    </w:p>
    <w:p>
      <w:r>
        <w:rPr>
          <w:b/>
          <w:sz w:val="19"/>
        </w:rPr>
        <w:t xml:space="preserve">Übertragbarkeit: </w:t>
      </w:r>
      <w:r>
        <w:rPr>
          <w:sz w:val="19"/>
        </w:rPr>
        <w:t>Schweden - europäischer Ethikstandard und Kinderrechte ähnlich Deutschland; Befunde zu echter Beteiligung universal gültig</w:t>
      </w:r>
    </w:p>
    <w:p>
      <w:r>
        <w:rPr>
          <w:color w:val="5A7D3A"/>
          <w:sz w:val="18"/>
        </w:rPr>
        <w:t>https://pubmed.ncbi.nlm.nih.gov/42768367/</w:t>
      </w:r>
    </w:p>
    <w:p>
      <w:pPr>
        <w:pStyle w:val="Heading2"/>
      </w:pPr>
      <w:r>
        <w:t>eHealth-Kompetenz bei Sportstudierenden: niedrig und mehrdimensional beeinflussbar</w:t>
      </w:r>
    </w:p>
    <w:p>
      <w:r>
        <w:rPr>
          <w:i/>
          <w:color w:val="666666"/>
          <w:sz w:val="18"/>
        </w:rPr>
        <w:t>Yin Y et al.  ·  Front Public Health  ·  03.09.2026  ·  PMID 42756107</w:t>
      </w:r>
    </w:p>
    <w:p>
      <w:r>
        <w:t>Online-Umfrage mit 923 Sportstudierenden aus sechs chinesischen Universitäten zur eHealth-Kompetenz mittels standardisiertem Fragebogen und statistischer Analyse von Einflussfaktoren.</w:t>
      </w:r>
    </w:p>
    <w:p>
      <w:r>
        <w:rPr>
          <w:b/>
        </w:rPr>
        <w:t xml:space="preserve">Ergebnis: </w:t>
      </w:r>
      <w:r>
        <w:t>Durchschnittliche eHealth-Literacy-Score 41,91±6,90; adäquate Rate nur 22,2% (205 Personen). Signifikante Einflussfaktoren: Ethnizität (95%-CI: -3,641–-0,408), Geschlecht (95%-CI: 1,292–3,445), selbstbewerteter Gesundheitszustand (95%-CI: -1,276–-0,100), Nutzung von Smart-Wearables (95%-CI: 0,100–0,794), interpersonale Harmonie (95%-CI: 0,379–1,733), Häufigkeit der Internetsuche nach Gesundheitswissen (95%-CI: 0,246–1,099).</w:t>
      </w:r>
    </w:p>
    <w:p>
      <w:r>
        <w:rPr>
          <w:b/>
          <w:sz w:val="19"/>
        </w:rPr>
        <w:t xml:space="preserve">Übertragbarkeit: </w:t>
      </w:r>
      <w:r>
        <w:rPr>
          <w:sz w:val="19"/>
        </w:rPr>
        <w:t>China - Bildungssystem und digitale Infrastruktur unterscheiden sich; Befunde zu demografischen Faktoren sind universal gültig</w:t>
      </w:r>
    </w:p>
    <w:p>
      <w:r>
        <w:rPr>
          <w:color w:val="5A7D3A"/>
          <w:sz w:val="18"/>
        </w:rPr>
        <w:t>https://pubmed.ncbi.nlm.nih.gov/42756107/</w:t>
      </w:r>
    </w:p>
    <w:p>
      <w:pPr>
        <w:pStyle w:val="Heading2"/>
      </w:pPr>
      <w:r>
        <w:t>Shared Decision Making in der Prostatakrebsfrüherkennung bleibt unterentwickelt</w:t>
      </w:r>
    </w:p>
    <w:p>
      <w:r>
        <w:rPr>
          <w:i/>
          <w:color w:val="666666"/>
          <w:sz w:val="18"/>
        </w:rPr>
        <w:t>Oliveira B et al.  ·  BMC Prim Care  ·  26.06.2026  ·  PMID 42363103</w:t>
      </w:r>
    </w:p>
    <w:p>
      <w:r>
        <w:t>Querschnittsstudie mit 107 Hausärzten in Portugal zur Umsetzung von Shared Decision Making (SDM) bei opportunistischem PSA-Screening: Erfassung von Screening-Kriterien, SDM-Praktiken, Entscheidungshilfen und Überweisungsmuster.</w:t>
      </w:r>
    </w:p>
    <w:p>
      <w:r>
        <w:rPr>
          <w:b/>
        </w:rPr>
        <w:t xml:space="preserve">Ergebnis: </w:t>
      </w:r>
      <w:r>
        <w:t>80,4% der Hausärzte erklärten PSA-Tests, aber nur 64,5% diskutierten konsistent Nutzen/Risiken oder erkundeten Patientenpräferenzen. Nur 6,5% nutzen Entscheidungshilfen; 72% waren damit nicht vertraut. Nationale Richtlinien bestimmten die Praxis (75,7%), insbesondere bei unerfahreneren Ärzten (p=0,027). Bevölkerungsbasiertes Screening-Befürwortung nur 12,2%.</w:t>
      </w:r>
    </w:p>
    <w:p>
      <w:r>
        <w:rPr>
          <w:b/>
          <w:sz w:val="19"/>
        </w:rPr>
        <w:t xml:space="preserve">Übertragbarkeit: </w:t>
      </w:r>
      <w:r>
        <w:rPr>
          <w:sz w:val="19"/>
        </w:rPr>
        <w:t>Portugal - Gatekeeping-Hausarztsystem ähnlich Deutschland, vergleichbare Versorgungsstruktur</w:t>
      </w:r>
    </w:p>
    <w:p>
      <w:r>
        <w:rPr>
          <w:color w:val="5A7D3A"/>
          <w:sz w:val="18"/>
        </w:rPr>
        <w:t>https://pubmed.ncbi.nlm.nih.gov/42363103/</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Gesundheitskompetenz bei älteren Patienten mit Herz-Kreislauf-Erkrankungen: Latente Profilanalyse</w:t>
      </w:r>
    </w:p>
    <w:p>
      <w:r>
        <w:rPr>
          <w:i/>
          <w:color w:val="666666"/>
          <w:sz w:val="18"/>
        </w:rPr>
        <w:t>Mestl H  ·  Tidsskr Nor Laegeforen  ·  23.06.2026  ·  PMID 42343611</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https://pubmed.ncbi.nlm.nih.gov/42343611/</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2026-09-29T06:00:00Z</dcterms:created>
  <dcterms:modified xsi:type="dcterms:W3CDTF">2026-09-29T06:00:00Z</dcterms:modified>
  <cp:category/>
</cp:coreProperties>
</file>