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28.10.2026  |  411 Studien  |  healthliteracy.m-vf.de</w:t>
      </w:r>
    </w:p>
    <w:p>
      <w:pPr>
        <w:pStyle w:val="Heading1"/>
      </w:pPr>
      <w:r>
        <w:t>Aufgenommen am 28.10.2026</w:t>
      </w:r>
    </w:p>
    <w:p>
      <w:pPr>
        <w:pStyle w:val="Heading2"/>
      </w:pPr>
      <w:r>
        <w:t>Avatare mit KI trainieren Shared Decision-Making bei Medizinstudierenden</w:t>
      </w:r>
    </w:p>
    <w:p>
      <w:r>
        <w:rPr>
          <w:i/>
          <w:color w:val="666666"/>
          <w:sz w:val="18"/>
        </w:rPr>
        <w:t>Van Bostraeten P et al.  ·  JMIR Form Res  ·  27.10.2026  ·  PMID 42944729</w:t>
      </w:r>
    </w:p>
    <w:p>
      <w:r>
        <w:t>Studie zur Akzeptanz von LLM-gesteuerten 3D-Avataren für das Training von Shared Decision-Making in der medizinischen Ausbildung an der KU Leuven.</w:t>
      </w:r>
    </w:p>
    <w:p>
      <w:r>
        <w:rPr>
          <w:b/>
        </w:rPr>
        <w:t xml:space="preserve">Ergebnis: </w:t>
      </w:r>
      <w:r>
        <w:t>24 von 25 Studierenden zeigten hohe Akzeptanz (wahrgenommener Nutzen: 4,43/5; Nutzungsabsicht: 4,42/5; Benutzerfreundlichkeit: 3,81/5). Studierende berichteten einen sicheren Lernraum, wobei technische Zuverlässigkeit und Verhaltensrealismus verbessert werden sollten.</w:t>
      </w:r>
    </w:p>
    <w:p>
      <w:r>
        <w:rPr>
          <w:b/>
          <w:sz w:val="19"/>
        </w:rPr>
        <w:t xml:space="preserve">Übertragbarkeit: </w:t>
      </w:r>
      <w:r>
        <w:rPr>
          <w:sz w:val="19"/>
        </w:rPr>
        <w:t>Belgien/Niederlande, Universitätsmedizin; gutes System-Match für DACH-Ausbildung</w:t>
      </w:r>
    </w:p>
    <w:p>
      <w:r>
        <w:rPr>
          <w:color w:val="5A7D3A"/>
          <w:sz w:val="18"/>
        </w:rPr>
        <w:t>https://pubmed.ncbi.nlm.nih.gov/42944729/</w:t>
      </w:r>
    </w:p>
    <w:p>
      <w:pPr>
        <w:pStyle w:val="Heading2"/>
      </w:pPr>
      <w:r>
        <w:t>Gamifizierte Plattform steigert Ernährungskompetenz bei Jugendlichen kurzzeitig</w:t>
      </w:r>
    </w:p>
    <w:p>
      <w:r>
        <w:rPr>
          <w:i/>
          <w:color w:val="666666"/>
          <w:sz w:val="18"/>
        </w:rPr>
        <w:t>Ispas AG et al.  ·  Nutrients  ·  20.10.2026  ·  PMID 42943018</w:t>
      </w:r>
    </w:p>
    <w:p>
      <w:r>
        <w:t>Pilotstudie zu Kurzzeitergebnissen einer gamifizierten Ernährungsbildungsplattform (AHOPE) bei 155 rumänischen Jugendlichen nach einer Sitzung.</w:t>
      </w:r>
    </w:p>
    <w:p>
      <w:r>
        <w:rPr>
          <w:b/>
        </w:rPr>
        <w:t xml:space="preserve">Ergebnis: </w:t>
      </w:r>
      <w:r>
        <w:t>Alle sechs Ergebniswerte waren nach der Sitzung höher (alle p&lt;0,001; Effektgröße dz 0,42–0,73, höchste für Ernährungsliteralität). Von 23 Ernährungsgewohnheits-Items verschoben sich 17 zur gesünderen Antwort. Kein signifikanter Unterschied nach Geschlecht, Alter oder Familienreichtum.</w:t>
      </w:r>
    </w:p>
    <w:p>
      <w:r>
        <w:rPr>
          <w:b/>
          <w:sz w:val="19"/>
        </w:rPr>
        <w:t xml:space="preserve">Übertragbarkeit: </w:t>
      </w:r>
      <w:r>
        <w:rPr>
          <w:sz w:val="19"/>
        </w:rPr>
        <w:t>Rumänien (EU), externe Validierung nötig; Messungen nur kurzfristige Absichten, keine Verhaltensänderung belegt</w:t>
      </w:r>
    </w:p>
    <w:p>
      <w:r>
        <w:rPr>
          <w:color w:val="5A7D3A"/>
          <w:sz w:val="18"/>
        </w:rPr>
        <w:t>https://pubmed.ncbi.nlm.nih.gov/42943018/</w:t>
      </w:r>
    </w:p>
    <w:p>
      <w:pPr>
        <w:pStyle w:val="Heading2"/>
      </w:pPr>
      <w:r>
        <w:t>Visuelle Hilfsmittel verbessern Verständnis und Recall in Krebssprechstunden</w:t>
      </w:r>
    </w:p>
    <w:p>
      <w:r>
        <w:rPr>
          <w:i/>
          <w:color w:val="666666"/>
          <w:sz w:val="18"/>
        </w:rPr>
        <w:t>Moore-Davis S et al.  ·  Ir Med J  ·  22.10.2026  ·  PMID 42937119</w:t>
      </w:r>
    </w:p>
    <w:p>
      <w:r>
        <w:t>Prospektive Beobachtungsstudie zur Wirkung von visuellen Hilfsmitteln auf Patientenverständnis, Gedächtnis und Kommunikation bei Krebspatienten an einem Krankenhaus in Irland.</w:t>
      </w:r>
    </w:p>
    <w:p>
      <w:r>
        <w:rPr>
          <w:b/>
        </w:rPr>
        <w:t xml:space="preserve">Ergebnis: </w:t>
      </w:r>
      <w:r>
        <w:t>Von 27 Teilnehmern erhielten 8 visuelle Aids (29,6 %), 19 Standardgespräche (70,4 %). Mit visuellen Aids korrekte Stagingidentifikation 62,5 % vs. 42,1 %. Verbesserter Gedächtnisbericht 87,5 % (Aids) vs. 89,5 % (erwartet). Information Overload 37,5 % (Aids) vs. 73,7 % (Standardberatung).</w:t>
      </w:r>
    </w:p>
    <w:p>
      <w:r>
        <w:rPr>
          <w:b/>
          <w:sz w:val="19"/>
        </w:rPr>
        <w:t xml:space="preserve">Übertragbarkeit: </w:t>
      </w:r>
      <w:r>
        <w:rPr>
          <w:sz w:val="19"/>
        </w:rPr>
        <w:t>Irland (EU), Single-Center; kleine Stichprobe, aber konkrete Wirkung auf Verständnis und Überwältigung</w:t>
      </w:r>
    </w:p>
    <w:p>
      <w:r>
        <w:rPr>
          <w:color w:val="5A7D3A"/>
          <w:sz w:val="18"/>
        </w:rPr>
        <w:t>https://pubmed.ncbi.nlm.nih.gov/42937119/</w:t>
      </w:r>
    </w:p>
    <w:p>
      <w:pPr>
        <w:pStyle w:val="Heading2"/>
      </w:pPr>
      <w:r>
        <w:t>Kulturell angepasstes Maß für Shared Decision-Making mit Aborigines co-entwickelt</w:t>
      </w:r>
    </w:p>
    <w:p>
      <w:r>
        <w:rPr>
          <w:i/>
          <w:color w:val="666666"/>
          <w:sz w:val="18"/>
        </w:rPr>
        <w:t>Tracy M et al.  ·  Health Expect  ·  Dez. 2026  ·  PMID 42936994</w:t>
      </w:r>
    </w:p>
    <w:p>
      <w:r>
        <w:t>Hybrid-Yarning- und Delphi-Studie zur Entwicklung eines kulturell sicheren 12- und 5-Item-Maßes für Shared Decision-Making mit australischen Aboriginal- und Torres-Strait-Islander-Gemeinschaften.</w:t>
      </w:r>
    </w:p>
    <w:p>
      <w:r>
        <w:rPr>
          <w:b/>
        </w:rPr>
        <w:t xml:space="preserve">Ergebnis: </w:t>
      </w:r>
      <w:r>
        <w:t>18 von 26 eingeladenen Fachleuten und Gemeindemitgliedern nahmen an Yarning teil, 14 an beiden Delphi-Runden. Konsens erreicht für 12-Item-Maß mit allen Items umformuliert und 3 neue Items hinzugefügt; 5-Item-Kurzversion ebenfalls validiert.</w:t>
      </w:r>
    </w:p>
    <w:p>
      <w:r>
        <w:rPr>
          <w:b/>
          <w:sz w:val="19"/>
        </w:rPr>
        <w:t xml:space="preserve">Übertragbarkeit: </w:t>
      </w:r>
      <w:r>
        <w:rPr>
          <w:sz w:val="19"/>
        </w:rPr>
        <w:t>Australien, aber Methode (Yarning) kulturspezifisch; Konzept Shared Decision-Making universell übertragbar auf marginalisierte Gruppen</w:t>
      </w:r>
    </w:p>
    <w:p>
      <w:r>
        <w:rPr>
          <w:color w:val="5A7D3A"/>
          <w:sz w:val="18"/>
        </w:rPr>
        <w:t>https://pubmed.ncbi.nlm.nih.gov/42936994/</w:t>
      </w:r>
    </w:p>
    <w:p>
      <w:pPr>
        <w:pStyle w:val="Heading2"/>
      </w:pPr>
      <w:r>
        <w:t>Online-Gesundheitskommunikation fördert Gesundheit durch Kompetenz und Bildung</w:t>
      </w:r>
    </w:p>
    <w:p>
      <w:r>
        <w:rPr>
          <w:i/>
          <w:color w:val="666666"/>
          <w:sz w:val="18"/>
        </w:rPr>
        <w:t>Chen X et al.  ·  Front Public Health  ·  12.10.2026  ·  PMID 42936026</w:t>
      </w:r>
    </w:p>
    <w:p>
      <w:r>
        <w:t>Sekundäranalyse von 5.333 Datensätzen der 2023 China General Social Survey zur Kettenmediation von Health Literacy und digitaler Gesundheitsbildung.</w:t>
      </w:r>
    </w:p>
    <w:p>
      <w:r>
        <w:rPr>
          <w:b/>
        </w:rPr>
        <w:t xml:space="preserve">Ergebnis: </w:t>
      </w:r>
      <w:r>
        <w:t>Signifikante positive Gesamtassoziation zwischen Online-Gesundheitskommunikation und Gesundheitsförderung. Drei indirekte Pfade identifiziert: Ketteneffekt stärker in Stadt (vs. Land), bei Frauen (vs. Männer), am stärksten bei 31–60-Jährigen. Effekt bei niedriger Bildung schwächer. Bootstrap-Mediationsanalyse: alle Pfade mit KI ≠ Null.</w:t>
      </w:r>
    </w:p>
    <w:p>
      <w:r>
        <w:rPr>
          <w:b/>
          <w:sz w:val="19"/>
        </w:rPr>
        <w:t xml:space="preserve">Übertragbarkeit: </w:t>
      </w:r>
      <w:r>
        <w:rPr>
          <w:sz w:val="19"/>
        </w:rPr>
        <w:t>China, aber Pathmodell (Kommunikation→Kompetenz→Bildung→Verhalten) international gültig; Querschnitt, keine Kausalität</w:t>
      </w:r>
    </w:p>
    <w:p>
      <w:r>
        <w:rPr>
          <w:color w:val="5A7D3A"/>
          <w:sz w:val="18"/>
        </w:rPr>
        <w:t>https://pubmed.ncbi.nlm.nih.gov/42936026/</w:t>
      </w:r>
    </w:p>
    <w:p>
      <w:pPr>
        <w:pStyle w:val="Heading2"/>
      </w:pPr>
      <w:r>
        <w:t>Funktionale Gesundheitskompetenz hängt mit Reproduktionswissen bei schwangeren Frauen zusammen</w:t>
      </w:r>
    </w:p>
    <w:p>
      <w:r>
        <w:rPr>
          <w:i/>
          <w:color w:val="666666"/>
          <w:sz w:val="18"/>
        </w:rPr>
        <w:t>Karácsony I et al.  ·  Med Sci (Basel)  ·  21.10.2026  ·  PMID 42930611</w:t>
      </w:r>
    </w:p>
    <w:p>
      <w:r>
        <w:t>Querschnittsstudie zur Assoziation von objektiver funktionaler und subjektiver Gesundheitskompetenz mit Reproduktions- und Präkonzeptionswissen bei 346 schwangeren Frauen in Ungarn.</w:t>
      </w:r>
    </w:p>
    <w:p>
      <w:r>
        <w:rPr>
          <w:b/>
        </w:rPr>
        <w:t xml:space="preserve">Ergebnis: </w:t>
      </w:r>
      <w:r>
        <w:t>Objektive funktionale Gesundheitskompetenz war nach Adjustment signifikant mit dem Kompositum assoziiert (B=1,732; SE=0,553; β=0,271; p=0,001), subjektive nicht (B=0,244; p=0,227). Beide Maße zusammen erklärten 7,7 Prozentpunkte zusätzliche Varianz; Gesamtmodell 15,1 %.</w:t>
      </w:r>
    </w:p>
    <w:p>
      <w:r>
        <w:rPr>
          <w:b/>
          <w:sz w:val="19"/>
        </w:rPr>
        <w:t xml:space="preserve">Übertragbarkeit: </w:t>
      </w:r>
      <w:r>
        <w:rPr>
          <w:sz w:val="19"/>
        </w:rPr>
        <w:t>Ungarn (EU), vergleichbares Gesundheitssystem; Querschnitt, keine Interventionsergebnisse</w:t>
      </w:r>
    </w:p>
    <w:p>
      <w:r>
        <w:rPr>
          <w:color w:val="5A7D3A"/>
          <w:sz w:val="18"/>
        </w:rPr>
        <w:t>https://pubmed.ncbi.nlm.nih.gov/42930611/</w:t>
      </w:r>
    </w:p>
    <w:p>
      <w:pPr>
        <w:pStyle w:val="Heading2"/>
      </w:pPr>
      <w:r>
        <w:t>Choosing-Wisely-Items messen Shared Decision-Making-Wahrnehmung in Psychiatrie valide</w:t>
      </w:r>
    </w:p>
    <w:p>
      <w:r>
        <w:rPr>
          <w:i/>
          <w:color w:val="666666"/>
          <w:sz w:val="18"/>
        </w:rPr>
        <w:t>Bengtsson J et al.  ·  Int J Methods Psychiatr Res  ·  Dez. 2026  ·  PMID 42929188</w:t>
      </w:r>
    </w:p>
    <w:p>
      <w:r>
        <w:t>Psychometrische Validierungsstudie der schwedischen Choosing-Wisely-Fragen (CWQ) zur Messung von wahrgenommener Information über Medikation bei 666 psychiatrischen Patienten.</w:t>
      </w:r>
    </w:p>
    <w:p>
      <w:r>
        <w:rPr>
          <w:b/>
        </w:rPr>
        <w:t xml:space="preserve">Ergebnis: </w:t>
      </w:r>
      <w:r>
        <w:t>Einfaktorstruktur mit 53,8 % erklärter Varianz. CFA zeigte exzellente Passung (CFI=0,998; TLI=0,995; RMSEA=0,032). Interne Konsistenz gut (α=0,81, 95%-KI 0,79–0,83). Patienten berichteten mehr Information über Nutzen als über Risiken, Alternativen oder Verzicht (p&lt;0,001).</w:t>
      </w:r>
    </w:p>
    <w:p>
      <w:r>
        <w:rPr>
          <w:b/>
          <w:sz w:val="19"/>
        </w:rPr>
        <w:t xml:space="preserve">Übertragbarkeit: </w:t>
      </w:r>
      <w:r>
        <w:rPr>
          <w:sz w:val="19"/>
        </w:rPr>
        <w:t>Schweden (EU), vergleichbar mit DACH; misst Shared-Decision-Making-Wahrnehmung, nicht Verhalten</w:t>
      </w:r>
    </w:p>
    <w:p>
      <w:r>
        <w:rPr>
          <w:color w:val="5A7D3A"/>
          <w:sz w:val="18"/>
        </w:rPr>
        <w:t>https://pubmed.ncbi.nlm.nih.gov/42929188/</w:t>
      </w:r>
    </w:p>
    <w:p>
      <w:pPr>
        <w:pStyle w:val="Heading1"/>
      </w:pPr>
      <w:r>
        <w:t>Aufgenommen am 27.10.2026</w:t>
      </w:r>
    </w:p>
    <w:p>
      <w:pPr>
        <w:pStyle w:val="Heading2"/>
      </w:pPr>
      <w:r>
        <w:t>Theoriegeleitete Schulung zum Shared Decision-Making versetzt Pflegestudierende in die Lage, Patienten zu unterstützen</w:t>
      </w:r>
    </w:p>
    <w:p>
      <w:r>
        <w:rPr>
          <w:i/>
          <w:color w:val="666666"/>
          <w:sz w:val="18"/>
        </w:rPr>
        <w:t>Lewis KB et al.  ·  Int J Nurs Educ Scholarsh  ·  01.01.2026  ·  PMID 42931132</w:t>
      </w:r>
    </w:p>
    <w:p>
      <w:r>
        <w:t>Studie analysierte reflektive Notizen von Pflegestudierenden (n=34) nach einem Trainingsmodul zur Ottawa Decision Support Framework, um zu untersuchen, ob sie Shared Decision-Making in der Klinik anwenden konnten.</w:t>
      </w:r>
    </w:p>
    <w:p>
      <w:r>
        <w:rPr>
          <w:b/>
        </w:rPr>
        <w:t xml:space="preserve">Ergebnis: </w:t>
      </w:r>
      <w:r>
        <w:t>Studierende identifizierten typischerweise drei Kategorien von Entscheidungsproblemen (komplexe Merkmale n=26/76%, unzureichendes Wissen n=23/68%) und nannten Entscheidungshilfen als häufigste Intervention (n=27/79%). Sie erkannten Barrieren und Förderfaktoren auf Ebene der Studierenden, Patienten/Familie, Umgebung und Interventionen und konzeptualisierten Qualitätsentscheidungen als wertebasiert und/oder informiert.</w:t>
      </w:r>
    </w:p>
    <w:p>
      <w:r>
        <w:rPr>
          <w:b/>
          <w:sz w:val="19"/>
        </w:rPr>
        <w:t xml:space="preserve">Übertragbarkeit: </w:t>
      </w:r>
      <w:r>
        <w:rPr>
          <w:sz w:val="19"/>
        </w:rPr>
        <w:t>Kanada, aber Curriculum-Integration von SDM-Fähigkeiten international übertragbar; Rahmen auf deutsche Pflegeausbildung anwendbar.</w:t>
      </w:r>
    </w:p>
    <w:p>
      <w:r>
        <w:rPr>
          <w:color w:val="5A7D3A"/>
          <w:sz w:val="18"/>
        </w:rPr>
        <w:t>https://pubmed.ncbi.nlm.nih.gov/42931132/</w:t>
      </w:r>
    </w:p>
    <w:p>
      <w:pPr>
        <w:pStyle w:val="Heading2"/>
      </w:pPr>
      <w:r>
        <w:t>Mitgestaltete Sturzprävention-Schulung für ältere Menschen zu Hause erzielt hohe Verständlichkeit</w:t>
      </w:r>
    </w:p>
    <w:p>
      <w:r>
        <w:rPr>
          <w:i/>
          <w:color w:val="666666"/>
          <w:sz w:val="18"/>
        </w:rPr>
        <w:t>Francis-Coad J et al.  ·  Health Expect  ·  Okt. 2026  ·  PMID 42929459</w:t>
      </w:r>
    </w:p>
    <w:p>
      <w:r>
        <w:t>Studie nutzte Co-Design mit älteren Pflegekunden und Fachkräften (n=23), um ein Sturzpräventions-Schulungsprogramm zu überarbeiten und dann mit dem PEMAT-Fragebogen zu validieren.</w:t>
      </w:r>
    </w:p>
    <w:p>
      <w:r>
        <w:rPr>
          <w:b/>
        </w:rPr>
        <w:t xml:space="preserve">Ergebnis: </w:t>
      </w:r>
      <w:r>
        <w:t>Überarbeitete Ressourcen erzielten &gt;87,3% in beiden PEMAT-Dimensionen (Verständlichkeit und Handlungsbarkeit), was hoher Qualität entspricht. Konsumenten schätzten die einfache, klare Information und gaben an, dass visuelle Lernmittel gute Motivationshilfen waren, benötigten aber ästhetische und kulturelle Anpassungen.</w:t>
      </w:r>
    </w:p>
    <w:p>
      <w:r>
        <w:rPr>
          <w:b/>
          <w:sz w:val="19"/>
        </w:rPr>
        <w:t xml:space="preserve">Übertragbarkeit: </w:t>
      </w:r>
      <w:r>
        <w:rPr>
          <w:sz w:val="19"/>
        </w:rPr>
        <w:t>Australien, aber Methode und Zielgruppe (ältere Menschen, Homecare) auf Deutschland übertragbar.</w:t>
      </w:r>
    </w:p>
    <w:p>
      <w:r>
        <w:rPr>
          <w:color w:val="5A7D3A"/>
          <w:sz w:val="18"/>
        </w:rPr>
        <w:t>https://pubmed.ncbi.nlm.nih.gov/42929459/</w:t>
      </w:r>
    </w:p>
    <w:p>
      <w:pPr>
        <w:pStyle w:val="Heading2"/>
      </w:pPr>
      <w:r>
        <w:t>Ärztliche Empathie stärkt Shared Decision-Making und verbessert Diabetes-Selbstmanagement</w:t>
      </w:r>
    </w:p>
    <w:p>
      <w:r>
        <w:rPr>
          <w:i/>
          <w:color w:val="666666"/>
          <w:sz w:val="18"/>
        </w:rPr>
        <w:t>Peimani M et al.  ·  BMC Health Serv Res  ·  28.07.2026  ·  PMID 42928226</w:t>
      </w:r>
    </w:p>
    <w:p>
      <w:r>
        <w:t>Studie untersuchte, wie ärztliche Empathie die Wirkung von Arzt-Patient-Kommunikation auf Shared Decision-Making und damit auf Medikamentenadhärenz und Diabetes-Belastung beeinflusst (n=1.300 Erwachsene mit Diabetes).</w:t>
      </w:r>
    </w:p>
    <w:p>
      <w:r>
        <w:rPr>
          <w:b/>
        </w:rPr>
        <w:t xml:space="preserve">Ergebnis: </w:t>
      </w:r>
      <w:r>
        <w:t>Bei hoher Empathie verminderte sich die negative Wirkung von gehetzter Kommunikation auf die Adhärenz stärker (B=−0,83 vs. B=−1,13 bei niedriger Empathie); die positive Wirkung klarer Erklärungen auf Adhärenz war bei hoher Empathie höher (B=2,95 vs. B=1,35). Empathie moderierte signifikant alle indirekten Effekte über Shared Decision-Making (95%-KI schlossen Null aus).</w:t>
      </w:r>
    </w:p>
    <w:p>
      <w:r>
        <w:rPr>
          <w:b/>
          <w:sz w:val="19"/>
        </w:rPr>
        <w:t xml:space="preserve">Übertragbarkeit: </w:t>
      </w:r>
      <w:r>
        <w:rPr>
          <w:sz w:val="19"/>
        </w:rPr>
        <w:t>Iran, aber Befunde zu Empathie und SDM sind systemübergreifend relevant; Messinstrumente validiert.</w:t>
      </w:r>
    </w:p>
    <w:p>
      <w:r>
        <w:rPr>
          <w:color w:val="5A7D3A"/>
          <w:sz w:val="18"/>
        </w:rPr>
        <w:t>https://pubmed.ncbi.nlm.nih.gov/42928226/</w:t>
      </w:r>
    </w:p>
    <w:p>
      <w:pPr>
        <w:pStyle w:val="Heading2"/>
      </w:pPr>
      <w:r>
        <w:t>Mitgestaltete Gesundheitskommunikation für vulnerable Gruppen verbessert Verständlichkeit und Handlungsfähigkeit</w:t>
      </w:r>
    </w:p>
    <w:p>
      <w:r>
        <w:rPr>
          <w:i/>
          <w:color w:val="666666"/>
          <w:sz w:val="18"/>
        </w:rPr>
        <w:t>Martin AF et al.  ·  BMC Public Health  ·  29.07.2026  ·  PMID 42928169</w:t>
      </w:r>
    </w:p>
    <w:p>
      <w:r>
        <w:t>Studie entwickelte Infomaterialien zu invasiver Streptokokken-Infektion zusammen mit obdachlosen Menschen und Drogengebrauchern (n=39) und bewertete, ob die Materialien zugänglich, verständlich und handlungsrelevant waren.</w:t>
      </w:r>
    </w:p>
    <w:p>
      <w:r>
        <w:rPr>
          <w:b/>
        </w:rPr>
        <w:t xml:space="preserve">Ergebnis: </w:t>
      </w:r>
      <w:r>
        <w:t>32 von 39 Befragten bevorzugten das mitgestaltete Merkblatt gegenüber der Originalversion; dieses wurde als augenfälliger, leichter lesbar und personenzentriert bewertet, während das Original als wenig relevant empfunden wurde. Symptome wurden korrekt identifiziert und Befragte berichteten, dass sie dem Rat folgen würden.</w:t>
      </w:r>
    </w:p>
    <w:p>
      <w:r>
        <w:rPr>
          <w:b/>
          <w:sz w:val="19"/>
        </w:rPr>
        <w:t xml:space="preserve">Übertragbarkeit: </w:t>
      </w:r>
      <w:r>
        <w:rPr>
          <w:sz w:val="19"/>
        </w:rPr>
        <w:t>Großbritannien, Methode der Co-Production auf deutsche vulnerable Gruppen übertragbar; keine Sprachbarriere bei einfacher Gestaltung.</w:t>
      </w:r>
    </w:p>
    <w:p>
      <w:r>
        <w:rPr>
          <w:color w:val="5A7D3A"/>
          <w:sz w:val="18"/>
        </w:rPr>
        <w:t>https://pubmed.ncbi.nlm.nih.gov/42928169/</w:t>
      </w:r>
    </w:p>
    <w:p>
      <w:pPr>
        <w:pStyle w:val="Heading2"/>
      </w:pPr>
      <w:r>
        <w:t>Digitale psychoeducation mit menschlicher Unterstützung reduziert PTBS-Symptome, aber nur als Kombination wirksam</w:t>
      </w:r>
    </w:p>
    <w:p>
      <w:r>
        <w:rPr>
          <w:i/>
          <w:color w:val="666666"/>
          <w:sz w:val="18"/>
        </w:rPr>
        <w:t>Nizon D et al.  ·  Eur J Psychotraumatol  ·  23.10.2026  ·  PMID 42924444</w:t>
      </w:r>
    </w:p>
    <w:p>
      <w:r>
        <w:t>Systematische Übersicht von 26 RCTs (n=3.304 Erwachsene) zur Wirksamkeit von Psychoeducation bei PTBS, die verschiedene Formate und Vermittlungswege verglich.</w:t>
      </w:r>
    </w:p>
    <w:p>
      <w:r>
        <w:rPr>
          <w:b/>
        </w:rPr>
        <w:t xml:space="preserve">Ergebnis: </w:t>
      </w:r>
      <w:r>
        <w:t>9 von 26 Studien zeigten signifikante Reduktion der PTBS-Symptome durch Psychoeducation (1 präventiv, 8 nach Diagnose). Alle Studien mit signifikanten Effekten nutzten digitale Vermittlung mit menschlicher Anleitung. Gesamteffekte waren jedoch inkonsistent, methodische Qualität begrenzt. Weitere Verbesserungen in Stigmareduktion, Angst und Hilfesuchverhalten wurden berichtet. Fazit: Psychoeducation allein als Monotherapie unzureichend, aber wertvoll als Komponente in Stepped-Care-Ansätzen.</w:t>
      </w:r>
    </w:p>
    <w:p>
      <w:r>
        <w:rPr>
          <w:b/>
          <w:sz w:val="19"/>
        </w:rPr>
        <w:t xml:space="preserve">Übertragbarkeit: </w:t>
      </w:r>
      <w:r>
        <w:rPr>
          <w:sz w:val="19"/>
        </w:rPr>
        <w:t>Frankreich (Autorenaffiliation), aber Befunde zu digitaler Vermittlung mit Anleitung international relevant; Implementierungsempfehlung auf deutsches Gesundheitssystem übertragbar.</w:t>
      </w:r>
    </w:p>
    <w:p>
      <w:r>
        <w:rPr>
          <w:color w:val="5A7D3A"/>
          <w:sz w:val="18"/>
        </w:rPr>
        <w:t>https://pubmed.ncbi.nlm.nih.gov/42924444/</w:t>
      </w:r>
    </w:p>
    <w:p>
      <w:pPr>
        <w:pStyle w:val="Heading2"/>
      </w:pPr>
      <w:r>
        <w:t>Kurzes Health-Literacy-Screening-Tool zeigt altersabhängige Vorhersagekraft für Gesundheitsverhalten</w:t>
      </w:r>
    </w:p>
    <w:p>
      <w:r>
        <w:rPr>
          <w:i/>
          <w:color w:val="666666"/>
          <w:sz w:val="18"/>
        </w:rPr>
        <w:t>Kirbiš A et al.  ·  BMC Public Health  ·  07.10.2026  ·  PMID 42920137</w:t>
      </w:r>
    </w:p>
    <w:p>
      <w:r>
        <w:t>Studie validierte das 6-Item-HLS-EU-Q6-Fragebogen an 3.360 Slowenen verschiedener Altersgruppen (18–30, 31–64, 65+ Jahre) und prüfte seine Konstruktvalidität, interne Konsistenz und Vorhersagekraft für Gesundheitsverhalten.</w:t>
      </w:r>
    </w:p>
    <w:p>
      <w:r>
        <w:rPr>
          <w:b/>
        </w:rPr>
        <w:t xml:space="preserve">Ergebnis: </w:t>
      </w:r>
      <w:r>
        <w:t>Das Instrument zeigte befriedigende innere Konsistenz (Cronbachs α=0,76–0,84 über alle Gruppen). Diskriminant- und Konkurrenzvalidität wurden bestätigt (Korrelation mit HLS-EU-Q47: r=0,892). Vorhersagekraft für Gesundheitsverhalten war bei Erwachsenen und älteren Menschen stärker als bei Jugendlichen: Junge Erwachsene sagte nur Selbstbewertung voraus, Erwachsene und ältere Menschen auch Impfungseinstellungen (jeweils signifikant).</w:t>
      </w:r>
    </w:p>
    <w:p>
      <w:r>
        <w:rPr>
          <w:b/>
          <w:sz w:val="19"/>
        </w:rPr>
        <w:t xml:space="preserve">Übertragbarkeit: </w:t>
      </w:r>
      <w:r>
        <w:rPr>
          <w:sz w:val="19"/>
        </w:rPr>
        <w:t>Slowenien, EU-Mitglied; Fragebogen bereits in mehreren europäischen Ländern verwendet, direkt auf Deutschland anwendbar.</w:t>
      </w:r>
    </w:p>
    <w:p>
      <w:r>
        <w:rPr>
          <w:color w:val="5A7D3A"/>
          <w:sz w:val="18"/>
        </w:rPr>
        <w:t>https://pubmed.ncbi.nlm.nih.gov/42920137/</w:t>
      </w:r>
    </w:p>
    <w:p>
      <w:pPr>
        <w:pStyle w:val="Heading1"/>
      </w:pPr>
      <w:r>
        <w:t>Aufgenommen am 26.10.2026</w:t>
      </w:r>
    </w:p>
    <w:p>
      <w:pPr>
        <w:pStyle w:val="Heading2"/>
      </w:pPr>
      <w:r>
        <w:t>Gesundheitskompetenz in der Menopause: Lücken zwischen Individuum, Versorgung und Gesellschaft</w:t>
      </w:r>
    </w:p>
    <w:p>
      <w:r>
        <w:rPr>
          <w:i/>
          <w:color w:val="666666"/>
          <w:sz w:val="18"/>
        </w:rPr>
        <w:t>Pourshahrokhi N et al.  ·  Health Expect  ·  Okt. 2026  ·  PMID 42925072</w:t>
      </w:r>
    </w:p>
    <w:p>
      <w:r>
        <w:t>Qualitative Interviewstudie mit 22 Frauen und 10 Fachpersonen in Südiran zur Identifikation von Informationsbedarf, Barrieren und Facilitatoren der Menopausenkompetenz.</w:t>
      </w:r>
    </w:p>
    <w:p>
      <w:r>
        <w:rPr>
          <w:b/>
        </w:rPr>
        <w:t xml:space="preserve">Ergebnis: </w:t>
      </w:r>
      <w:r>
        <w:t>Menopause wird von Frauen als unerwarteter, multidimensionaler Übergang erlebt. Zentrale Lücken: Mangel an Aufklärung, Stigma, unzureichendes Engagement von Fachpersonen, Schwierigkeit beim Auffinden verlässlicher Quellen. Facilitatoren: symptomorientierte Strategien, Lifestyle-Änderung, Familie und Peer-Support.</w:t>
      </w:r>
    </w:p>
    <w:p>
      <w:r>
        <w:rPr>
          <w:b/>
          <w:sz w:val="19"/>
        </w:rPr>
        <w:t xml:space="preserve">Übertragbarkeit: </w:t>
      </w:r>
      <w:r>
        <w:rPr>
          <w:sz w:val="19"/>
        </w:rPr>
        <w:t>Iran; kulturelle Kontexte und Stigma beeinflussen; Empfehlungen (evidenzbasierte Bildung, barrierefreie Ressourcen) teilweise auf Deutschland übertragbar</w:t>
      </w:r>
    </w:p>
    <w:p>
      <w:r>
        <w:rPr>
          <w:color w:val="5A7D3A"/>
          <w:sz w:val="18"/>
        </w:rPr>
        <w:t>https://pubmed.ncbi.nlm.nih.gov/42925072/</w:t>
      </w:r>
    </w:p>
    <w:p>
      <w:pPr>
        <w:pStyle w:val="Heading2"/>
      </w:pPr>
      <w:r>
        <w:t>Patientenbeteiligung bei Post-Discharge-Kommunikation: Co-Design mit älteren Menschen</w:t>
      </w:r>
    </w:p>
    <w:p>
      <w:r>
        <w:rPr>
          <w:i/>
          <w:color w:val="666666"/>
          <w:sz w:val="18"/>
        </w:rPr>
        <w:t>Spencer RA et al.  ·  Health Expect  ·  Okt. 2026  ·  PMID 42925008</w:t>
      </w:r>
    </w:p>
    <w:p>
      <w:r>
        <w:t>Workshop mit 21 Teilnehmern (10 Patienten/Angehörige, 11 klinische Führungskräfte) nutzte Nominal Group Technique zur Erarbeitung von Empfehlungen für ein patientenzentriertes Entlassungsmanagement im NHS.</w:t>
      </w:r>
    </w:p>
    <w:p>
      <w:r>
        <w:rPr>
          <w:b/>
        </w:rPr>
        <w:t xml:space="preserve">Ergebnis: </w:t>
      </w:r>
      <w:r>
        <w:t>52 Aussagen generiert, 35 als akzeptabel und machbar bewertet. Höchste Priorität: Patientenautonomie, Transparenz, Einbeziehung ambulanter Fachkräfte. Vollständige Digitalisierung wurde als unangemessen erachtet. Das Verfahren (RAND/UCLA-Voting) bewährte sich für Mixed-PPI-Beteiligung.</w:t>
      </w:r>
    </w:p>
    <w:p>
      <w:r>
        <w:rPr>
          <w:b/>
          <w:sz w:val="19"/>
        </w:rPr>
        <w:t xml:space="preserve">Übertragbarkeit: </w:t>
      </w:r>
      <w:r>
        <w:rPr>
          <w:sz w:val="19"/>
        </w:rPr>
        <w:t>Großbritannien, NHS-Struktur; Gatekeeping-Modell nicht direkt auf deutsches freies Arztwahlsystem übertragbar</w:t>
      </w:r>
    </w:p>
    <w:p>
      <w:r>
        <w:rPr>
          <w:color w:val="5A7D3A"/>
          <w:sz w:val="18"/>
        </w:rPr>
        <w:t>https://pubmed.ncbi.nlm.nih.gov/42925008/</w:t>
      </w:r>
    </w:p>
    <w:p>
      <w:pPr>
        <w:pStyle w:val="Heading2"/>
      </w:pPr>
      <w:r>
        <w:t>Shared Decision Making mit Apothekern in der Primärversorgung: Patientenerfahrungen und Einflussfaktoren</w:t>
      </w:r>
    </w:p>
    <w:p>
      <w:r>
        <w:rPr>
          <w:i/>
          <w:color w:val="666666"/>
          <w:sz w:val="18"/>
        </w:rPr>
        <w:t>Loewen PS et al.  ·  Fam Pract  ·  06.10.2026  ·  PMID 42924607</w:t>
      </w:r>
    </w:p>
    <w:p>
      <w:r>
        <w:t>Querschnittsumfrage bei 604 Patienten der Pharmacists in Primary Care Network (PCN) in Kanada zu ihren Erfahrungen mit Shared Decision Making (SDM) mittels SDM-Q-9-Fragebogen.</w:t>
      </w:r>
    </w:p>
    <w:p>
      <w:r>
        <w:rPr>
          <w:b/>
        </w:rPr>
        <w:t xml:space="preserve">Ergebnis: </w:t>
      </w:r>
      <w:r>
        <w:t>Medianer SDM-Q-9-Score 77,8 (IQR 62,2–91,1), deutend auf moderately strong agreement mit SDM-Prozess. Demografische und klinische Faktoren erklärten 5% der Varianz, psychologische Faktoren (Erwartungen, Medikamentverständnis, Engagement-Motivation, Gesamterlebnis) erklärten 39% der Varianz. SDM-Erfahrung wurde von Patienten &lt;65 Jahren und bei Präsenzterminen höher bewertet.</w:t>
      </w:r>
    </w:p>
    <w:p>
      <w:r>
        <w:rPr>
          <w:b/>
          <w:sz w:val="19"/>
        </w:rPr>
        <w:t xml:space="preserve">Übertragbarkeit: </w:t>
      </w:r>
      <w:r>
        <w:rPr>
          <w:sz w:val="19"/>
        </w:rPr>
        <w:t>Kanada, ähnliches Gesundheitssystem; Apotheken-Rollen unterscheiden sich in Deutschland</w:t>
      </w:r>
    </w:p>
    <w:p>
      <w:r>
        <w:rPr>
          <w:color w:val="5A7D3A"/>
          <w:sz w:val="18"/>
        </w:rPr>
        <w:t>https://pubmed.ncbi.nlm.nih.gov/42924607/</w:t>
      </w:r>
    </w:p>
    <w:p>
      <w:pPr>
        <w:pStyle w:val="Heading2"/>
      </w:pPr>
      <w:r>
        <w:t>Patientenengagement in genetischer Onkologie-Beratung: Analyse von Gesprächsstrategien</w:t>
      </w:r>
    </w:p>
    <w:p>
      <w:r>
        <w:rPr>
          <w:i/>
          <w:color w:val="666666"/>
          <w:sz w:val="18"/>
        </w:rPr>
        <w:t>Lim T et al.  ·  J Genet Couns  ·  Okt. 2026  ·  PMID 42924565</w:t>
      </w:r>
    </w:p>
    <w:p>
      <w:r>
        <w:t>Conversation-Analyse von Videoaufnahmen genetischer Beratungsgespräche (Singapur) zur Identifikation von Kommunikationsstrategien, die Verständnis und psychosoziale Unterstützung fördern.</w:t>
      </w:r>
    </w:p>
    <w:p>
      <w:r>
        <w:rPr>
          <w:b/>
        </w:rPr>
        <w:t xml:space="preserve">Ergebnis: </w:t>
      </w:r>
      <w:r>
        <w:t>Offene Eröffnungsfragen führten zu reichhaltigeren, patientengesteuerten Narrativen; geschlossene Fragen beschränkten Antworten. Explizite Einladung zur Mitteilung von Sorgen oder reaktives Eingehen auf Offenbarungen persönlicher Umstände stärkten emotionale Unterstützung. Mikroanalyse zeigt Integration von Informationsvermittlung mit psychosozialer Unterstützung.</w:t>
      </w:r>
    </w:p>
    <w:p>
      <w:r>
        <w:rPr>
          <w:b/>
          <w:sz w:val="19"/>
        </w:rPr>
        <w:t xml:space="preserve">Übertragbarkeit: </w:t>
      </w:r>
      <w:r>
        <w:rPr>
          <w:sz w:val="19"/>
        </w:rPr>
        <w:t>Singapur; Gesprächstechniken zum Thema Verständnis und Beteiligung sind prinzipiell übertragbar</w:t>
      </w:r>
    </w:p>
    <w:p>
      <w:r>
        <w:rPr>
          <w:color w:val="5A7D3A"/>
          <w:sz w:val="18"/>
        </w:rPr>
        <w:t>https://pubmed.ncbi.nlm.nih.gov/42924565/</w:t>
      </w:r>
    </w:p>
    <w:p>
      <w:pPr>
        <w:pStyle w:val="Heading2"/>
      </w:pPr>
      <w:r>
        <w:t>Gesundheitskommunikation für Lebensstiländerung bei älteren Hypertoniker: Scoping-Review-Protokoll</w:t>
      </w:r>
    </w:p>
    <w:p>
      <w:r>
        <w:rPr>
          <w:i/>
          <w:color w:val="666666"/>
          <w:sz w:val="18"/>
        </w:rPr>
        <w:t>Ferreira R et al.  ·  J Eval Clin Pract  ·  Okt. 2026  ·  PMID 42912184</w:t>
      </w:r>
    </w:p>
    <w:p>
      <w:r>
        <w:t>Protokoll für systematische Scoping Review zu Gesundheitskommunikationsstrategien für Lebensstiländerungen bei Erwachsenen ≥65 Jahren mit Hypertonie.</w:t>
      </w:r>
    </w:p>
    <w:p>
      <w:r>
        <w:rPr>
          <w:b/>
        </w:rPr>
        <w:t xml:space="preserve">Ergebnis: </w:t>
      </w:r>
      <w:r>
        <w:t>Studie ist methodisches Protokoll ohne Ergebnisse. Geplante Analyse von Kommunikationsstrategien (allein oder kombiniert mit Pharmakotherapie) zur Förderung von Lebensstiländerungen, mit Erfassung von Barrieren und Facilitatoren.</w:t>
      </w:r>
    </w:p>
    <w:p>
      <w:r>
        <w:rPr>
          <w:b/>
          <w:sz w:val="19"/>
        </w:rPr>
        <w:t xml:space="preserve">Übertragbarkeit: </w:t>
      </w:r>
      <w:r>
        <w:rPr>
          <w:sz w:val="19"/>
        </w:rPr>
        <w:t>Protokoll ohne Ergebnisse; Ausschluss</w:t>
      </w:r>
    </w:p>
    <w:p>
      <w:r>
        <w:rPr>
          <w:color w:val="5A7D3A"/>
          <w:sz w:val="18"/>
        </w:rPr>
        <w:t>https://pubmed.ncbi.nlm.nih.gov/42912184/</w:t>
      </w:r>
    </w:p>
    <w:p>
      <w:pPr>
        <w:pStyle w:val="Heading2"/>
      </w:pPr>
      <w:r>
        <w:t>Ermöglichen YouTube-Videos informierte Entscheidungen zur Kniearthrose? Analyse deutschsprachiger Videos</w:t>
      </w:r>
    </w:p>
    <w:p>
      <w:r>
        <w:rPr>
          <w:i/>
          <w:color w:val="666666"/>
          <w:sz w:val="18"/>
        </w:rPr>
        <w:t>Zacher S et al.  ·  Z Evid Fortbild Qual Gesundhwes  ·  13.08.2026  ·  PMID 42586805</w:t>
      </w:r>
    </w:p>
    <w:p>
      <w:r>
        <w:t>Systematische Analyse von 79 deutschsprachigen YouTube-Videos zur Kniearthrose-Behandlung mittels MAPPinfo-Checkliste zur Bewertung der Qualität von Gesundheitsinformation.</w:t>
      </w:r>
    </w:p>
    <w:p>
      <w:r>
        <w:rPr>
          <w:b/>
        </w:rPr>
        <w:t xml:space="preserve">Ergebnis: </w:t>
      </w:r>
      <w:r>
        <w:t>79 Videos (50 Gesundheitsinformationsmaterialien analysiert). Mittlere Informationsqualität 15,4% (Spanne 5–25, SD 4,5); kein Material erfüllte alle Kriterien. Zertifizierte YouTube-Health-Videos zeigten keine bessere Qualität (15,4% vs. 15,3%). Von 37 Videos zu Knie-Arthroplastie: 20 omittierten Komplikationen, 16 omittierten Nutzen. Dimensionen Transparenz, Inhalt und Darstellung waren unzureichend.</w:t>
      </w:r>
    </w:p>
    <w:p>
      <w:r>
        <w:rPr>
          <w:b/>
          <w:sz w:val="19"/>
        </w:rPr>
        <w:t xml:space="preserve">Übertragbarkeit: </w:t>
      </w:r>
      <w:r>
        <w:rPr>
          <w:sz w:val="19"/>
        </w:rPr>
        <w:t>Deutschland, deutschsprachige Videos; direkt anwendbar auf deutsches Versorgungssystem und Patienten</w:t>
      </w:r>
    </w:p>
    <w:p>
      <w:r>
        <w:rPr>
          <w:color w:val="5A7D3A"/>
          <w:sz w:val="18"/>
        </w:rPr>
        <w:t>https://pubmed.ncbi.nlm.nih.gov/42586805/</w:t>
      </w:r>
    </w:p>
    <w:p>
      <w:pPr>
        <w:pStyle w:val="Heading1"/>
      </w:pPr>
      <w:r>
        <w:t>Aufgenommen am 25.10.2026</w:t>
      </w:r>
    </w:p>
    <w:p>
      <w:pPr>
        <w:pStyle w:val="Heading2"/>
      </w:pPr>
      <w:r>
        <w:t>Shared Decision-Making bei Stammzelltransplantation: Patientenperspektiven auf Entscheidungskomplexität</w:t>
      </w:r>
    </w:p>
    <w:p>
      <w:r>
        <w:rPr>
          <w:i/>
          <w:color w:val="666666"/>
          <w:sz w:val="18"/>
        </w:rPr>
        <w:t>Wu Q et al.  ·  Support Care Cancer  ·  23.10.2026  ·  PMID 42909656</w:t>
      </w:r>
    </w:p>
    <w:p>
      <w:r>
        <w:t>Systematische qualitative Übersicht von 20 Studien zu Patientenperspektiven bei der Entscheidung für Stammzelltransplantation; identifiziert vier zentrale Faktoren: eingeschränkte Wahlmöglichkeiten, relationale Entscheidungskontexte, finanzielle und logistische Hürden, Besorgnis um soziale Teilhabe.</w:t>
      </w:r>
    </w:p>
    <w:p>
      <w:r>
        <w:rPr>
          <w:b/>
        </w:rPr>
        <w:t xml:space="preserve">Ergebnis: </w:t>
      </w:r>
      <w:r>
        <w:t>Vier integrierte Befunde zeigen, dass Stammzelltransplantationsentscheidungen nicht nur von klinischen Risiken abhängen, sondern stark von Kontextfaktoren geprägt sind: Patienten erleben begrenzte Wahlmöglichkeiten, müssen Entscheidungen im familiären Kontext treffen, berichten finanzielle/logistische Barrieren und fürchten Einbußen sozialer Teilhabe. SDM-gestützte Entscheidungshilfen sollten daher über bloße Informationsvermittlung hinausgehen.</w:t>
      </w:r>
    </w:p>
    <w:p>
      <w:r>
        <w:rPr>
          <w:b/>
          <w:sz w:val="19"/>
        </w:rPr>
        <w:t xml:space="preserve">Übertragbarkeit: </w:t>
      </w:r>
      <w:r>
        <w:rPr>
          <w:sz w:val="19"/>
        </w:rPr>
        <w:t>China - Befunde zu Entscheidungskontexten systemübergreifend relevant</w:t>
      </w:r>
    </w:p>
    <w:p>
      <w:r>
        <w:rPr>
          <w:color w:val="5A7D3A"/>
          <w:sz w:val="18"/>
        </w:rPr>
        <w:t>https://pubmed.ncbi.nlm.nih.gov/42909656/</w:t>
      </w:r>
    </w:p>
    <w:p>
      <w:pPr>
        <w:pStyle w:val="Heading2"/>
      </w:pPr>
      <w:r>
        <w:t>Patient Activation bei Keratitis: Mikro-, Meso- und Makroebenen-Faktoren hemmen oder fördern Selbstmanagement</w:t>
      </w:r>
    </w:p>
    <w:p>
      <w:r>
        <w:rPr>
          <w:i/>
          <w:color w:val="666666"/>
          <w:sz w:val="18"/>
        </w:rPr>
        <w:t>Yu H et al.  ·  Front Public Health  ·  07.10.2026  ·  PMID 42909004</w:t>
      </w:r>
    </w:p>
    <w:p>
      <w:r>
        <w:t>Qualitative Studie mit 15 Patienten in China zu Barrieren und Förderern von Patient Activation bei infektiöser Keratitis über dreischichtige ökosystemische Perspektive (Individuum, Familie/Versorgung, Gesellschaft).</w:t>
      </w:r>
    </w:p>
    <w:p>
      <w:r>
        <w:rPr>
          <w:b/>
        </w:rPr>
        <w:t xml:space="preserve">Ergebnis: </w:t>
      </w:r>
      <w:r>
        <w:t>Drei Kategorien identifiziert: (1) Mikrosystem – Wahrnehmung und Verhaltensanpassungsprobleme unter Krankheitslast; (2) Mesosystem – Unterstützungs- und Spannungsfaktoren in Familie und Versorgung; (3) Makrosystem – Herausforderungen beim Aufbau sozialer Netzwerke. Patient Activation gehemmt durch individuelle, familiäre, Versorgungs- und Sozialfaktoren über alle Ebenen.</w:t>
      </w:r>
    </w:p>
    <w:p>
      <w:r>
        <w:rPr>
          <w:b/>
          <w:sz w:val="19"/>
        </w:rPr>
        <w:t xml:space="preserve">Übertragbarkeit: </w:t>
      </w:r>
      <w:r>
        <w:rPr>
          <w:sz w:val="19"/>
        </w:rPr>
        <w:t>China – Mehrebenen-Modell der Patientenaktivierung systemübergreifend relevant, sprachspezifische Anpassung nötig</w:t>
      </w:r>
    </w:p>
    <w:p>
      <w:r>
        <w:rPr>
          <w:color w:val="5A7D3A"/>
          <w:sz w:val="18"/>
        </w:rPr>
        <w:t>https://pubmed.ncbi.nlm.nih.gov/42909004/</w:t>
      </w:r>
    </w:p>
    <w:p>
      <w:pPr>
        <w:pStyle w:val="Heading2"/>
      </w:pPr>
      <w:r>
        <w:t>Adhärenz nach Schlaganfall vermittelt Effekt von Gesundheitskompetenz auf Lebensqualität</w:t>
      </w:r>
    </w:p>
    <w:p>
      <w:r>
        <w:rPr>
          <w:i/>
          <w:color w:val="666666"/>
          <w:sz w:val="18"/>
        </w:rPr>
        <w:t>Sun HJ et al.  ·  Front Public Health  ·  07.10.2026  ·  PMID 42908663</w:t>
      </w:r>
    </w:p>
    <w:p>
      <w:r>
        <w:t>Querschnittstudie mit 509 Schlaganfallpatienten in China zu indirekten Effekten von Health Literacy auf Lebensqualität über Adhärenz nach Entlassung.</w:t>
      </w:r>
    </w:p>
    <w:p>
      <w:r>
        <w:rPr>
          <w:b/>
        </w:rPr>
        <w:t xml:space="preserve">Ergebnis: </w:t>
      </w:r>
      <w:r>
        <w:t>Durchschnittliche Health Literacy 31,40 ± 6,78 (unterhalb Schwellwert). Health Literacy positiv korreliert mit Lebensqualität (r = 0,409, p &lt; 0,001) und Adhärenz (r = 0,223, p &lt; 0,001). Adhärenz positiv korreliert mit Lebensqualität (r = 0,461, p &lt; 0,001). Standardisierter indirekter Effekt durch Adhärenz = 0,087 (95%-KI 0,048–0,134), entspricht etwa 21,3 % der Gesamtassoziation – mediierende Wirkung von Adhärenz signifikant.</w:t>
      </w:r>
    </w:p>
    <w:p>
      <w:r>
        <w:rPr>
          <w:b/>
          <w:sz w:val="19"/>
        </w:rPr>
        <w:t xml:space="preserve">Übertragbarkeit: </w:t>
      </w:r>
      <w:r>
        <w:rPr>
          <w:sz w:val="19"/>
        </w:rPr>
        <w:t>China - Hinweis auf modifizierbare Faktoren bei älteren Schlaganfallpatienten, begrenzte Übertragbarkeit auf deutsches System</w:t>
      </w:r>
    </w:p>
    <w:p>
      <w:r>
        <w:rPr>
          <w:color w:val="5A7D3A"/>
          <w:sz w:val="18"/>
        </w:rPr>
        <w:t>https://pubmed.ncbi.nlm.nih.gov/42908663/</w:t>
      </w:r>
    </w:p>
    <w:p>
      <w:pPr>
        <w:pStyle w:val="Heading2"/>
      </w:pPr>
      <w:r>
        <w:t>Gesundheitskompetenz und Lebensqualität nach Brustkrebs: Alter und Bildung sind Schlüsselfaktoren</w:t>
      </w:r>
    </w:p>
    <w:p>
      <w:r>
        <w:rPr>
          <w:i/>
          <w:color w:val="666666"/>
          <w:sz w:val="18"/>
        </w:rPr>
        <w:t>Aslan SG et al.  ·  Support Care Cancer  ·  22.10.2026  ·  PMID 42907575</w:t>
      </w:r>
    </w:p>
    <w:p>
      <w:r>
        <w:t>Querschnittstudie mit 59 Frauen nach Brustkrebs-Operation zu Zusammenhängen zwischen Health Literacy, lymphödem-bezogener Lebensqualität und soziodemografischen Faktoren.</w:t>
      </w:r>
    </w:p>
    <w:p>
      <w:r>
        <w:rPr>
          <w:b/>
        </w:rPr>
        <w:t xml:space="preserve">Ergebnis: </w:t>
      </w:r>
      <w:r>
        <w:t>Health Literacy variierte erheblich: 11,9 % unzureichend, 27,1 % problematisch/begrenzt, 33,9 % ausreichend, 27,1 % exzellent. Höheres Alter assoziiert mit niedrigerem Health Literacy (OR = 0,916, 95%-KI 0,870–0,964; p &lt; 0,001), höhere Schulbildung mit höherem Health Literacy (OR = 1,498, 95%-KI 1,011–2,217; p = 0,044). Funktionale und psychosoziale Lebensqualität waren miteinander verknüpft.</w:t>
      </w:r>
    </w:p>
    <w:p>
      <w:r>
        <w:rPr>
          <w:b/>
          <w:sz w:val="19"/>
        </w:rPr>
        <w:t xml:space="preserve">Übertragbarkeit: </w:t>
      </w:r>
      <w:r>
        <w:rPr>
          <w:sz w:val="19"/>
        </w:rPr>
        <w:t>Türkei, vergleichbare Versorgungsstrukturen, Evidenz für zielgruppengerechte Schulung</w:t>
      </w:r>
    </w:p>
    <w:p>
      <w:r>
        <w:rPr>
          <w:color w:val="5A7D3A"/>
          <w:sz w:val="18"/>
        </w:rPr>
        <w:t>https://pubmed.ncbi.nlm.nih.gov/42907575/</w:t>
      </w:r>
    </w:p>
    <w:p>
      <w:pPr>
        <w:pStyle w:val="Heading2"/>
      </w:pPr>
      <w:r>
        <w:t>Audiovisuelle Schulungsmaterialien stärken Diabeteserziehung durch Pflegefachpersonen</w:t>
      </w:r>
    </w:p>
    <w:p>
      <w:r>
        <w:rPr>
          <w:i/>
          <w:color w:val="666666"/>
          <w:sz w:val="18"/>
        </w:rPr>
        <w:t>Kudoh R et al.  ·  PLoS One  ·  21.10.2026  ·  PMID 42905735</w:t>
      </w:r>
    </w:p>
    <w:p>
      <w:r>
        <w:t>Qualitative Studie mit acht zertifizierten Diabetes-Pflegefachpersonen zu Effekten eines audiovisuellen Materials auf ihre Patientenedukation zur Mundgesundheit; Datenanalyse mit Inhaltsanalyse.</w:t>
      </w:r>
    </w:p>
    <w:p>
      <w:r>
        <w:rPr>
          <w:b/>
        </w:rPr>
        <w:t xml:space="preserve">Ergebnis: </w:t>
      </w:r>
      <w:r>
        <w:t>Vier Hauptthemen emergiert: (1) Verbesserung individuellen Lernens (8/8 Teilnehmende), einschließlich verbessertes Wissen zur Zahngesundheit-Diabetes-Verbindung; (2) Förderung beruflicher Entwicklung und Reflexion (5/8); (3) neue Einsichten in Patientenversorgung (7/8), besonders Patient-Motivationsstrategien; (4) Implementierungsüberlegungen in Diabetes-Ambulanzen. Material als nützlich wahrgenommen, unterstützt Pflegefachpersonen-Lernziele und Edukationspraxis.</w:t>
      </w:r>
    </w:p>
    <w:p>
      <w:r>
        <w:rPr>
          <w:b/>
          <w:sz w:val="19"/>
        </w:rPr>
        <w:t xml:space="preserve">Übertragbarkeit: </w:t>
      </w:r>
      <w:r>
        <w:rPr>
          <w:sz w:val="19"/>
        </w:rPr>
        <w:t>Japan – audiovisuelle Schulung prinzipiell übertragbar, Wirkung auf Patientenverhalten nicht gemessen</w:t>
      </w:r>
    </w:p>
    <w:p>
      <w:r>
        <w:rPr>
          <w:color w:val="5A7D3A"/>
          <w:sz w:val="18"/>
        </w:rPr>
        <w:t>https://pubmed.ncbi.nlm.nih.gov/42905735/</w:t>
      </w:r>
    </w:p>
    <w:p>
      <w:pPr>
        <w:pStyle w:val="Heading2"/>
      </w:pPr>
      <w:r>
        <w:t>Patient Public Involvement verbessert Verständlichkeit von Wirtschaftlichkeitsstudien: Demenzbeispiel</w:t>
      </w:r>
    </w:p>
    <w:p>
      <w:r>
        <w:rPr>
          <w:i/>
          <w:color w:val="666666"/>
          <w:sz w:val="18"/>
        </w:rPr>
        <w:t>Eaglestone G et al.  ·  Appl Health Econ Health Policy  ·  20.07.2026  ·  PMID 42474961</w:t>
      </w:r>
    </w:p>
    <w:p>
      <w:r>
        <w:t>Methodologische Studie zur Rolle von Patient Public Involvement (PPI) bei der Entwicklung einer Befragung für ökonomische Evaluationen in der Demenzforschung; vier Personen mit Demenzerfahrung refinierten Fragebogendesign durch Onlinebesprechungen.</w:t>
      </w:r>
    </w:p>
    <w:p>
      <w:r>
        <w:rPr>
          <w:b/>
        </w:rPr>
        <w:t xml:space="preserve">Ergebnis: </w:t>
      </w:r>
      <w:r>
        <w:t>PPI-Beiträge führten zu bedeutsamen Verbesserungen: Terminologie vereinfacht, mehrdeutige/belastende Items entfernt, Gesamtnutzbarkeit erhöht. Kern-Empfehlung: Early und kollaboratives Einbeziehen von PPI-Beitragenden bereichert Relevanz und Sensibilität von Forschungsinstrumenten; Co-Design-Ansätze erfordern aber maßgeschneiderte Unterstützung und zugängliche Einführungen in ökonomische Konzepte.</w:t>
      </w:r>
    </w:p>
    <w:p>
      <w:r>
        <w:rPr>
          <w:b/>
          <w:sz w:val="19"/>
        </w:rPr>
        <w:t xml:space="preserve">Übertragbarkeit: </w:t>
      </w:r>
      <w:r>
        <w:rPr>
          <w:sz w:val="19"/>
        </w:rPr>
        <w:t>Großbritannien – Modell für PPI-Integration in deutschsprachige Forschungsentwicklung übertragbar</w:t>
      </w:r>
    </w:p>
    <w:p>
      <w:r>
        <w:rPr>
          <w:color w:val="5A7D3A"/>
          <w:sz w:val="18"/>
        </w:rPr>
        <w:t>https://pubmed.ncbi.nlm.nih.gov/42474961/</w:t>
      </w:r>
    </w:p>
    <w:p>
      <w:pPr>
        <w:pStyle w:val="Heading1"/>
      </w:pPr>
      <w:r>
        <w:t>Aufgenommen am 24.10.2026</w:t>
      </w:r>
    </w:p>
    <w:p>
      <w:pPr>
        <w:pStyle w:val="Heading2"/>
      </w:pPr>
      <w:r>
        <w:t>Strukturierte Mundhygiene-Schulung verbessert Zahngesundheit vor Tumorbestrahlung langfristig</w:t>
      </w:r>
    </w:p>
    <w:p>
      <w:r>
        <w:rPr>
          <w:i/>
          <w:color w:val="666666"/>
          <w:sz w:val="18"/>
        </w:rPr>
        <w:t>Sun C et al.  ·  BMC Oral Health  ·  28.07.2026  ·  PMID 42919312</w:t>
      </w:r>
    </w:p>
    <w:p>
      <w:r>
        <w:t>Zweiarmige Studie in China: 63 Patienten mit Kopf-Hals-Tumoren erhielten strukturierte Schulung (OHBCA) zu Mundhygiene vor Bestrahlung; 24 davon wurden 12 Monate nachbeobachtet und mit 19 Kontrollpatienten verglichen.</w:t>
      </w:r>
    </w:p>
    <w:p>
      <w:r>
        <w:rPr>
          <w:b/>
        </w:rPr>
        <w:t xml:space="preserve">Ergebnis: </w:t>
      </w:r>
      <w:r>
        <w:t>Phase 1: Schulung führte zu signifikanten Verbesserungen bei Wissen, Bewusstsein und Verhalten (alle p&lt;0,01). Phase 2 (12 Monate): Interventionsgruppe zeigte bessere Mundhygiene-Indizes (alle p&lt;0,0001) als Kontrolle, weniger Zahnbelag und Zahnfleischentzündung.</w:t>
      </w:r>
    </w:p>
    <w:p>
      <w:r>
        <w:rPr>
          <w:b/>
          <w:sz w:val="19"/>
        </w:rPr>
        <w:t xml:space="preserve">Übertragbarkeit: </w:t>
      </w:r>
      <w:r>
        <w:rPr>
          <w:sz w:val="19"/>
        </w:rPr>
        <w:t>China, aber Schulungsansatz zur Vermeidung strahlentherapiebedingter Zahnkomplikationen prinzipiell übertragbar.</w:t>
      </w:r>
    </w:p>
    <w:p>
      <w:r>
        <w:rPr>
          <w:color w:val="5A7D3A"/>
          <w:sz w:val="18"/>
        </w:rPr>
        <w:t>https://pubmed.ncbi.nlm.nih.gov/42919312/</w:t>
      </w:r>
    </w:p>
    <w:p>
      <w:pPr>
        <w:pStyle w:val="Heading2"/>
      </w:pPr>
      <w:r>
        <w:t>Strukturierte Schulung senkt Stürze bei älteren Patienten deutlich</w:t>
      </w:r>
    </w:p>
    <w:p>
      <w:r>
        <w:rPr>
          <w:i/>
          <w:color w:val="666666"/>
          <w:sz w:val="18"/>
        </w:rPr>
        <w:t>Kim E et al.  ·  BMC Geriatr  ·  27.07.2026  ·  PMID 42919133</w:t>
      </w:r>
    </w:p>
    <w:p>
      <w:r>
        <w:t>Quasi-experimentelle Studie zur Wirkung eines partizipativen fünftägigen Schulungsprogramms (APREAL) auf Sturzrisiken bei älteren Patienten in koreanischen Krankenhausstationen.</w:t>
      </w:r>
    </w:p>
    <w:p>
      <w:r>
        <w:rPr>
          <w:b/>
        </w:rPr>
        <w:t xml:space="preserve">Ergebnis: </w:t>
      </w:r>
      <w:r>
        <w:t>Die Interventionsgruppe zeigte nach der Schulung signifikant höhere Werte bei Sturzwissen (F=27,41, p&lt;0,001, η²=0,287), Selbstwirksamkeit (F=32,85, p&lt;0,001, η²=0,326) und Sturzprävention-Verhalten (F=93,14, p&lt;0,001, η²=0,578). Die Kontrollstation verzeichnete 2,3 Stürze pro 1.000 Patiententage, die Interventionsstation 0,0.</w:t>
      </w:r>
    </w:p>
    <w:p>
      <w:r>
        <w:rPr>
          <w:b/>
          <w:sz w:val="19"/>
        </w:rPr>
        <w:t xml:space="preserve">Übertragbarkeit: </w:t>
      </w:r>
      <w:r>
        <w:rPr>
          <w:sz w:val="19"/>
        </w:rPr>
        <w:t>Südkorea, aber Design und Schulungsformat lassen sich auf deutsche Krankenhausstationen übertragen.</w:t>
      </w:r>
    </w:p>
    <w:p>
      <w:r>
        <w:rPr>
          <w:color w:val="5A7D3A"/>
          <w:sz w:val="18"/>
        </w:rPr>
        <w:t>https://pubmed.ncbi.nlm.nih.gov/42919133/</w:t>
      </w:r>
    </w:p>
    <w:p>
      <w:pPr>
        <w:pStyle w:val="Heading2"/>
      </w:pPr>
      <w:r>
        <w:t>Informationsquellen beeinflussen Selbstwirksamkeit von Demenzpflegenden stärker als Wissen</w:t>
      </w:r>
    </w:p>
    <w:p>
      <w:r>
        <w:rPr>
          <w:i/>
          <w:color w:val="666666"/>
          <w:sz w:val="18"/>
        </w:rPr>
        <w:t>Goh YL et al.  ·  BMC Geriatr  ·  28.07.2026  ·  PMID 42919127</w:t>
      </w:r>
    </w:p>
    <w:p>
      <w:r>
        <w:t>Querschnittstudie mit 258 Angehörigen von Demenzkranken in Malaysia: Welche Informationsquellen und deren Kombinationen beeinflussen die Selbstwirksamkeit in der Pflegeverantwortung?</w:t>
      </w:r>
    </w:p>
    <w:p>
      <w:r>
        <w:rPr>
          <w:b/>
        </w:rPr>
        <w:t xml:space="preserve">Ergebnis: </w:t>
      </w:r>
      <w:r>
        <w:t>Nutzung mehrerer Informationsquellen erhöht Selbstwirksamkeit signifikant (erklärte Varianz 6,7% auf 12,6%, p&lt;0,05). Schriftliche Materialien und ärztliche Beratung steigerten Selbstwirksamkeit; Facebook und Selbsthilfegruppen wirkten sich negativ aus. Besonderheit: Vertrauen war kulturabhängig (Glaubenshaltung half Malayen mehr).</w:t>
      </w:r>
    </w:p>
    <w:p>
      <w:r>
        <w:rPr>
          <w:b/>
          <w:sz w:val="19"/>
        </w:rPr>
        <w:t xml:space="preserve">Übertragbarkeit: </w:t>
      </w:r>
      <w:r>
        <w:rPr>
          <w:sz w:val="19"/>
        </w:rPr>
        <w:t>Mittleres Einkommenland, aber Befund zu Qualität von Informationsquellen prinzipiell übertragbar.</w:t>
      </w:r>
    </w:p>
    <w:p>
      <w:r>
        <w:rPr>
          <w:color w:val="5A7D3A"/>
          <w:sz w:val="18"/>
        </w:rPr>
        <w:t>https://pubmed.ncbi.nlm.nih.gov/42919127/</w:t>
      </w:r>
    </w:p>
    <w:p>
      <w:pPr>
        <w:pStyle w:val="Heading2"/>
      </w:pPr>
      <w:r>
        <w:t>Mehrsprachige Schulungsmaterialien zu chronischen Erkrankungen sind verständlich und akzeptiert</w:t>
      </w:r>
    </w:p>
    <w:p>
      <w:r>
        <w:rPr>
          <w:i/>
          <w:color w:val="666666"/>
          <w:sz w:val="18"/>
        </w:rPr>
        <w:t>Lexius O et al.  ·  Rev Lat Am Enfermagem  ·  16.10.2026  ·  PMID 42912030</w:t>
      </w:r>
    </w:p>
    <w:p>
      <w:r>
        <w:t>Validierungsstudie eines Schulungsleitfadens in Kreolisch für haitianische Migranten in Brasilien: Inhalts- und semantische Validierung durch 17 Fachexperten und 30 Migranten.</w:t>
      </w:r>
    </w:p>
    <w:p>
      <w:r>
        <w:rPr>
          <w:b/>
        </w:rPr>
        <w:t xml:space="preserve">Ergebnis: </w:t>
      </w:r>
      <w:r>
        <w:t>Gesamter Konkordanzindex 0,91, SAM-Score 25,8 Punkte. Beide Validierungen bestätigen Eignung des Materials für Prävention und Selbstmanagement chronischer Erkrankungen bei Migranten. Hohe kulturelle und sprachliche Angemessenheit.</w:t>
      </w:r>
    </w:p>
    <w:p>
      <w:r>
        <w:rPr>
          <w:b/>
          <w:sz w:val="19"/>
        </w:rPr>
        <w:t xml:space="preserve">Übertragbarkeit: </w:t>
      </w:r>
      <w:r>
        <w:rPr>
          <w:sz w:val="19"/>
        </w:rPr>
        <w:t>Brasilien, aber Ansatz zur migrantengerechten Materialentwicklung mit Sprachangepassung auf Deutschland übertragbar.</w:t>
      </w:r>
    </w:p>
    <w:p>
      <w:r>
        <w:rPr>
          <w:color w:val="5A7D3A"/>
          <w:sz w:val="18"/>
        </w:rPr>
        <w:t>https://pubmed.ncbi.nlm.nih.gov/42912030/</w:t>
      </w:r>
    </w:p>
    <w:p>
      <w:pPr>
        <w:pStyle w:val="Heading2"/>
      </w:pPr>
      <w:r>
        <w:t>Gesundheitskompetenz in Erwachsenenbildung: Verständnis und Handeln korrelieren nur schwach</w:t>
      </w:r>
    </w:p>
    <w:p>
      <w:r>
        <w:rPr>
          <w:i/>
          <w:color w:val="666666"/>
          <w:sz w:val="18"/>
        </w:rPr>
        <w:t>Bazileva A et al.  ·  Front Public Health  ·  07.10.2026  ·  PMID 42908939</w:t>
      </w:r>
    </w:p>
    <w:p>
      <w:r>
        <w:t>Mixed-Methods-Studie in Lettland: 320 Erwachsene wurden online zu Gesundheitskompetenz befragt, 6 Experten interviewt – Welche Faktoren fördern Verständnis und praktische Anwendung von Gesundheitsinformation?</w:t>
      </w:r>
    </w:p>
    <w:p>
      <w:r>
        <w:rPr>
          <w:b/>
        </w:rPr>
        <w:t xml:space="preserve">Ergebnis: </w:t>
      </w:r>
      <w:r>
        <w:t>Moderate positive Korrelation zwischen Verständnis und Anwendung (τ=0,383, p&lt;0,001), zwischen Zugang und Verständnis (τ=0,428, p&lt;0,001). Familienstand signifikant für kritische Informationsbewertung (H(3)=10,45, p=0,015). Barrieren: Fragmentierung der Bildung, fehlende Motivation, Desinformation. Ein konzeptueller Rahmen für mehrstufige Interventionen wurde entwickelt.</w:t>
      </w:r>
    </w:p>
    <w:p>
      <w:r>
        <w:rPr>
          <w:b/>
          <w:sz w:val="19"/>
        </w:rPr>
        <w:t xml:space="preserve">Übertragbarkeit: </w:t>
      </w:r>
      <w:r>
        <w:rPr>
          <w:sz w:val="19"/>
        </w:rPr>
        <w:t>Lettland (EU), vergleichbare Gesundheitssystemaufgaben, Befunde zur Lücke zwischen Verständnis und Handeln relevant für Deutschland.</w:t>
      </w:r>
    </w:p>
    <w:p>
      <w:r>
        <w:rPr>
          <w:color w:val="5A7D3A"/>
          <w:sz w:val="18"/>
        </w:rPr>
        <w:t>https://pubmed.ncbi.nlm.nih.gov/42908939/</w:t>
      </w:r>
    </w:p>
    <w:p>
      <w:pPr>
        <w:pStyle w:val="Heading2"/>
      </w:pPr>
      <w:r>
        <w:t>Radiographen kommunizieren Strahlenrisiken oft unklar – Schulung und Materialien helfen</w:t>
      </w:r>
    </w:p>
    <w:p>
      <w:r>
        <w:rPr>
          <w:i/>
          <w:color w:val="666666"/>
          <w:sz w:val="18"/>
        </w:rPr>
        <w:t>Angaag NA et al.  ·  Radiography (Lond)  ·  10.10.2026  ·  PMID 42858546</w:t>
      </w:r>
    </w:p>
    <w:p>
      <w:r>
        <w:t>Scoping Review der Kommunikationspraktiken von Radiographen beim Aufklären über Strahlenrisiken in der Bildgebung: Welche Strategien funktionieren, welche Barrieren bestehen?</w:t>
      </w:r>
    </w:p>
    <w:p>
      <w:r>
        <w:rPr>
          <w:b/>
        </w:rPr>
        <w:t xml:space="preserve">Ergebnis: </w:t>
      </w:r>
      <w:r>
        <w:t>Radiographen nutzten überwiegend verbale, aktive oder passive Kommunikation. Hauptbarrieren: Angst vor Patientenangst, niedriges Wissen und Selbstvertrauen, unklare Rollenverteilung, fehlende Ressourcen. Empfohlen: standardisierte Protokolle, Radiographen-Fortbildung, interaktive Strategien und Patientenmaterialien.</w:t>
      </w:r>
    </w:p>
    <w:p>
      <w:r>
        <w:rPr>
          <w:b/>
          <w:sz w:val="19"/>
        </w:rPr>
        <w:t xml:space="preserve">Übertragbarkeit: </w:t>
      </w:r>
      <w:r>
        <w:rPr>
          <w:sz w:val="19"/>
        </w:rPr>
        <w:t>Überwiegend Studien aus Großbritannien und Australien; Befunde zu Kommunikationsbarrieren in der Medizin international relevant.</w:t>
      </w:r>
    </w:p>
    <w:p>
      <w:r>
        <w:rPr>
          <w:color w:val="5A7D3A"/>
          <w:sz w:val="18"/>
        </w:rPr>
        <w:t>https://pubmed.ncbi.nlm.nih.gov/42858546/</w:t>
      </w:r>
    </w:p>
    <w:p>
      <w:pPr>
        <w:pStyle w:val="Heading1"/>
      </w:pPr>
      <w:r>
        <w:t>Aufgenommen am 23.10.2026</w:t>
      </w:r>
    </w:p>
    <w:p>
      <w:pPr>
        <w:pStyle w:val="Heading2"/>
      </w:pPr>
      <w:r>
        <w:t>Shared Decision Making in der Gastroenterologie: Barrieren und Erfolgsfaktoren</w:t>
      </w:r>
    </w:p>
    <w:p>
      <w:r>
        <w:rPr>
          <w:i/>
          <w:color w:val="666666"/>
          <w:sz w:val="18"/>
        </w:rPr>
        <w:t>Schoefs E et al.  ·  BMC Health Serv Res  ·  05.10.2026  ·  PMID 42907825</w:t>
      </w:r>
    </w:p>
    <w:p>
      <w:r>
        <w:t>Qualitative Studie mit 15 IBD-Patienten, 11 Gastroenterologen und 12 Krankenpflegerinnen in Belgien zum Implementierungsstand von SDM bei chronisch-entzündlichen Darmerkrankungen.</w:t>
      </w:r>
    </w:p>
    <w:p>
      <w:r>
        <w:rPr>
          <w:b/>
        </w:rPr>
        <w:t xml:space="preserve">Ergebnis: </w:t>
      </w:r>
      <w:r>
        <w:t>Gastroenterologen berichten routinemäßige SDM-Umsetzung, Patienten jedoch erleben Inkonsistenzen bei emotionaler Unterstützung und Preferenzerkundung. IBD-Pflegekräfte werden als essenzielle Partner wahrgenommen. Hauptbarrieren: niedrige Health Literacy, mangelnde Kommunikation, Zeitmangel. Facilitators: klinischer Nutzen, verstärkte SDM-Schulung, Organisationswandel.</w:t>
      </w:r>
    </w:p>
    <w:p>
      <w:r>
        <w:rPr>
          <w:b/>
          <w:sz w:val="19"/>
        </w:rPr>
        <w:t xml:space="preserve">Übertragbarkeit: </w:t>
      </w:r>
      <w:r>
        <w:rPr>
          <w:sz w:val="19"/>
        </w:rPr>
        <w:t>Belgien, vergleichbarer europäischer Versicherungskontext, ähnliche Organisationsstrukturen</w:t>
      </w:r>
    </w:p>
    <w:p>
      <w:r>
        <w:rPr>
          <w:color w:val="5A7D3A"/>
          <w:sz w:val="18"/>
        </w:rPr>
        <w:t>https://pubmed.ncbi.nlm.nih.gov/42907825/</w:t>
      </w:r>
    </w:p>
    <w:p>
      <w:pPr>
        <w:pStyle w:val="Heading2"/>
      </w:pPr>
      <w:r>
        <w:t>Verständlichkeit von Elternschulung senkt mütterlichen Stress nach Frühgeburten</w:t>
      </w:r>
    </w:p>
    <w:p>
      <w:r>
        <w:rPr>
          <w:i/>
          <w:color w:val="666666"/>
          <w:sz w:val="18"/>
        </w:rPr>
        <w:t>Rahkar Farshi M et al.  ·  BMC Pregnancy Childbirth  ·  27.07.2026  ·  PMID 42907796</w:t>
      </w:r>
    </w:p>
    <w:p>
      <w:r>
        <w:t>Quasi-experimentelle Studie mit 90 Müttern von Frühgeborenen (Booklet n=30, Face-to-Face n=30, Routine n=30) verglich APIB-basierte Schulung zur Säuglingsverhaltensinterpretation auf Stress und Bindung.</w:t>
      </w:r>
    </w:p>
    <w:p>
      <w:r>
        <w:rPr>
          <w:b/>
        </w:rPr>
        <w:t xml:space="preserve">Ergebnis: </w:t>
      </w:r>
      <w:r>
        <w:t>Stress sank in allen Gruppen signifikant (p&lt;0,001). Nach Adjustierung zeigte Booklet-Gruppe signifikant niedrigeren Stress (MD=-6,09, p=0,004) und Face-to-Face-Gruppe (MD=-4,16, p=0,040) vs. Kontrolle. Attachment stieg in Interventionsgruppen, kein signifikanter Unterschied nach Adjustierung (F=0,94, p=0,394).</w:t>
      </w:r>
    </w:p>
    <w:p>
      <w:r>
        <w:rPr>
          <w:b/>
          <w:sz w:val="19"/>
        </w:rPr>
        <w:t xml:space="preserve">Übertragbarkeit: </w:t>
      </w:r>
      <w:r>
        <w:rPr>
          <w:sz w:val="19"/>
        </w:rPr>
        <w:t>Iran, aber Interventionsformat (APIB-Schulung) sprachunabhängig übertragbar auf NICU-Strukturen</w:t>
      </w:r>
    </w:p>
    <w:p>
      <w:r>
        <w:rPr>
          <w:color w:val="5A7D3A"/>
          <w:sz w:val="18"/>
        </w:rPr>
        <w:t>https://pubmed.ncbi.nlm.nih.gov/42907796/</w:t>
      </w:r>
    </w:p>
    <w:p>
      <w:pPr>
        <w:pStyle w:val="Heading2"/>
      </w:pPr>
      <w:r>
        <w:t>Verständliches Video-Training erhöht Wissen über Präeklampsie bei Schwangeren</w:t>
      </w:r>
    </w:p>
    <w:p>
      <w:r>
        <w:rPr>
          <w:i/>
          <w:color w:val="666666"/>
          <w:sz w:val="18"/>
        </w:rPr>
        <w:t>Alrehaili S et al.  ·  BMC Pregnancy Childbirth  ·  27.07.2026  ·  PMID 42907785</w:t>
      </w:r>
    </w:p>
    <w:p>
      <w:r>
        <w:t>Quasi-experimentelle Studie mit 100 schwangeren Frauen untersuchte, ob ein Educational Video das Verständnis über Präeklampsie-Symptome und -risiken steigert, gemessen mit 39-Item-Fragebogen.</w:t>
      </w:r>
    </w:p>
    <w:p>
      <w:r>
        <w:rPr>
          <w:b/>
        </w:rPr>
        <w:t xml:space="preserve">Ergebnis: </w:t>
      </w:r>
      <w:r>
        <w:t>Wissensscore prä-Intervention: 17,40±8,98, post-Intervention: 33,00±4,35, nach 2 Wochen: 31,89±4,73 (p&lt;0,001). Verdoppelung des Wissenspunkts durch Video, mit partieller Retention nach 2 Wochen.</w:t>
      </w:r>
    </w:p>
    <w:p>
      <w:r>
        <w:rPr>
          <w:b/>
          <w:sz w:val="19"/>
        </w:rPr>
        <w:t xml:space="preserve">Übertragbarkeit: </w:t>
      </w:r>
      <w:r>
        <w:rPr>
          <w:sz w:val="19"/>
        </w:rPr>
        <w:t>Saudi-Arabien, Video-Format kultur- und sprachabhängig, aber Prinzip verständlicher Prävention übertragbar</w:t>
      </w:r>
    </w:p>
    <w:p>
      <w:r>
        <w:rPr>
          <w:color w:val="5A7D3A"/>
          <w:sz w:val="18"/>
        </w:rPr>
        <w:t>https://pubmed.ncbi.nlm.nih.gov/42907785/</w:t>
      </w:r>
    </w:p>
    <w:p>
      <w:pPr>
        <w:pStyle w:val="Heading2"/>
      </w:pPr>
      <w:r>
        <w:t>Telefonische Schulung verbessert Anpassung nach Kolostomie und senkt Komplikationen</w:t>
      </w:r>
    </w:p>
    <w:p>
      <w:r>
        <w:rPr>
          <w:i/>
          <w:color w:val="666666"/>
          <w:sz w:val="18"/>
        </w:rPr>
        <w:t>Yurtseven Ş et al.  ·  Support Care Cancer  ·  22.10.2026  ·  PMID 42907685</w:t>
      </w:r>
    </w:p>
    <w:p>
      <w:r>
        <w:t>RCT mit Kolostomie-Patienten (Telefon-Schulung n=, Routine-Pflege n=) über 3 Monate zur Wirkung von strukturierter Pflege-Beratung auf Stoma-Anpassung und Komplikationsschweregrad.</w:t>
      </w:r>
    </w:p>
    <w:p>
      <w:r>
        <w:rPr>
          <w:b/>
        </w:rPr>
        <w:t xml:space="preserve">Ergebnis: </w:t>
      </w:r>
      <w:r>
        <w:t>Telefon-Gruppe zeigte nach 3 Monaten signifikant höhere Akzeptanz- und Gesamt-Anpassungswerte und signifikant niedrigere Komplikationsschweregrad-Werte vs. Kontrolle. Kein signifikanter Unterschied in Angstpreokupation, sozialer Engagement oder Wut.</w:t>
      </w:r>
    </w:p>
    <w:p>
      <w:r>
        <w:rPr>
          <w:b/>
          <w:sz w:val="19"/>
        </w:rPr>
        <w:t xml:space="preserve">Übertragbarkeit: </w:t>
      </w:r>
      <w:r>
        <w:rPr>
          <w:sz w:val="19"/>
        </w:rPr>
        <w:t>Türkei, Telemedizin-Format systemunabhängig, aber Kontinuität post-stationärer Versorgung zentral</w:t>
      </w:r>
    </w:p>
    <w:p>
      <w:r>
        <w:rPr>
          <w:color w:val="5A7D3A"/>
          <w:sz w:val="18"/>
        </w:rPr>
        <w:t>https://pubmed.ncbi.nlm.nih.gov/42907685/</w:t>
      </w:r>
    </w:p>
    <w:p>
      <w:pPr>
        <w:pStyle w:val="Heading2"/>
      </w:pPr>
      <w:r>
        <w:t>Multikomponenten-Interventionen erhöhen Teilnahme an Lungenkrebs-Screening deutlich</w:t>
      </w:r>
    </w:p>
    <w:p>
      <w:r>
        <w:rPr>
          <w:i/>
          <w:color w:val="666666"/>
          <w:sz w:val="18"/>
        </w:rPr>
        <w:t>Djuric O et al.  ·  Eur Respir Rev  ·  21.10.2026  ·  PMID 42906938</w:t>
      </w:r>
    </w:p>
    <w:p>
      <w:r>
        <w:t>Systematische Übersicht mit Metaanalyse von 14 abgeschlossenen Studien (2000–März 2023) zum Effekt von Aufklärung, SDM und Navigation auf LDCT-Screening-Uptake.</w:t>
      </w:r>
    </w:p>
    <w:p>
      <w:r>
        <w:rPr>
          <w:b/>
        </w:rPr>
        <w:t xml:space="preserve">Ergebnis: </w:t>
      </w:r>
      <w:r>
        <w:t>SDM+Navigation: OR 4,34 (95%-CI 2,50–7,54). Outreach+Navigation: OR 2,20 (95%-CI 1,70–2,84). Reine Aufklärung/Information: OR 1,03 (95%-CI 0,89–1,19, nicht signifikant). Multikomponenten-Interventionen: OR 2,64 (95%-CI 1,79–3,90) vs. Monokomponenten: OR 1,00 (95%-CI 0,87–1,14).</w:t>
      </w:r>
    </w:p>
    <w:p>
      <w:r>
        <w:rPr>
          <w:b/>
          <w:sz w:val="19"/>
        </w:rPr>
        <w:t xml:space="preserve">Übertragbarkeit: </w:t>
      </w:r>
      <w:r>
        <w:rPr>
          <w:sz w:val="19"/>
        </w:rPr>
        <w:t>Italien koordinierte Studie, europäische Versorgungskontexte, Screening-Systeme ähnlich Deutschland</w:t>
      </w:r>
    </w:p>
    <w:p>
      <w:r>
        <w:rPr>
          <w:color w:val="5A7D3A"/>
          <w:sz w:val="18"/>
        </w:rPr>
        <w:t>https://pubmed.ncbi.nlm.nih.gov/42906938/</w:t>
      </w:r>
    </w:p>
    <w:p>
      <w:pPr>
        <w:pStyle w:val="Heading2"/>
      </w:pPr>
      <w:r>
        <w:t>Gesundheitskompetenz und Stress beeinflussen Lebensqualität unterschiedlich je nach Krankheitslast</w:t>
      </w:r>
    </w:p>
    <w:p>
      <w:r>
        <w:rPr>
          <w:i/>
          <w:color w:val="666666"/>
          <w:sz w:val="18"/>
        </w:rPr>
        <w:t>Zhou J et al.  ·  Health Promot Int  ·  01.09.2026  ·  PMID 42904456</w:t>
      </w:r>
    </w:p>
    <w:p>
      <w:r>
        <w:t>Querschnittsstudie mit 3.716 finnischen Erwachsenen untersuchte pfadanalytisch, wie Health Literacy über wahrgenommenen Stress die gesundheitsbezogene Lebensqualität beeinflusst, stratifiziert nach Krankheitsbürde.</w:t>
      </w:r>
    </w:p>
    <w:p>
      <w:r>
        <w:rPr>
          <w:b/>
        </w:rPr>
        <w:t xml:space="preserve">Ergebnis: </w:t>
      </w:r>
      <w:r>
        <w:t>Höhere Health Literacy assoziiert mit niedrigerem wahrgenommenen Stress. Stress erklärt ca. 80 % der Gesamtassoziation zwischen Literacy und Lebensqualität (Pfadkoeffizient). Der Stress-Lebensqualität-Effekt war etwa doppelt so stark bei Personen mit mehreren chronischen Erkrankungen (hochsignifikant, p&lt;0,001) als ohne.</w:t>
      </w:r>
    </w:p>
    <w:p>
      <w:r>
        <w:rPr>
          <w:b/>
          <w:sz w:val="19"/>
        </w:rPr>
        <w:t xml:space="preserve">Übertragbarkeit: </w:t>
      </w:r>
      <w:r>
        <w:rPr>
          <w:sz w:val="19"/>
        </w:rPr>
        <w:t>Finnland, Sozialsicherungssystem vergleichbar mit Deutschland, bevölkerungsbasierte Kohortendaten</w:t>
      </w:r>
    </w:p>
    <w:p>
      <w:r>
        <w:rPr>
          <w:color w:val="5A7D3A"/>
          <w:sz w:val="18"/>
        </w:rPr>
        <w:t>https://pubmed.ncbi.nlm.nih.gov/42904456/</w:t>
      </w:r>
    </w:p>
    <w:p>
      <w:pPr>
        <w:pStyle w:val="Heading1"/>
      </w:pPr>
      <w:r>
        <w:t>Aufgenommen am 22.10.2026</w:t>
      </w:r>
    </w:p>
    <w:p>
      <w:pPr>
        <w:pStyle w:val="Heading2"/>
      </w:pPr>
      <w:r>
        <w:t>Psychische Gesundheitskompetenz bei Studierenden: Wissens- und Wissenslücken</w:t>
      </w:r>
    </w:p>
    <w:p>
      <w:r>
        <w:rPr>
          <w:i/>
          <w:color w:val="666666"/>
          <w:sz w:val="18"/>
        </w:rPr>
        <w:t>Muzungu G et al.  ·  BMC Public Health  ·  25.07.2026  ·  PMID 42902196</w:t>
      </w:r>
    </w:p>
    <w:p>
      <w:r>
        <w:t>Querschnittsstudie an 365 nicht-medizinischen Studierenden an der Universität Makerere, Uganda, zur psychischen Gesundheitskompetenz mit standardisiertem Fragebogen.</w:t>
      </w:r>
    </w:p>
    <w:p>
      <w:r>
        <w:rPr>
          <w:b/>
        </w:rPr>
        <w:t xml:space="preserve">Ergebnis: </w:t>
      </w:r>
      <w:r>
        <w:t>77,3% hatten moderate Kenntnisse zur psychischen Gesundheit, aber nur 12,3% hohe Gesundheitskompetenz; 37,8% positive Wahrnehmungen, 13,7% positive Einstellungen gegenüber Menschen mit psychischen Störungen. Assoziation mit weiblichem Geschlecht (aOR 0,422; p=0,014) und Vorgeschichte psychischer Störungen (aOR 2,485; p=0,012).</w:t>
      </w:r>
    </w:p>
    <w:p>
      <w:r>
        <w:rPr>
          <w:b/>
          <w:sz w:val="19"/>
        </w:rPr>
        <w:t xml:space="preserve">Übertragbarkeit: </w:t>
      </w:r>
      <w:r>
        <w:rPr>
          <w:sz w:val="19"/>
        </w:rPr>
        <w:t>Uganda-Setting; Befund zeigt Implementierungslücke bei Curriculumintegration, nicht auf deutsches System übertragbar</w:t>
      </w:r>
    </w:p>
    <w:p>
      <w:r>
        <w:rPr>
          <w:color w:val="5A7D3A"/>
          <w:sz w:val="18"/>
        </w:rPr>
        <w:t>https://pubmed.ncbi.nlm.nih.gov/42902196/</w:t>
      </w:r>
    </w:p>
    <w:p>
      <w:pPr>
        <w:pStyle w:val="Heading2"/>
      </w:pPr>
      <w:r>
        <w:t>Nurses als Gesundheitskompetenz-Lotsen in der KI-gestützten Triage</w:t>
      </w:r>
    </w:p>
    <w:p>
      <w:r>
        <w:rPr>
          <w:i/>
          <w:color w:val="666666"/>
          <w:sz w:val="18"/>
        </w:rPr>
        <w:t>Luo W et al.  ·  Front Public Health  ·  30.09.2026  ·  PMID 42876618</w:t>
      </w:r>
    </w:p>
    <w:p>
      <w:r>
        <w:t>Perspektivarbeit, die die Rolle von Pflegekräften in digitalen Triage-Systemen analysiert und ein Modell zur Vermittlung zwischen Algorithmen und Patientenverständnis entwickelt.</w:t>
      </w:r>
    </w:p>
    <w:p>
      <w:r>
        <w:rPr>
          <w:b/>
        </w:rPr>
        <w:t xml:space="preserve">Ergebnis: </w:t>
      </w:r>
      <w:r>
        <w:t>Vier Funktionen wurden identifiziert: Interpretation (Verständlichkeit von KI-Output), emotionale Kalibrierung, klinische Verifikation von Empfehlungen und Begleitung durch komplexe Versorgungspfade. Das Modell betont, dass Pflegekräfte nicht Validatoren von Maschinenoutput sein sollten, sondern Vermittler, die Sicherheit und Gesundheitsgleichheit wahren.</w:t>
      </w:r>
    </w:p>
    <w:p>
      <w:r>
        <w:rPr>
          <w:b/>
          <w:sz w:val="19"/>
        </w:rPr>
        <w:t xml:space="preserve">Übertragbarkeit: </w:t>
      </w:r>
      <w:r>
        <w:rPr>
          <w:sz w:val="19"/>
        </w:rPr>
        <w:t>China-Szenario, prinzipiell systemübergreifend relevant; Pflegerolle in Triagenetzwerken vergleichbar</w:t>
      </w:r>
    </w:p>
    <w:p>
      <w:r>
        <w:rPr>
          <w:color w:val="5A7D3A"/>
          <w:sz w:val="18"/>
        </w:rPr>
        <w:t>https://pubmed.ncbi.nlm.nih.gov/42876618/</w:t>
      </w:r>
    </w:p>
    <w:p>
      <w:pPr>
        <w:pStyle w:val="Heading2"/>
      </w:pPr>
      <w:r>
        <w:t>Psychoedukation in der psychiatrischen Pflege: Wachstum und Forschungslücken</w:t>
      </w:r>
    </w:p>
    <w:p>
      <w:r>
        <w:rPr>
          <w:i/>
          <w:color w:val="666666"/>
          <w:sz w:val="18"/>
        </w:rPr>
        <w:t>Durar E et al.  ·  Arch Psychiatr Nurs  ·  27.07.2026  ·  PMID 42863935</w:t>
      </w:r>
    </w:p>
    <w:p>
      <w:r>
        <w:t>Bibliometrische Analyse von 225 Publikationen (1998–2025) zur Psychoedukation in der psychiatrischen Pflege weltweit.</w:t>
      </w:r>
    </w:p>
    <w:p>
      <w:r>
        <w:rPr>
          <w:b/>
        </w:rPr>
        <w:t xml:space="preserve">Ergebnis: </w:t>
      </w:r>
      <w:r>
        <w:t>Jährliche Wachstumsrate 11%; 743 Autoren, durchschnittlich 12,8 Zitate pro Publikation. USA führt mit 22,2% der Publikationen, gefolgt von Türkei. Hauptfindung: Psychoedukation ist etabliert für Schizophrenie, Depression und bipolare Störung, aber Lücken bestehen bei Angehörigenschulung, Selbstmanagement und Programmen für Kinder/Jugendliche.</w:t>
      </w:r>
    </w:p>
    <w:p>
      <w:r>
        <w:rPr>
          <w:b/>
          <w:sz w:val="19"/>
        </w:rPr>
        <w:t xml:space="preserve">Übertragbarkeit: </w:t>
      </w:r>
      <w:r>
        <w:rPr>
          <w:sz w:val="19"/>
        </w:rPr>
        <w:t>Internationale Analyse; empirische Programme liegen vor, aber systematische Evaluierung im deutschsprachigen Raum fehlt</w:t>
      </w:r>
    </w:p>
    <w:p>
      <w:r>
        <w:rPr>
          <w:color w:val="5A7D3A"/>
          <w:sz w:val="18"/>
        </w:rPr>
        <w:t>https://pubmed.ncbi.nlm.nih.gov/42863935/</w:t>
      </w:r>
    </w:p>
    <w:p>
      <w:pPr>
        <w:pStyle w:val="Heading2"/>
      </w:pPr>
      <w:r>
        <w:t>Menstruelle Gesundheitskompetenz: Definitionen und Forschungsbedarf</w:t>
      </w:r>
    </w:p>
    <w:p>
      <w:r>
        <w:rPr>
          <w:i/>
          <w:color w:val="666666"/>
          <w:sz w:val="18"/>
        </w:rPr>
        <w:t>Chéileachair FN et al.  ·  Womens Health (Lond)  ·  07.10.2026  ·  PMID 42842352</w:t>
      </w:r>
    </w:p>
    <w:p>
      <w:r>
        <w:t>Kommentarbeitrag, der Inkonsistenzen in Definitionen und Messung von menstrueller Gesundheitskompetenz analysiert und einen konzeptionellen Rahmen entwickelt.</w:t>
      </w:r>
    </w:p>
    <w:p>
      <w:r>
        <w:rPr>
          <w:b/>
        </w:rPr>
        <w:t xml:space="preserve">Ergebnis: </w:t>
      </w:r>
      <w:r>
        <w:t>Zentrale Befunde: Keine Konsensdefinition für menstruelle Gesundheitskompetenz existiert, obwohl viele Studien Verbesserungen fordern; Lücken bestehen von Menarche bis Menopause; breite Stigmatisierung erschwert Kompetenzentwicklung. Empfehlung: Universelle Definition erforderlich, die strukturelle, individuelle und stigma-bezogene Dimensionen verbindet, um Forschung und Praxis zu leiten.</w:t>
      </w:r>
    </w:p>
    <w:p>
      <w:r>
        <w:rPr>
          <w:b/>
          <w:sz w:val="19"/>
        </w:rPr>
        <w:t xml:space="preserve">Übertragbarkeit: </w:t>
      </w:r>
      <w:r>
        <w:rPr>
          <w:sz w:val="19"/>
        </w:rPr>
        <w:t>Großbritannien-basiert; Konzept und Definitonslücke international relevant, kulturabhängig bei Stigma-Ebene</w:t>
      </w:r>
    </w:p>
    <w:p>
      <w:r>
        <w:rPr>
          <w:color w:val="5A7D3A"/>
          <w:sz w:val="18"/>
        </w:rPr>
        <w:t>https://pubmed.ncbi.nlm.nih.gov/42842352/</w:t>
      </w:r>
    </w:p>
    <w:p>
      <w:pPr>
        <w:pStyle w:val="Heading2"/>
      </w:pPr>
      <w:r>
        <w:t>Digitale Gesundheitskompetenz reduziert psychische Belastung durch besseren Schlaf</w:t>
      </w:r>
    </w:p>
    <w:p>
      <w:r>
        <w:rPr>
          <w:i/>
          <w:color w:val="666666"/>
          <w:sz w:val="18"/>
        </w:rPr>
        <w:t>Wang Z et al.  ·  Front Public Health  ·  21.09.2026  ·  PMID 42835181</w:t>
      </w:r>
    </w:p>
    <w:p>
      <w:r>
        <w:t>Quasiexperimentelle Studie an 407 Studierenden mit Mediationsmodell: digitale Gesundheitskompetenz → Internetabhängigkeit → Schlafqualität → psychische Gesundheit.</w:t>
      </w:r>
    </w:p>
    <w:p>
      <w:r>
        <w:rPr>
          <w:b/>
        </w:rPr>
        <w:t xml:space="preserve">Ergebnis: </w:t>
      </w:r>
      <w:r>
        <w:t>Positive Beziehung zwischen digitaler Gesundheitskompetenz und psychischer Gesundheit nachgewiesen. Indirekter Gesamteffekt über die Kette 0,6304; Internetabhängigkeit und Schlafqualität waren signifikante Mediatoren. Intervention durch Verbesserung digitaler Kompetenz könnte Schlafqualität und psychische Gesundheit verbessern.</w:t>
      </w:r>
    </w:p>
    <w:p>
      <w:r>
        <w:rPr>
          <w:b/>
          <w:sz w:val="19"/>
        </w:rPr>
        <w:t xml:space="preserve">Übertragbarkeit: </w:t>
      </w:r>
      <w:r>
        <w:rPr>
          <w:sz w:val="19"/>
        </w:rPr>
        <w:t>China-Setting, aber Mechanismus (Mediatorenmodell) systemunabhängig; digitale Kompetenz als Interventionsziel relevant</w:t>
      </w:r>
    </w:p>
    <w:p>
      <w:r>
        <w:rPr>
          <w:color w:val="5A7D3A"/>
          <w:sz w:val="18"/>
        </w:rPr>
        <w:t>https://pubmed.ncbi.nlm.nih.gov/42835181/</w:t>
      </w:r>
    </w:p>
    <w:p>
      <w:pPr>
        <w:pStyle w:val="Heading2"/>
      </w:pPr>
      <w:r>
        <w:t>Digitale Gesundheitskompetenz gegen Desinformation: Curriculare Agenda für Universitäten</w:t>
      </w:r>
    </w:p>
    <w:p>
      <w:r>
        <w:rPr>
          <w:i/>
          <w:color w:val="666666"/>
          <w:sz w:val="18"/>
        </w:rPr>
        <w:t>Hassan AM  ·  Front Public Health  ·  18.09.2026  ·  PMID 42827804</w:t>
      </w:r>
    </w:p>
    <w:p>
      <w:r>
        <w:t>Perspektivarbeit zur Verankerung digitaler Gesundheitskompetenz im höheren Bildungswesen Somalias als institutionelle Verantwortung und individuelle Kompetenz gegen Desinformation und KI-Risiken.</w:t>
      </w:r>
    </w:p>
    <w:p>
      <w:r>
        <w:rPr>
          <w:b/>
        </w:rPr>
        <w:t xml:space="preserve">Ergebnis: </w:t>
      </w:r>
      <w:r>
        <w:t>Implementierungsagenda mit fünf Säulen: kritische Informationsappraisal, Resilienz gegen Desinformation, verantwortungsvoller KI-Einsatz, Datenschutz, sichere Eskalation; unterstützt durch Curriculumintegration, institutionelle Informationspfade, lokal relevante Evaluierung und Kapazitätsaufbau bei Lehrenden. Empfehlung: Jenseits von Selbstbericht-Umfragen zu leistungsgestützten Aufgaben und Interventionsevaluierung übergehen.</w:t>
      </w:r>
    </w:p>
    <w:p>
      <w:r>
        <w:rPr>
          <w:b/>
          <w:sz w:val="19"/>
        </w:rPr>
        <w:t xml:space="preserve">Übertragbarkeit: </w:t>
      </w:r>
      <w:r>
        <w:rPr>
          <w:sz w:val="19"/>
        </w:rPr>
        <w:t>Somalia-Kontext schwach übertragbar; aber Rahmen für Curriculum und digitale Äquität prinzipiell relevant</w:t>
      </w:r>
    </w:p>
    <w:p>
      <w:r>
        <w:rPr>
          <w:color w:val="5A7D3A"/>
          <w:sz w:val="18"/>
        </w:rPr>
        <w:t>https://pubmed.ncbi.nlm.nih.gov/42827804/</w:t>
      </w:r>
    </w:p>
    <w:p>
      <w:pPr>
        <w:pStyle w:val="Heading2"/>
      </w:pPr>
      <w:r>
        <w:t>Verständlichkeit von KI-generierten Patienteninformationen: ChatGPT vs. DeepSeek</w:t>
      </w:r>
    </w:p>
    <w:p>
      <w:r>
        <w:rPr>
          <w:i/>
          <w:color w:val="666666"/>
          <w:sz w:val="18"/>
        </w:rPr>
        <w:t>Zhang R et al.  ·  Oral Surg Oral Med Oral Pathol Oral Radiol  ·  07.07.2026  ·  PMID 42823233</w:t>
      </w:r>
    </w:p>
    <w:p>
      <w:r>
        <w:t>Vergleichende Bewertung von Antworten zweier KI-Systeme (ChatGPT-4, DeepSeek-v3) auf 23 häufig gestellte Patientenfragen zu Lichen planus durch Expertenpanels in fünf Dimensionen.</w:t>
      </w:r>
    </w:p>
    <w:p>
      <w:r>
        <w:rPr>
          <w:b/>
        </w:rPr>
        <w:t xml:space="preserve">Ergebnis: </w:t>
      </w:r>
      <w:r>
        <w:t>DeepSeek-v3 überlegen bei Umfassendheit (4,65±0,37 vs. 4,04±0,54; p&lt;0,001), Logik (4,41±0,32 vs. 4,03±0,35; p&lt;0,001) und Fairness (4,34±0,33 vs. 4,03±0,27; p&lt;0,001); ChatGPT-4 besser bei Einfachheit (4,25±0,31 vs. 4,04±0,28; p=0,034). DeepSeek-v3 leicht überlegen bei Genauigkeit (4,49±0,38 vs. 4,22±0,34; p=0,025). Kombinieren beider Modelle könnte Patientenverständnis verbessern.</w:t>
      </w:r>
    </w:p>
    <w:p>
      <w:r>
        <w:rPr>
          <w:b/>
          <w:sz w:val="19"/>
        </w:rPr>
        <w:t xml:space="preserve">Übertragbarkeit: </w:t>
      </w:r>
      <w:r>
        <w:rPr>
          <w:sz w:val="19"/>
        </w:rPr>
        <w:t>Neuseeland-Studie, sprachunabhängiger Vergleich; Befund zu Verständlichkeit systemübergreifend relevant</w:t>
      </w:r>
    </w:p>
    <w:p>
      <w:r>
        <w:rPr>
          <w:color w:val="5A7D3A"/>
          <w:sz w:val="18"/>
        </w:rPr>
        <w:t>https://pubmed.ncbi.nlm.nih.gov/42823233/</w:t>
      </w:r>
    </w:p>
    <w:p>
      <w:pPr>
        <w:pStyle w:val="Heading1"/>
      </w:pPr>
      <w:r>
        <w:t>Aufgenommen am 21.10.2026</w:t>
      </w:r>
    </w:p>
    <w:p>
      <w:pPr>
        <w:pStyle w:val="Heading2"/>
      </w:pPr>
      <w:r>
        <w:t>Ernährungsschulung mit eiweißarmer Diät bremst Nierenerkrankung</w:t>
      </w:r>
    </w:p>
    <w:p>
      <w:r>
        <w:rPr>
          <w:i/>
          <w:color w:val="666666"/>
          <w:sz w:val="18"/>
        </w:rPr>
        <w:t>Cerón-Meza R et al.  ·  Rev Med Chil  ·  Aug. 2026  ·  PMID 42899611</w:t>
      </w:r>
    </w:p>
    <w:p>
      <w:r>
        <w:t>Narrative Übersicht von klinischen Studien (2015–2026) zur Wirkung von Ernährungsedukation und proteinarmer Diät auf Inzidenz und Progression chronischer Nierenerkrankungen in allen Stadien ohne Nierenersatztherapie.</w:t>
      </w:r>
    </w:p>
    <w:p>
      <w:r>
        <w:rPr>
          <w:b/>
        </w:rPr>
        <w:t xml:space="preserve">Ergebnis: </w:t>
      </w:r>
      <w:r>
        <w:t>Interventionen zur proteinarmen Ernährung verzögerten CKD-Progression, besonders in frühen Stadien, durch Reduktion stickstoffhaltiger Abbauprodukte. Jedes zusätzliche Gramm Protein war mit jährlichem GFR-Rückgang assoziiert. Strukturierte Ernährungsberatung mit kontinuierlicher Überwachung führte zu partieller Erhaltung der Nierenfunktion.</w:t>
      </w:r>
    </w:p>
    <w:p>
      <w:r>
        <w:rPr>
          <w:b/>
          <w:sz w:val="19"/>
        </w:rPr>
        <w:t xml:space="preserve">Übertragbarkeit: </w:t>
      </w:r>
      <w:r>
        <w:rPr>
          <w:sz w:val="19"/>
        </w:rPr>
        <w:t>Mexikanische Klinikdaten; Ernährungsberatung und Monitoring sind in deutschem Versorgungskontext etabliert</w:t>
      </w:r>
    </w:p>
    <w:p>
      <w:r>
        <w:rPr>
          <w:color w:val="5A7D3A"/>
          <w:sz w:val="18"/>
        </w:rPr>
        <w:t>https://pubmed.ncbi.nlm.nih.gov/42899611/</w:t>
      </w:r>
    </w:p>
    <w:p>
      <w:pPr>
        <w:pStyle w:val="Heading2"/>
      </w:pPr>
      <w:r>
        <w:t>Gesundheitskompetenz verbessert Lebensqualität bei Leberzirrhose unabhängig von Ernährung</w:t>
      </w:r>
    </w:p>
    <w:p>
      <w:r>
        <w:rPr>
          <w:i/>
          <w:color w:val="666666"/>
          <w:sz w:val="18"/>
        </w:rPr>
        <w:t>Liu Y et al.  ·  Front Public Health  ·  05.10.2026  ·  PMID 42898274</w:t>
      </w:r>
    </w:p>
    <w:p>
      <w:r>
        <w:t>Querschnittstudie an 202 Patienten mit dekompensierter Leberzirrhose zur Assoziation von Health Literacy, Ernährungsstatus und Lebensstilfaktoren mit gesundheitsbezogener Lebensqualität.</w:t>
      </w:r>
    </w:p>
    <w:p>
      <w:r>
        <w:rPr>
          <w:b/>
        </w:rPr>
        <w:t xml:space="preserve">Ergebnis: </w:t>
      </w:r>
      <w:r>
        <w:t>Health Literacy war unabhängig mit Lebensqualität assoziiert und erhöhte die Erklärungskraft des Modells signifikant (R²-Anstieg). Kommunikationsfähigkeit (B = −0,177, p = 0,007), körperliche Aktivität und Schlafqualität waren unabhängige Prädiktoren für die physische und psychische Dimension.</w:t>
      </w:r>
    </w:p>
    <w:p>
      <w:r>
        <w:rPr>
          <w:b/>
          <w:sz w:val="19"/>
        </w:rPr>
        <w:t xml:space="preserve">Übertragbarkeit: </w:t>
      </w:r>
      <w:r>
        <w:rPr>
          <w:sz w:val="19"/>
        </w:rPr>
        <w:t>Chinesische Klinikdaten; Beziehungen zwischen Health Literacy und Selbstmanagement sind systemübergreifend relevant</w:t>
      </w:r>
    </w:p>
    <w:p>
      <w:r>
        <w:rPr>
          <w:color w:val="5A7D3A"/>
          <w:sz w:val="18"/>
        </w:rPr>
        <w:t>https://pubmed.ncbi.nlm.nih.gov/42898274/</w:t>
      </w:r>
    </w:p>
    <w:p>
      <w:pPr>
        <w:pStyle w:val="Heading2"/>
      </w:pPr>
      <w:r>
        <w:t>Digitale Interventionen zur Gesundheitskompetenz in der EU: Mobile Apps und Entscheidungshilfen wirksam</w:t>
      </w:r>
    </w:p>
    <w:p>
      <w:r>
        <w:rPr>
          <w:i/>
          <w:color w:val="666666"/>
          <w:sz w:val="18"/>
        </w:rPr>
        <w:t>Šakare EA et al.  ·  BMC Public Health  ·  24.07.2026  ·  PMID 42897531</w:t>
      </w:r>
    </w:p>
    <w:p>
      <w:r>
        <w:t>Systematische Übersicht von 26 europäischen Studien (2018–2024) zur Wirkung digitaler Kommunikationsmittel auf Health Literacy, Wissen, Selbstwirksamkeit und Gesundheitsstatus.</w:t>
      </w:r>
    </w:p>
    <w:p>
      <w:r>
        <w:rPr>
          <w:b/>
        </w:rPr>
        <w:t xml:space="preserve">Ergebnis: </w:t>
      </w:r>
      <w:r>
        <w:t>Mobile Apps verbesserten Gesundheitsstatus mit andauernden Effekten; Entscheidungshilfen zeigten Potenzial zur Wissensverbesserung. Digitale Lerntools und Multimedia-Interventionen waren weitgehend unwirksam. Multi-Komponenten-Interventionen waren nicht wirksamer als Einzel-Interventionen. Personen mit niedrigerem sozioökonomischem Status profitierten gleichermaßen.</w:t>
      </w:r>
    </w:p>
    <w:p>
      <w:r>
        <w:rPr>
          <w:b/>
          <w:sz w:val="19"/>
        </w:rPr>
        <w:t xml:space="preserve">Übertragbarkeit: </w:t>
      </w:r>
      <w:r>
        <w:rPr>
          <w:sz w:val="19"/>
        </w:rPr>
        <w:t>EU-Daten, direkt auf deutsches Versicherungssystem übertragbar</w:t>
      </w:r>
    </w:p>
    <w:p>
      <w:r>
        <w:rPr>
          <w:color w:val="5A7D3A"/>
          <w:sz w:val="18"/>
        </w:rPr>
        <w:t>https://pubmed.ncbi.nlm.nih.gov/42897531/</w:t>
      </w:r>
    </w:p>
    <w:p>
      <w:pPr>
        <w:pStyle w:val="Heading2"/>
      </w:pPr>
      <w:r>
        <w:t>KI-gestützte Patientenschulung vor Magen-Darm-Operationen senkt Angst und verbessert eHealth-Literacy</w:t>
      </w:r>
    </w:p>
    <w:p>
      <w:r>
        <w:rPr>
          <w:i/>
          <w:color w:val="666666"/>
          <w:sz w:val="18"/>
        </w:rPr>
        <w:t>Liu L et al.  ·  Front Public Health  ·  30.09.2026  ·  PMID 42876704</w:t>
      </w:r>
    </w:p>
    <w:p>
      <w:r>
        <w:t>Protokoll einer randomisierten kontrollierten Studie mit 120 Patienten zur WeChat-basierten, von Expertenwissen kontrollierten KI-Schulungsintervention (3 Monate) gegen Standardberatung vor gastroenterologischen Eingriffen.</w:t>
      </w:r>
    </w:p>
    <w:p>
      <w:r>
        <w:rPr>
          <w:b/>
        </w:rPr>
        <w:t xml:space="preserve">Ergebnis: </w:t>
      </w:r>
      <w:r>
        <w:t>Primärer Endpunkt: Angst (Hospital Anxiety and Depression Scale-Angst). Sekundäre Endpunkte: Depression, wahrgenommene soziale Unterstützung, Selbstwirksamkeit, gesundheitsbezogene Lebensqualität und eHealth-Literacy. Outcome-Messung zu Baseline, Entlassung, 3 und 6 Monaten; Analyse nach Intention-to-treat.</w:t>
      </w:r>
    </w:p>
    <w:p>
      <w:r>
        <w:rPr>
          <w:b/>
          <w:sz w:val="19"/>
        </w:rPr>
        <w:t xml:space="preserve">Übertragbarkeit: </w:t>
      </w:r>
      <w:r>
        <w:rPr>
          <w:sz w:val="19"/>
        </w:rPr>
        <w:t>China – Patientenedukation digital; systemgebunden an WeChat-Infrastruktur; Konzept der Expertenkontrolle auf deutsche Plattformen adaptierbar</w:t>
      </w:r>
    </w:p>
    <w:p>
      <w:r>
        <w:rPr>
          <w:color w:val="5A7D3A"/>
          <w:sz w:val="18"/>
        </w:rPr>
        <w:t>https://pubmed.ncbi.nlm.nih.gov/42876704/</w:t>
      </w:r>
    </w:p>
    <w:p>
      <w:pPr>
        <w:pStyle w:val="Heading2"/>
      </w:pPr>
      <w:r>
        <w:t>Vorhersagemodell identifiziert Bevölkerungsgruppen mit niedriger Gesundheitskompetenz</w:t>
      </w:r>
    </w:p>
    <w:p>
      <w:r>
        <w:rPr>
          <w:i/>
          <w:color w:val="666666"/>
          <w:sz w:val="18"/>
        </w:rPr>
        <w:t>Zhang X et al.  ·  JMIR Med Inform  ·  13.10.2026  ·  PMID 42868277</w:t>
      </w:r>
    </w:p>
    <w:p>
      <w:r>
        <w:t>Entwicklung und externe Validierung eines Nomogramm-Modells zur Vorhersage niedriger Health Literacy in einer Bevölkerung von 56.340 Einwohnern (2023) und 2024-Validierungsdaten aus der chinesischen Provinz Zhejiang.</w:t>
      </w:r>
    </w:p>
    <w:p>
      <w:r>
        <w:rPr>
          <w:b/>
        </w:rPr>
        <w:t xml:space="preserve">Ergebnis: </w:t>
      </w:r>
      <w:r>
        <w:t>Nomogramm-Modelle zeigten robuste Stabilität: AUC 0,821 (intern) und 0,814 (extern validiert); Sensitivität und Spezifität &gt;60 % bzw. &gt;75 %. Fünf Kerndeterminanten identifiziert: Bildungsstand, Alter, Haushaltseinkommen, Rauchen und Beruf. Positiver und negativer prädiktiver Wert beide &gt;60 %.</w:t>
      </w:r>
    </w:p>
    <w:p>
      <w:r>
        <w:rPr>
          <w:b/>
          <w:sz w:val="19"/>
        </w:rPr>
        <w:t xml:space="preserve">Übertragbarkeit: </w:t>
      </w:r>
      <w:r>
        <w:rPr>
          <w:sz w:val="19"/>
        </w:rPr>
        <w:t>China – Faktor-Struktur (Bildung, Einkommen, Alter) international vergleichbar; deutsches System erfordert Validierung</w:t>
      </w:r>
    </w:p>
    <w:p>
      <w:r>
        <w:rPr>
          <w:color w:val="5A7D3A"/>
          <w:sz w:val="18"/>
        </w:rPr>
        <w:t>https://pubmed.ncbi.nlm.nih.gov/42868277/</w:t>
      </w:r>
    </w:p>
    <w:p>
      <w:pPr>
        <w:pStyle w:val="Heading2"/>
      </w:pPr>
      <w:r>
        <w:t>Therapeutische Patientenschulung stärkt Autonomie bei Borderline-Persönlichkeitsstörung</w:t>
      </w:r>
    </w:p>
    <w:p>
      <w:r>
        <w:rPr>
          <w:i/>
          <w:color w:val="666666"/>
          <w:sz w:val="18"/>
        </w:rPr>
        <w:t>Lefort-Picard M et al.  ·  Soins Psychiatr  ·  06.07.2026  ·  PMID 42476710</w:t>
      </w:r>
    </w:p>
    <w:p>
      <w:r>
        <w:t>Fünfjähriges Patientenbildungsprogramm (Programme d'Éducation Thérapeutique) am Centre Hospitalier du Rouvray für Personen mit Borderline-Persönlichkeitsstörung, basierend auf integrativer therapeutischer Herangehensweise.</w:t>
      </w:r>
    </w:p>
    <w:p>
      <w:r>
        <w:rPr>
          <w:b/>
        </w:rPr>
        <w:t xml:space="preserve">Ergebnis: </w:t>
      </w:r>
      <w:r>
        <w:t>Das Programm zielt auf Stärkung innerer Ressourcen und Autonomie zur Erleichterung der Reintegration in soziales, emotionales und berufliches Leben ab. Kernfaktoren: integrativer therapeutischer Ansatz, Fokus auf Empowerment und Selbstmanagement, langfristige Betreuung als Kontinuität.</w:t>
      </w:r>
    </w:p>
    <w:p>
      <w:r>
        <w:rPr>
          <w:b/>
          <w:sz w:val="19"/>
        </w:rPr>
        <w:t xml:space="preserve">Übertragbarkeit: </w:t>
      </w:r>
      <w:r>
        <w:rPr>
          <w:sz w:val="19"/>
        </w:rPr>
        <w:t>Frankreich – Psychische Erkrankung; ETP-Modell mit deutscher Tradition; Kernprinzipien auf deutsches System übertragbar</w:t>
      </w:r>
    </w:p>
    <w:p>
      <w:r>
        <w:rPr>
          <w:color w:val="5A7D3A"/>
          <w:sz w:val="18"/>
        </w:rPr>
        <w:t>https://pubmed.ncbi.nlm.nih.gov/42476710/</w:t>
      </w:r>
    </w:p>
    <w:p>
      <w:pPr>
        <w:pStyle w:val="Heading1"/>
      </w:pPr>
      <w:r>
        <w:t>Aufgenommen am 20.10.2026</w:t>
      </w:r>
    </w:p>
    <w:p>
      <w:pPr>
        <w:pStyle w:val="Heading2"/>
      </w:pPr>
      <w:r>
        <w:t>Risikokommunikation zu Elektromagnetfeldern: Information reduziert Angst bei vormals stark Besorgten</w:t>
      </w:r>
    </w:p>
    <w:p>
      <w:r>
        <w:rPr>
          <w:i/>
          <w:color w:val="666666"/>
          <w:sz w:val="18"/>
        </w:rPr>
        <w:t>Wen R et al.  ·  Bioelectromagnetics  ·  Okt. 2026  ·  PMID 42895297</w:t>
      </w:r>
    </w:p>
    <w:p>
      <w:r>
        <w:t>Studie zu psychologischen Faktoren bei Angst vor Radiofrequenzfeldern und Effekt von Informationen auf diese Angst; Mehrebenen-Modellierung zur Analyse von Zusammenhängen, Interventionsanalyse zur Prüfung der Wirkung von Informationsbereitstellung.</w:t>
      </w:r>
    </w:p>
    <w:p>
      <w:r>
        <w:rPr>
          <w:b/>
        </w:rPr>
        <w:t xml:space="preserve">Ergebnis: </w:t>
      </w:r>
      <w:r>
        <w:t>Subjektive Expositionswahrnehmung und Vertrauen in diese Wahrnehmung waren unabhängig mit Angst assoziiert. Höhere Sensibilisierung korrelierte mit stärkerer Angst, höheres Faktenwissen dagegen mit geringerer Angst. Informationen erhöhten Angst insgesamt, reduzierten sie jedoch bei initial hoher Besorgnis und beeinflussten Wahrnehmungen, Sensibilisierung und Wissen. Befund zeigt komplexe, nicht-lineare Wirkung von Information auf Angst.</w:t>
      </w:r>
    </w:p>
    <w:p>
      <w:r>
        <w:rPr>
          <w:b/>
          <w:sz w:val="19"/>
        </w:rPr>
        <w:t xml:space="preserve">Übertragbarkeit: </w:t>
      </w:r>
      <w:r>
        <w:rPr>
          <w:sz w:val="19"/>
        </w:rPr>
        <w:t>Japan; Befund zu komplexem Zusammenhang zwischen Wissen und Angst universell relevant</w:t>
      </w:r>
    </w:p>
    <w:p>
      <w:r>
        <w:rPr>
          <w:color w:val="5A7D3A"/>
          <w:sz w:val="18"/>
        </w:rPr>
        <w:t>https://pubmed.ncbi.nlm.nih.gov/42895297/</w:t>
      </w:r>
    </w:p>
    <w:p>
      <w:pPr>
        <w:pStyle w:val="Heading2"/>
      </w:pPr>
      <w:r>
        <w:t>Ernährungskompetenz fördert gesunde Essensgewohnheiten unabhängig von Bildungsstand</w:t>
      </w:r>
    </w:p>
    <w:p>
      <w:r>
        <w:rPr>
          <w:i/>
          <w:color w:val="666666"/>
          <w:sz w:val="18"/>
        </w:rPr>
        <w:t>Jáuregui A et al.  ·  J Hum Nutr Diet  ·  Okt. 2026  ·  PMID 42894392</w:t>
      </w:r>
    </w:p>
    <w:p>
      <w:r>
        <w:t>Studie mit 12.796 Erwachsenen aus Mexiko und USA, die den Zusammenhang zwischen funktionaler Ernährungskompetenz (gemessen an Verständnis von Nährwertkennzeichnungen) und gesundem Essverhalten untersucht.</w:t>
      </w:r>
    </w:p>
    <w:p>
      <w:r>
        <w:rPr>
          <w:b/>
        </w:rPr>
        <w:t xml:space="preserve">Ergebnis: </w:t>
      </w:r>
      <w:r>
        <w:t>Höhere Ernährungskompetenz war über alle Bevölkerungsgruppen hinweg mit verstärkten Bemühungen um gesunde Ernährung assoziiert (adjustierte Odds Ratios 1,07–2,73); Effekte waren bei mexikanischen Amerikanern und Mexikanern stärker (p&lt;0,008). Selbst mit niedrigerer Kompetenz zeigten 50–80% der Befragten Anstrengungen für bessere Ernährung, gegenüber nur 37–65% der weißen US-Amerikaner trotz höherer Kompetenz – Gesundheitskompetenz allein erklärt Verhalten nicht vollständig.</w:t>
      </w:r>
    </w:p>
    <w:p>
      <w:r>
        <w:rPr>
          <w:b/>
          <w:sz w:val="19"/>
        </w:rPr>
        <w:t xml:space="preserve">Übertragbarkeit: </w:t>
      </w:r>
      <w:r>
        <w:rPr>
          <w:sz w:val="19"/>
        </w:rPr>
        <w:t>Querschnittsstudie; Effekt der Nährwertkennzeichnung systemabhängig, aber Befund zu Kompetenz-Verhalten-Lücke universell übertragbar</w:t>
      </w:r>
    </w:p>
    <w:p>
      <w:r>
        <w:rPr>
          <w:color w:val="5A7D3A"/>
          <w:sz w:val="18"/>
        </w:rPr>
        <w:t>https://pubmed.ncbi.nlm.nih.gov/42894392/</w:t>
      </w:r>
    </w:p>
    <w:p>
      <w:pPr>
        <w:pStyle w:val="Heading2"/>
      </w:pPr>
      <w:r>
        <w:t>Sprachgesteuertes Edukations-Tool verbessert Wissen und Selbstmanagement nach Herzintervention im Alter</w:t>
      </w:r>
    </w:p>
    <w:p>
      <w:r>
        <w:rPr>
          <w:i/>
          <w:color w:val="666666"/>
          <w:sz w:val="18"/>
        </w:rPr>
        <w:t>Sun T et al.  ·  J Cardiothorac Surg  ·  22.07.2026  ·  PMID 42894236</w:t>
      </w:r>
    </w:p>
    <w:p>
      <w:r>
        <w:t>Cluster-randomisierte kontrollierte Studie mit 96 älteren Herzpatienten (49 Intervention, 47 Kontrolle): Vergleich einer sprachgesteuerten interaktiven Edukations-App gegenüber gedruckten Materialien.</w:t>
      </w:r>
    </w:p>
    <w:p>
      <w:r>
        <w:rPr>
          <w:b/>
        </w:rPr>
        <w:t xml:space="preserve">Ergebnis: </w:t>
      </w:r>
      <w:r>
        <w:t>Signifikante Interaktionseffekte für Herz-Erkrankungswissen (F=9,026; p&lt;0,001) und Selbstmanagement-Verhalten (F=11,607; p&lt;0,001). Nach 1, 3 und 6 Monaten zeigte die Interventionsgruppe signifikant höhere Wissens- und Verhaltensscores als Kontrolle (F=195,188; p&lt;0,001). Akzeptanzrating sehr hoch (96,04±2,61 Punkte). Wissen sank in beiden Gruppen über Zeit, aber Interventionsgruppe blieb deutlich höher.</w:t>
      </w:r>
    </w:p>
    <w:p>
      <w:r>
        <w:rPr>
          <w:b/>
          <w:sz w:val="19"/>
        </w:rPr>
        <w:t xml:space="preserve">Übertragbarkeit: </w:t>
      </w:r>
      <w:r>
        <w:rPr>
          <w:sz w:val="19"/>
        </w:rPr>
        <w:t>China; vergleichbare Altersstruktur und kardiovaskuläre Versorgung, aber App-Evaluation techniklastig</w:t>
      </w:r>
    </w:p>
    <w:p>
      <w:r>
        <w:rPr>
          <w:color w:val="5A7D3A"/>
          <w:sz w:val="18"/>
        </w:rPr>
        <w:t>https://pubmed.ncbi.nlm.nih.gov/42894236/</w:t>
      </w:r>
    </w:p>
    <w:p>
      <w:pPr>
        <w:pStyle w:val="Heading2"/>
      </w:pPr>
      <w:r>
        <w:t>Health-Literacy-Skala für psychisch Erkrankte in Brasilien validiert: Gute innere Konsistenz und Konstruktvalidität</w:t>
      </w:r>
    </w:p>
    <w:p>
      <w:r>
        <w:rPr>
          <w:i/>
          <w:color w:val="666666"/>
          <w:sz w:val="18"/>
        </w:rPr>
        <w:t>Barbosa MR et al.  ·  Rev Assoc Med Bras (1992)  ·  12.10.2026  ·  PMID 42879581</w:t>
      </w:r>
    </w:p>
    <w:p>
      <w:r>
        <w:t>Psychometrische Validierungsstudie der 14-Item Health Literacy Scale an 444 klinisch stabilen Patienten mit chronischen psychischen Störungen in Brasilien; Prüfung von Reliabilität, faktorieller Struktur und Divergenzvalidität.</w:t>
      </w:r>
    </w:p>
    <w:p>
      <w:r>
        <w:rPr>
          <w:b/>
        </w:rPr>
        <w:t xml:space="preserve">Ergebnis: </w:t>
      </w:r>
      <w:r>
        <w:t>Cronbachs Alpha 0,83 (95%-KI 0,78–0,88), McDonald-Omega 0,75 (95%-KI 0,68–0,83). Akzeptable Fit-Indizes: CFI 0,938, TLI 0,923, NFI 0,904. Divergenzvalidität bestätigt durch schwache Korrelationen (r&lt;0,300) mit Unterstützungsskala. Instrument zeigt adequates Profil zur Erfassung von Gesundheitskompetenz in drei Dimensionen (funktional, kommunikativ, kritisch) bei psychisch Erkrankten.</w:t>
      </w:r>
    </w:p>
    <w:p>
      <w:r>
        <w:rPr>
          <w:b/>
          <w:sz w:val="19"/>
        </w:rPr>
        <w:t xml:space="preserve">Übertragbarkeit: </w:t>
      </w:r>
      <w:r>
        <w:rPr>
          <w:sz w:val="19"/>
        </w:rPr>
        <w:t>Brasilien; psychologische Konstrukte kulturübergreifend, aber deutschsprachige Validierung erforderlich</w:t>
      </w:r>
    </w:p>
    <w:p>
      <w:r>
        <w:rPr>
          <w:color w:val="5A7D3A"/>
          <w:sz w:val="18"/>
        </w:rPr>
        <w:t>https://pubmed.ncbi.nlm.nih.gov/42879581/</w:t>
      </w:r>
    </w:p>
    <w:p>
      <w:pPr>
        <w:pStyle w:val="Heading2"/>
      </w:pPr>
      <w:r>
        <w:t>HIV-Prävention in Schulen: Community-Engagement-Ansatz erreicht 98% Testakzeptanz und senkt Stigma</w:t>
      </w:r>
    </w:p>
    <w:p>
      <w:r>
        <w:rPr>
          <w:i/>
          <w:color w:val="666666"/>
          <w:sz w:val="18"/>
        </w:rPr>
        <w:t>Beloumou Angong OEG et al.  ·  J Int Assoc Provid AIDS Care  ·  08.10.2026  ·  PMID 42849053</w:t>
      </w:r>
    </w:p>
    <w:p>
      <w:r>
        <w:t>Mixed-Methods-Studie 2019–2023 mit 1.203 Schülern und Lehrern aus 45 Orten in Kamerun; Einsatz des Risk Communication and Community Engagement (RCCE)-Rahmens zur HIV-Aufklärung mit Testteilnahme.</w:t>
      </w:r>
    </w:p>
    <w:p>
      <w:r>
        <w:rPr>
          <w:b/>
        </w:rPr>
        <w:t xml:space="preserve">Ergebnis: </w:t>
      </w:r>
      <w:r>
        <w:t>HIV-Test-Akzeptanzrate 98%, regional jedoch unterschiedlich (z. B. 88,9% in Fernen Norden; p&lt;0,0001). HIV-Seroprävalenz 1,4% (95%-KI 0,9–2,3%), höher in ländlichen Gebieten (2,6% vs. urban 0,9%; adjustierte OR 3,0; p=0,032). Höchste Seroprävalenz in der Altersgruppe 30–39 Jahre (6,7%; p=0,0004), persistent nach multivariater Analyse (p=0,003). RCCE-Ansatz förderte starke Community-Beteiligung und mediale Verbreitung evidenzbasierter Information; Befund unterstreicht Bedeutung lokalisierter Kommunikationsstrategien jenseits von Schulung allein.</w:t>
      </w:r>
    </w:p>
    <w:p>
      <w:r>
        <w:rPr>
          <w:b/>
          <w:sz w:val="19"/>
        </w:rPr>
        <w:t xml:space="preserve">Übertragbarkeit: </w:t>
      </w:r>
      <w:r>
        <w:rPr>
          <w:sz w:val="19"/>
        </w:rPr>
        <w:t>Kamerun (Subsahara), Ressourcenlimitierung; Befund zu Kommunikations-Effektivität übertragbar</w:t>
      </w:r>
    </w:p>
    <w:p>
      <w:r>
        <w:rPr>
          <w:color w:val="5A7D3A"/>
          <w:sz w:val="18"/>
        </w:rPr>
        <w:t>https://pubmed.ncbi.nlm.nih.gov/42849053/</w:t>
      </w:r>
    </w:p>
    <w:p>
      <w:pPr>
        <w:pStyle w:val="Heading2"/>
      </w:pPr>
      <w:r>
        <w:t>YouTube-Epilepsie-Videos: Nur 4,5% vermitteln korrekte Behandlungsinformation patientengerecht</w:t>
      </w:r>
    </w:p>
    <w:p>
      <w:r>
        <w:rPr>
          <w:i/>
          <w:color w:val="666666"/>
          <w:sz w:val="18"/>
        </w:rPr>
        <w:t>Elliott TS et al.  ·  JMIR Infodemiology  ·  30.09.2026  ·  PMID 42817079</w:t>
      </w:r>
    </w:p>
    <w:p>
      <w:r>
        <w:t>Analyse von 200 YouTube-Videos zu Anfallsclustern und Rettungsmedikation; Bewertung der Genauigkeit von Anfallsdefinition, FDA-genehmigter Behandlung und korrekter Medikamentendokumentation durch Expertenbewertung.</w:t>
      </w:r>
    </w:p>
    <w:p>
      <w:r>
        <w:rPr>
          <w:b/>
        </w:rPr>
        <w:t xml:space="preserve">Ergebnis: </w:t>
      </w:r>
      <w:r>
        <w:t>Nur 19,5% definierten Anfallscluster korrekt; 37,0% empfahlen FDA-genehmigte Rettungsmedikation, 37,5% nannten gar keine Therapie; 26,5% demonstrierten Medikamentengabe korrekt; nur 4,5% erfüllten alle Kriterien. Suche nach Handelsnamen erbrachte mehr relevante Videos als nach Fachbegriffen. Massive Informationslücke: 80,5% der Videos waren unvollständig oder fehlerhaft.</w:t>
      </w:r>
    </w:p>
    <w:p>
      <w:r>
        <w:rPr>
          <w:b/>
          <w:sz w:val="19"/>
        </w:rPr>
        <w:t xml:space="preserve">Übertragbarkeit: </w:t>
      </w:r>
      <w:r>
        <w:rPr>
          <w:sz w:val="19"/>
        </w:rPr>
        <w:t>USA, aber Befund zu Qualitätsdefiziten in Patient:innen-Videos universell übertragbar</w:t>
      </w:r>
    </w:p>
    <w:p>
      <w:r>
        <w:rPr>
          <w:color w:val="5A7D3A"/>
          <w:sz w:val="18"/>
        </w:rPr>
        <w:t>https://pubmed.ncbi.nlm.nih.gov/42817079/</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