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 und Health Literacy</w:t>
      </w:r>
    </w:p>
    <w:p>
      <w:r>
        <w:rPr>
          <w:i/>
          <w:color w:val="666666"/>
          <w:sz w:val="18"/>
        </w:rPr>
        <w:t>Stand: 17.09.2026  |  7 Studien  |  healthliteracy.m-vf.de</w:t>
      </w:r>
    </w:p>
    <w:p>
      <w:pPr>
        <w:pStyle w:val="Heading1"/>
      </w:pPr>
      <w:r>
        <w:t>Aufgenommen am 17.09.2026</w:t>
      </w:r>
    </w:p>
    <w:p>
      <w:pPr>
        <w:pStyle w:val="Heading2"/>
      </w:pPr>
      <w:r>
        <w:t>Klinische Studienvorbehalte senken sich durch Familieneinbindung</w:t>
      </w:r>
    </w:p>
    <w:p>
      <w:r>
        <w:rPr>
          <w:i/>
          <w:color w:val="666666"/>
          <w:sz w:val="18"/>
        </w:rPr>
        <w:t>Stapleton JL et al.  ·  Psychooncology  ·  Sept. 2026  ·  PMID 42747098</w:t>
      </w:r>
    </w:p>
    <w:p>
      <w:r>
        <w:t>Querschnittsbefragung von 116 Krebspatienten an einem US-Zentrum, das ländliche Appalachien-Region versorgt, zu Wahrnehmung von klinischen Studien und Einflussfaktoren auf Partizipationsintention.</w:t>
      </w:r>
    </w:p>
    <w:p>
      <w:r>
        <w:rPr>
          <w:b/>
        </w:rPr>
        <w:t xml:space="preserve">Ergebnis: </w:t>
      </w:r>
      <w:r>
        <w:t>Teilnehmer (Alter ø 64,5 Jahre; 97,4 % weiß; 51,7 % weiblich; 60 % aus Appalachien) hielten insgesamt positive Einstellungen zu Studien. Studienwissen war signifikant niedriger bei Teilnehmern mit niedrigerem Einkommen (p &lt; 0,05) und Appalachien-Wohnort (p &lt; 0,05). Intention war signifikant assoziiert mit Einstellung, Überzeugung zu neuen Therapien und wahrgenommener Familienunterstützung (beide univariat und multivariat). Adressat: Familieneinbindung ist Schlüssel zur informierten Entscheidung.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(ländlich), aber Ungleichheitsaspekt (Bildung, Einkommen, Region) universal relevant.</w:t>
      </w:r>
    </w:p>
    <w:p>
      <w:r>
        <w:rPr>
          <w:color w:val="5A7D3A"/>
          <w:sz w:val="18"/>
        </w:rPr>
        <w:t>https://pubmed.ncbi.nlm.nih.gov/42747098/</w:t>
      </w:r>
    </w:p>
    <w:p>
      <w:pPr>
        <w:pStyle w:val="Heading2"/>
      </w:pPr>
      <w:r>
        <w:t>Elterliche Mundgesundheitskompetenz senkt Zahnkaries bei Kindern mit Behinderung</w:t>
      </w:r>
    </w:p>
    <w:p>
      <w:r>
        <w:rPr>
          <w:i/>
          <w:color w:val="666666"/>
          <w:sz w:val="18"/>
        </w:rPr>
        <w:t>Phogat R et al.  ·  Spec Care Dentist  ·  Sept. 2026  ·  PMID 42742483</w:t>
      </w:r>
    </w:p>
    <w:p>
      <w:r>
        <w:t>Querschnittsstudie mit 116 Kindern/Jugendlichen mit Behinderungen und 336 gesunden Alterskontrollen in Indien zur Assoziation zwischen elterlicher Mundgesundheitskompetenz und klinischer Zahnerkrankung.</w:t>
      </w:r>
    </w:p>
    <w:p>
      <w:r>
        <w:rPr>
          <w:b/>
        </w:rPr>
        <w:t xml:space="preserve">Ergebnis: </w:t>
      </w:r>
      <w:r>
        <w:t>Zahnkaries war bei Kindern mit Behinderungen deutlich höher (70,7 % vs. 35,3 %; mittlerer DMFT 2,59 ± 2,84 vs. 0,82 ± 1,47; p &lt; 0,001). Eltern mit moderater Literalität erhöhten die Kariesquote (OR = 2,24), niedrige Literalität erhöhte sie vierfach (OR = 4,07; p = 0,008). Strukturelle Pfadanalyse zeigte, dass Sozioökonomie die Elternkompetenz beeinflusst (β = 0,21; p = 0,007), diese Verhaltensweisen verbessert (β = 0,39; p = 0,006) und Krankheit senkt (β = -0,33; p = 0,008).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Indien; Mechanism universal, aber Voraussetzungen unterschiedlich; methodisch wertvoll.</w:t>
      </w:r>
    </w:p>
    <w:p>
      <w:r>
        <w:rPr>
          <w:color w:val="5A7D3A"/>
          <w:sz w:val="18"/>
        </w:rPr>
        <w:t>https://pubmed.ncbi.nlm.nih.gov/42742483/</w:t>
      </w:r>
    </w:p>
    <w:p>
      <w:pPr>
        <w:pStyle w:val="Heading2"/>
      </w:pPr>
      <w:r>
        <w:t>Digitale Gesundheitskompetenz vermittelt zwischen Sozialsupport und Gesundheitsverhalten</w:t>
      </w:r>
    </w:p>
    <w:p>
      <w:r>
        <w:rPr>
          <w:i/>
          <w:color w:val="666666"/>
          <w:sz w:val="18"/>
        </w:rPr>
        <w:t>Pan Y et al.  ·  Front Public Health  ·  31.08.2026  ·  PMID 42741021</w:t>
      </w:r>
    </w:p>
    <w:p>
      <w:r>
        <w:t>Cross-sectional-Studie mit 1030 Erwerbstätigen in Shanghai zur Mediationswirkung von Digital Health Literacy (DHL) auf den Zusammenhang zwischen Sozialsupport und gesundheitsförderndem Lebensstil.</w:t>
      </w:r>
    </w:p>
    <w:p>
      <w:r>
        <w:rPr>
          <w:b/>
        </w:rPr>
        <w:t xml:space="preserve">Ergebnis: </w:t>
      </w:r>
      <w:r>
        <w:t>Sozialsupport war positiv mit DHL (r = 0,176, p &lt; 0,001) und mit Lebensstilmaßnahmen korreliert (r = 0,324, p &lt; 0,001). DHL vermittelte partial diesen Zusammenhang (indirekter Effekt = 0,113, 95%-KI [0,065; 0,170]); nur die Anwendungsdimension der DHL war signifikant. Das erklärt 13,9 % des Gesamteffekts. Digitale Fertigkeiten übersetzen soziale Unterstützung in konkrete Verhaltensänderungen.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Mechanismus der Gesundheitskompetenz universell; für DACH adaptierbar.</w:t>
      </w:r>
    </w:p>
    <w:p>
      <w:r>
        <w:rPr>
          <w:color w:val="5A7D3A"/>
          <w:sz w:val="18"/>
        </w:rPr>
        <w:t>https://pubmed.ncbi.nlm.nih.gov/42741021/</w:t>
      </w:r>
    </w:p>
    <w:p>
      <w:pPr>
        <w:pStyle w:val="Heading2"/>
      </w:pPr>
      <w:r>
        <w:t>Entscheidungshilfe für symptomatische Karotisstenose verbessert Partizipation</w:t>
      </w:r>
    </w:p>
    <w:p>
      <w:r>
        <w:rPr>
          <w:i/>
          <w:color w:val="666666"/>
          <w:sz w:val="18"/>
        </w:rPr>
        <w:t>Eklund K et al.  ·  Semin Vasc Surg  ·  31.07.2026  ·  PMID 42735963</w:t>
      </w:r>
    </w:p>
    <w:p>
      <w:r>
        <w:t>Eine multidisziplinäre Studie entwickelte mittels nutzerzentrierten Designs eine Entscheidungshilfe für Patienten mit symptomatischer Karotisstenose, um Shared Decision Making vor Revaskularisierungen zu unterstützen.</w:t>
      </w:r>
    </w:p>
    <w:p>
      <w:r>
        <w:rPr>
          <w:b/>
        </w:rPr>
        <w:t xml:space="preserve">Ergebnis: </w:t>
      </w:r>
      <w:r>
        <w:t>35 Patienten und 9 Kliniker beurteilten das Material: 82,9 % der Patienten fanden die Hilfe sehr wertvoll, 73,5 % würden sie weiterempfehlen. 100 % der Kliniker bescheinigten Nützlichkeit; 90 % (Kliniker) und 65,7 % (Patienten) nahmen die Information als ausgewogen wahr. Die Hilfe ist klinisch akzeptabel und adressiert eine ungedeckte Lücke in der Versorgung.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Entwicklungsprozess ist systemunabhängig; USA, aber universelle Designprinzipien.</w:t>
      </w:r>
    </w:p>
    <w:p>
      <w:r>
        <w:rPr>
          <w:color w:val="5A7D3A"/>
          <w:sz w:val="18"/>
        </w:rPr>
        <w:t>https://pubmed.ncbi.nlm.nih.gov/42735963/</w:t>
      </w:r>
    </w:p>
    <w:p>
      <w:pPr>
        <w:pStyle w:val="Heading2"/>
      </w:pPr>
      <w:r>
        <w:t>Remote Monitoring hebt Arzneimittelsicherheit bei niedriger Gesundheitskompetenz</w:t>
      </w:r>
    </w:p>
    <w:p>
      <w:r>
        <w:rPr>
          <w:i/>
          <w:color w:val="666666"/>
          <w:sz w:val="18"/>
        </w:rPr>
        <w:t>Hernandez S et al.  ·  JMIR Form Res  ·  14.09.2026  ·  PMID 42735397</w:t>
      </w:r>
    </w:p>
    <w:p>
      <w:r>
        <w:t>Post-hoc-Analyse eines Pilottrials zur Testung, ob digitale Fernüberwachung (Remote Patient Monitoring, RPM) die Adhärenz zu Capecitabin bei Brustkrebs modifiziert, besonders bei Patienten mit niedriger Gesundheitskompetenz.</w:t>
      </w:r>
    </w:p>
    <w:p>
      <w:r>
        <w:rPr>
          <w:b/>
        </w:rPr>
        <w:t xml:space="preserve">Ergebnis: </w:t>
      </w:r>
      <w:r>
        <w:t>28 Patientinnen: RPM gegenüber Enhanced Usual Care (EUC) zeigte bei niedriger Gesundheitskompetenz Adhärenzunterschied von +22,1 Prozentpunkten (95%-KI 6,2–37,9; p = 0,008) zugunsten RPM. Bei hoher Gesundheitskompetenz war der Unterschied +5,7 Prozentpunkte (p = 0,29). In EUC war niedriger Literalität mit 18,6 Prozentpunkten niedrigerer Adhärenz verbunden (p = 0,01); unter RPM nur 2,3 Prozentpunkte (p = 0,73). Interaktionstest knapp nicht signifikant (p = 0,09), aber Effektrichtung und Magnitude unterstützen weitere Untersuchung.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Vulnerabilität und Intervention international relevant.</w:t>
      </w:r>
    </w:p>
    <w:p>
      <w:r>
        <w:rPr>
          <w:color w:val="5A7D3A"/>
          <w:sz w:val="18"/>
        </w:rPr>
        <w:t>https://pubmed.ncbi.nlm.nih.gov/42735397/</w:t>
      </w:r>
    </w:p>
    <w:p>
      <w:pPr>
        <w:pStyle w:val="Heading2"/>
      </w:pPr>
      <w:r>
        <w:t>Partizipatives Design einer Nierenkranken-Plattform mit Patienten und Fachleuten</w:t>
      </w:r>
    </w:p>
    <w:p>
      <w:r>
        <w:rPr>
          <w:i/>
          <w:color w:val="666666"/>
          <w:sz w:val="18"/>
        </w:rPr>
        <w:t>Mataranga J et al.  ·  JMIR Form Res  ·  10.09.2026  ·  PMID 42721212</w:t>
      </w:r>
    </w:p>
    <w:p>
      <w:r>
        <w:t>Formative Studie zur nutzerzentrierten Mitgestaltung einer digitalen Plattform für Patienten mit chronischer Nierenerkrankung (CKD) in Frankreich, um Bildung, Selbstmanagement und Shared Decision Making zu unterstützen.</w:t>
      </w:r>
    </w:p>
    <w:p>
      <w:r>
        <w:rPr>
          <w:b/>
        </w:rPr>
        <w:t xml:space="preserve">Ergebnis: </w:t>
      </w:r>
      <w:r>
        <w:t>In drei Phasen wurden Interviews mit 8 Stakeholdern (3 Fachpersonen, 5 Patienten) und zwei Co-Design-Fokusgruppen durchgeführt. Fünf zentrale Themen wurden identifiziert: Bedarf nach zuverlässiger Information, Angst bei Übergängen, Nachfrage nach praktischer Lebensführung, reassurante Sprache und Wert von moderiertem Peer-Austausch. Mehr als 30 inhaltliche Items wurden in fünf Kategorien strukturiert und informierten die Plattformarchitektur.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OECD-Versicherungssystem; Methode international übertragbar.</w:t>
      </w:r>
    </w:p>
    <w:p>
      <w:r>
        <w:rPr>
          <w:color w:val="5A7D3A"/>
          <w:sz w:val="18"/>
        </w:rPr>
        <w:t>https://pubmed.ncbi.nlm.nih.gov/42721212/</w:t>
      </w:r>
    </w:p>
    <w:p>
      <w:pPr>
        <w:pStyle w:val="Heading2"/>
      </w:pPr>
      <w:r>
        <w:t>Niedrige Gesundheitskompetenz verdreifacht psychische Belastung bei Jugendlichen</w:t>
      </w:r>
    </w:p>
    <w:p>
      <w:r>
        <w:rPr>
          <w:i/>
          <w:color w:val="666666"/>
          <w:sz w:val="18"/>
        </w:rPr>
        <w:t>Mazur J et al.  ·  Ann Agric Environ Med  ·  24.06.2026  ·  PMID 42374679</w:t>
      </w:r>
    </w:p>
    <w:p>
      <w:r>
        <w:t>Online-Befragung von 9026 polnischen Schülern (13–17 Jahre) zur Assoziation zwischen Gesundheitskompetenz und mentalen Gesundheitsprofilen nach dem Dual-Continua-Modell (Wohlbefinden und psychosomatische Beschwerden).</w:t>
      </w:r>
    </w:p>
    <w:p>
      <w:r>
        <w:rPr>
          <w:b/>
        </w:rPr>
        <w:t xml:space="preserve">Ergebnis: </w:t>
      </w:r>
      <w:r>
        <w:t>57,1 % berichteten häufige psychosomatische Beschwerden, 24,5 % niedriges Wohlbefinden. Sechs mentale Profile wurden identifiziert. Niedrige Gesundheitskompetenz verdreifachte das Risiko, in die ungünstigste Gruppe zu fallen (OR = 3,06; 95%-KI: 2,43–3,85). Ländliches Leben war protektiv (OR = 0,82; 95%-KI: 0,69–0,97).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Europa; Schulsystem und Sozialversicherung vergleichbar mit Deutschland.</w:t>
      </w:r>
    </w:p>
    <w:p>
      <w:r>
        <w:rPr>
          <w:color w:val="5A7D3A"/>
          <w:sz w:val="18"/>
        </w:rPr>
        <w:t>https://pubmed.ncbi.nlm.nih.gov/42374679/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2026-09-17T06:00:00Z</dcterms:created>
  <dcterms:modified xsi:type="dcterms:W3CDTF">2026-09-17T06:00:00Z</dcterms:modified>
  <cp:category/>
</cp:coreProperties>
</file>