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w:t>
      </w:r>
    </w:p>
    <w:p>
      <w:r>
        <w:rPr>
          <w:i/>
          <w:color w:val="666666"/>
          <w:sz w:val="18"/>
        </w:rPr>
        <w:t>Stand: 16.10.2026  |  6 Studien  |  healthliteracy.m-vf.de</w:t>
      </w:r>
    </w:p>
    <w:p>
      <w:pPr>
        <w:pStyle w:val="Heading1"/>
      </w:pPr>
      <w:r>
        <w:t>Aufgenommen am 16.10.2026</w:t>
      </w:r>
    </w:p>
    <w:p>
      <w:pPr>
        <w:pStyle w:val="Heading2"/>
      </w:pPr>
      <w:r>
        <w:t>Patienten als Forschungspartner: Co-entwickelter Evaluationsrahmen</w:t>
      </w:r>
    </w:p>
    <w:p>
      <w:r>
        <w:rPr>
          <w:i/>
          <w:color w:val="666666"/>
          <w:sz w:val="18"/>
        </w:rPr>
        <w:t>Rizai M et al.  ·  Health Expect  ·  Okt. 2026  ·  PMID 42878207</w:t>
      </w:r>
    </w:p>
    <w:p>
      <w:r>
        <w:t>Partizipative Entwicklung eines Evaluationsrahmens mit Personen mit Demenzerkrankung und Angehörigen zur Bewertung eines Engagementprogramms in einem nationalen Forschungskonsortium.</w:t>
      </w:r>
    </w:p>
    <w:p>
      <w:r>
        <w:rPr>
          <w:b/>
        </w:rPr>
        <w:t xml:space="preserve">Ergebnis: </w:t>
      </w:r>
      <w:r>
        <w:t>Ein Programmlogikmodell wurde als Grundlage entwickelt, das Aktivitäten und ihre Verknüpfung zu beabsichtigten Ergebnissen visualisiert. Der Rahmen enthält vier Evaluationsfragen mit entsprechenden Indikatoren, Methoden und Datenquellen, ein Mixed-Methods-Design mit Fragebogen und kunstgestützter Evaluation zur Förderung von Inklusion, sowie einen Feedback-Mechanismus. Die partizipative Methode ermöglichte es betroffenen Personen, als Co-Investigatoren und Co-Autoren tätig zu sein.</w:t>
      </w:r>
    </w:p>
    <w:p>
      <w:r>
        <w:rPr>
          <w:b/>
          <w:sz w:val="19"/>
        </w:rPr>
        <w:t xml:space="preserve">Übertragbarkeit: </w:t>
      </w:r>
      <w:r>
        <w:rPr>
          <w:sz w:val="19"/>
        </w:rPr>
        <w:t>Kanada; Modell der Partizipation übertragbar, Prozessschritte als Template für deutsche Forschungskonsortien anwendbar.</w:t>
      </w:r>
    </w:p>
    <w:p>
      <w:r>
        <w:rPr>
          <w:color w:val="5A7D3A"/>
          <w:sz w:val="18"/>
        </w:rPr>
        <w:t>https://pubmed.ncbi.nlm.nih.gov/42878207/</w:t>
      </w:r>
    </w:p>
    <w:p>
      <w:pPr>
        <w:pStyle w:val="Heading2"/>
      </w:pPr>
      <w:r>
        <w:t>Verständnis von psychischer Erkrankung bei Dialysepatienten: Barrieren und Stigma</w:t>
      </w:r>
    </w:p>
    <w:p>
      <w:r>
        <w:rPr>
          <w:i/>
          <w:color w:val="666666"/>
          <w:sz w:val="18"/>
        </w:rPr>
        <w:t>Xiao W et al.  ·  Front Public Health  ·  30.09.2026  ·  PMID 42877207</w:t>
      </w:r>
    </w:p>
    <w:p>
      <w:r>
        <w:t>Qualitative Studie mit 11 Dialysepatienten zu Gesundheitskompetenz, Wissenslücken und Stigma-bedingten Hemmnissen bei der Inanspruchnahme psychischer Unterstützung.</w:t>
      </w:r>
    </w:p>
    <w:p>
      <w:r>
        <w:rPr>
          <w:b/>
        </w:rPr>
        <w:t xml:space="preserve">Ergebnis: </w:t>
      </w:r>
      <w:r>
        <w:t>Drei Kernthemen wurden identifiziert: (1) heterogenes Verständnis von psychischer Erkrankung; (2) fragmentiertes Wissen mit polarisierten Informationsquellen, oberflächlichen Ursachenzuschreibungen und ungleicher Awareness von Hilfsressourcen; (3) ambivalente Einstellungen mit Koexistenz von Stigmatisierung und Normalisierung, verbunden mit Lücke zwischen Absicht und Handeln. Die Studie zeigt dringenden Bedarf für spezialisierte, kulturell angepasste psychoedukationale Interventionen.</w:t>
      </w:r>
    </w:p>
    <w:p>
      <w:r>
        <w:rPr>
          <w:b/>
          <w:sz w:val="19"/>
        </w:rPr>
        <w:t xml:space="preserve">Übertragbarkeit: </w:t>
      </w:r>
      <w:r>
        <w:rPr>
          <w:sz w:val="19"/>
        </w:rPr>
        <w:t>China; Befunde zu Stigma und Wissensfragmentierung gelten kulturübergreifend, erfordern aber lokale Adaptation.</w:t>
      </w:r>
    </w:p>
    <w:p>
      <w:r>
        <w:rPr>
          <w:color w:val="5A7D3A"/>
          <w:sz w:val="18"/>
        </w:rPr>
        <w:t>https://pubmed.ncbi.nlm.nih.gov/42877207/</w:t>
      </w:r>
    </w:p>
    <w:p>
      <w:pPr>
        <w:pStyle w:val="Heading2"/>
      </w:pPr>
      <w:r>
        <w:t>Digitale Schmerzedukation: Welche Bevölkerungsgruppen bleiben ausgeschlossen?</w:t>
      </w:r>
    </w:p>
    <w:p>
      <w:r>
        <w:rPr>
          <w:i/>
          <w:color w:val="666666"/>
          <w:sz w:val="18"/>
        </w:rPr>
        <w:t>Khalid H et al.  ·  Front Public Health  ·  30.09.2026  ·  PMID 42877005</w:t>
      </w:r>
    </w:p>
    <w:p>
      <w:r>
        <w:t>Systematische Übersicht von 100 Studien zu digital gestützten Patientenschulungen für chronische muskuloskelettale Schmerzen mit Fokus auf Erreichung diverser Bevölkerungsgruppen.</w:t>
      </w:r>
    </w:p>
    <w:p>
      <w:r>
        <w:rPr>
          <w:b/>
        </w:rPr>
        <w:t xml:space="preserve">Ergebnis: </w:t>
      </w:r>
      <w:r>
        <w:t>86 % der Studien (n=86) waren in Nord- und Europa durchgeführt, aber 86 % (n=86) richteten sich nicht gezielt an Subgruppen mit höherem Behandlungsbedarf. Von 39 genannten Interventionen waren nur 13 auf diverse Bedürfnisse zugeschnitten. 81 % der Studien (n=81) berichteten reale Tests und Effektivitätsevaluationen; wenige dokumentierten Co-Design oder Prototypentestung. Die Autoren schließen: Zukünftige Entwicklung muss ungedeckte Bedarfe adressieren, um inklusivere Interventionen zu schaffen.</w:t>
      </w:r>
    </w:p>
    <w:p>
      <w:r>
        <w:rPr>
          <w:b/>
          <w:sz w:val="19"/>
        </w:rPr>
        <w:t xml:space="preserve">Übertragbarkeit: </w:t>
      </w:r>
      <w:r>
        <w:rPr>
          <w:sz w:val="19"/>
        </w:rPr>
        <w:t>Multinationale Review; Befund zur Equity-Lücke in Deutschland höchst relevant, Implementierungen müssen unterrepräsentierte Gruppen einschließen.</w:t>
      </w:r>
    </w:p>
    <w:p>
      <w:r>
        <w:rPr>
          <w:color w:val="5A7D3A"/>
          <w:sz w:val="18"/>
        </w:rPr>
        <w:t>https://pubmed.ncbi.nlm.nih.gov/42877005/</w:t>
      </w:r>
    </w:p>
    <w:p>
      <w:pPr>
        <w:pStyle w:val="Heading2"/>
      </w:pPr>
      <w:r>
        <w:t>Gesundheitsbildung senkt irrationalen Antibiotikagebrauch: Kombinierte Intervention</w:t>
      </w:r>
    </w:p>
    <w:p>
      <w:r>
        <w:rPr>
          <w:i/>
          <w:color w:val="666666"/>
          <w:sz w:val="18"/>
        </w:rPr>
        <w:t>Xie X et al.  ·  Front Public Health  ·  30.09.2026  ·  PMID 42876734</w:t>
      </w:r>
    </w:p>
    <w:p>
      <w:r>
        <w:t>Evaluierung einer kombinierten Maßnahme aus Gesundheitsbildungsmaterialien (Broschüren, Videos, Schulungen) und einem intelligenten Rezept-Prüfsystem auf Antibiotikaverschreibung und Kosteneffizienz in einem Krankenhaus.</w:t>
      </w:r>
    </w:p>
    <w:p>
      <w:r>
        <w:rPr>
          <w:b/>
        </w:rPr>
        <w:t xml:space="preserve">Ergebnis: </w:t>
      </w:r>
      <w:r>
        <w:t>Die kombinierte Intervention mit Online- und Offline-Bildungsmaßnahmen führte zu Reduktion der Antibiotikamenge und des Anteils der Antibiotika-Ausgaben an den Gesamtmedikamentenkosten. Von Oktober bis Dezember 2025 sank die Anzahl der Rezepte mit Fehlern bei Indikation, Dosierung, Verabreichungsweg und Kontraindikationsverstößen im Vergleich zur Baseline (Oktober–Dezember 2024) ab. Die multifazettierte Strategie zeigte erhebliches Potenzial zur Reduktion antimikrobieller Substanznutzung.</w:t>
      </w:r>
    </w:p>
    <w:p>
      <w:r>
        <w:rPr>
          <w:b/>
          <w:sz w:val="19"/>
        </w:rPr>
        <w:t xml:space="preserve">Übertragbarkeit: </w:t>
      </w:r>
      <w:r>
        <w:rPr>
          <w:sz w:val="19"/>
        </w:rPr>
        <w:t>China; Konzept der integrierten Bildung + Decision-Support übertragbar; Sprachabhängigkeit der Materialien.</w:t>
      </w:r>
    </w:p>
    <w:p>
      <w:r>
        <w:rPr>
          <w:color w:val="5A7D3A"/>
          <w:sz w:val="18"/>
        </w:rPr>
        <w:t>https://pubmed.ncbi.nlm.nih.gov/42876734/</w:t>
      </w:r>
    </w:p>
    <w:p>
      <w:pPr>
        <w:pStyle w:val="Heading2"/>
      </w:pPr>
      <w:r>
        <w:t>Bewegungsverhalten nach digitaler Schulung: Effekte bei Arthrose</w:t>
      </w:r>
    </w:p>
    <w:p>
      <w:r>
        <w:rPr>
          <w:i/>
          <w:color w:val="666666"/>
          <w:sz w:val="18"/>
        </w:rPr>
        <w:t>Kiadaliri A et al.  ·  BMC Musculoskelet Disord  ·  11.10.2026  ·  PMID 42875770</w:t>
      </w:r>
    </w:p>
    <w:p>
      <w:r>
        <w:t>Longitudinale Registerstudie zur Wirkung eines digitalen Schulungs- und Therapieprogramms auf die körperliche Aktivität bei 15.197 Patienten mit Knie- oder Hüftarthrose über ein Jahr.</w:t>
      </w:r>
    </w:p>
    <w:p>
      <w:r>
        <w:rPr>
          <w:b/>
        </w:rPr>
        <w:t xml:space="preserve">Ergebnis: </w:t>
      </w:r>
      <w:r>
        <w:t>Der Anteil der Patienten, die das empfohlene Aktivitätsniveau (≥150 Min/Woche mäßige bis kräftige Aktivität) erreichten, stieg von 51,4 % (95%-KI: 50,6–52,2) bei Aufnahme auf 58,5 % (57,1–59,9) nach einem Jahr. Vier Aktivitätsmuster wurden identifiziert: persistiert hoch (41,2 %), persistiert niedrig (30,4 %), zunehmend (16,5 %), abnehmend (11,9 %). Body-Mass-Index und körperliche Funktionsfähigkeit waren die wichtigsten mit den Aktivitätsmustern assoziierten Faktoren. Alle Gruppen zeigten vergleichbare klinische Verbesserungen in patientenberichteten Outcomes.</w:t>
      </w:r>
    </w:p>
    <w:p>
      <w:r>
        <w:rPr>
          <w:b/>
          <w:sz w:val="19"/>
        </w:rPr>
        <w:t xml:space="preserve">Übertragbarkeit: </w:t>
      </w:r>
      <w:r>
        <w:rPr>
          <w:sz w:val="19"/>
        </w:rPr>
        <w:t>Schweden, Versicherungssystem vergleichbar; digitale Schulungsformate als Skalierungsmodell übertragbar.</w:t>
      </w:r>
    </w:p>
    <w:p>
      <w:r>
        <w:rPr>
          <w:color w:val="5A7D3A"/>
          <w:sz w:val="18"/>
        </w:rPr>
        <w:t>https://pubmed.ncbi.nlm.nih.gov/42875770/</w:t>
      </w:r>
    </w:p>
    <w:p>
      <w:pPr>
        <w:pStyle w:val="Heading2"/>
      </w:pPr>
      <w:r>
        <w:t>Barrieren zur Teilnahme an Krebsstudien: Was Patienten berichten</w:t>
      </w:r>
    </w:p>
    <w:p>
      <w:r>
        <w:rPr>
          <w:i/>
          <w:color w:val="666666"/>
          <w:sz w:val="18"/>
        </w:rPr>
        <w:t>Scruton S et al.  ·  Cancer Rep (Hoboken)  ·  Okt. 2026  ·  PMID 42870373</w:t>
      </w:r>
    </w:p>
    <w:p>
      <w:r>
        <w:t>Systematische Übersicht von 131 qualitativ-quantitativen Studien zu Barrieren, die Patienten und Angehörige von der Teilnahme an klinischen Krebsstudien abhalten.</w:t>
      </w:r>
    </w:p>
    <w:p>
      <w:r>
        <w:rPr>
          <w:b/>
        </w:rPr>
        <w:t xml:space="preserve">Ergebnis: </w:t>
      </w:r>
      <w:r>
        <w:t>Barrieren wurden in drei Gruppen kategorisiert: (1) psychosoziale Barrieren (Angst vor Nebenwirkungen, Misstrauen, wahrgenommener Nutzenmangel); (2) logistische Barrieren (Reiseanforderungen, finanzielle Belastung); (3) Informationsbarrieren (Schwierigkeiten, Einwilligungsdokumente zu verstehen). Die Analyse von 7.918 Studien ergab, dass Empfehlungen auf finanzielle und logistische Unterstützung, geeignete Informationsvermittlung und Vertrauensaufbau mit dem Forschungspersonal hindeuten.</w:t>
      </w:r>
    </w:p>
    <w:p>
      <w:r>
        <w:rPr>
          <w:b/>
          <w:sz w:val="19"/>
        </w:rPr>
        <w:t xml:space="preserve">Übertragbarkeit: </w:t>
      </w:r>
      <w:r>
        <w:rPr>
          <w:sz w:val="19"/>
        </w:rPr>
        <w:t>Kanada und multinationale Analyse; Barrier-Kategorien sind systemübergreifend relevant für deutsche Onkologiestudien.</w:t>
      </w:r>
    </w:p>
    <w:p>
      <w:r>
        <w:rPr>
          <w:color w:val="5A7D3A"/>
          <w:sz w:val="18"/>
        </w:rPr>
        <w:t>https://pubmed.ncbi.nlm.nih.gov/42870373/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dc:title>
  <dc:subject/>
  <dc:creator>Monitor Versorgungsforschung</dc:creator>
  <cp:keywords/>
  <dc:description>generated by python-docx</dc:description>
  <cp:lastModifiedBy/>
  <cp:revision>1</cp:revision>
  <dcterms:created xsi:type="dcterms:W3CDTF">2026-10-16T06:00:00Z</dcterms:created>
  <dcterms:modified xsi:type="dcterms:W3CDTF">2026-10-16T06:00:00Z</dcterms:modified>
  <cp:category/>
</cp:coreProperties>
</file>