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02.10.2026  |  6 Studien  |  healthliteracy.m-vf.de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Gesundheitskompetenz fördert aktives Altern bei älteren Erwachsenen</w:t>
      </w:r>
    </w:p>
    <w:p>
      <w:r>
        <w:rPr>
          <w:i/>
          <w:color w:val="666666"/>
          <w:sz w:val="18"/>
        </w:rPr>
        <w:t>Akdeniz Ş et al.  ·  BMC Geriatr  ·  29.09.2026  ·  PMID 42816844</w:t>
      </w:r>
    </w:p>
    <w:p>
      <w:r>
        <w:t>Querschnittstudie an 306 älteren Erwachsenen (≥65 Jahre), die die Beziehung zwischen Health Literacy, aktivem Altern und erfolgreichem Altern untersuchte.</w:t>
      </w:r>
    </w:p>
    <w:p>
      <w:r>
        <w:rPr>
          <w:b/>
        </w:rPr>
        <w:t xml:space="preserve">Ergebnis: </w:t>
      </w:r>
      <w:r>
        <w:t>Health Literacy erklärte 56,4 % der Varianz aktiven Alterns (R² = 0,564, p &lt; 0,05). Signifikante positive Korrelationen zwischen Health Literacy und beiden Aging-Dimensionen (p &lt; 0,01). Prädiktoren: Alter, mentale Aktivität und Gesundheitskompetenz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aber Messmodell übertragbar auf deutsches Gesundheitswesen</w:t>
      </w:r>
    </w:p>
    <w:p>
      <w:r>
        <w:rPr>
          <w:color w:val="5A7D3A"/>
          <w:sz w:val="18"/>
        </w:rPr>
        <w:t>https://pubmed.ncbi.nlm.nih.gov/42816844/</w:t>
      </w:r>
    </w:p>
    <w:p>
      <w:pPr>
        <w:pStyle w:val="Heading2"/>
      </w:pPr>
      <w:r>
        <w:t>Ernährungskompetenz bei Grundschülern niedrig: Handlungsbedarf in der Schulgesundheit</w:t>
      </w:r>
    </w:p>
    <w:p>
      <w:r>
        <w:rPr>
          <w:i/>
          <w:color w:val="666666"/>
          <w:sz w:val="18"/>
        </w:rPr>
        <w:t>Lan Y et al.  ·  Front Public Health  ·  15.09.2026  ·  PMID 42812397</w:t>
      </w:r>
    </w:p>
    <w:p>
      <w:r>
        <w:t>Querschnittstudie an 1.420 Viertklässlern und Fünftklässlern in Chongqing zu Ernährungskompetenz (Nutrition Literacy) und assoziierten Faktoren.</w:t>
      </w:r>
    </w:p>
    <w:p>
      <w:r>
        <w:rPr>
          <w:b/>
        </w:rPr>
        <w:t xml:space="preserve">Ergebnis: </w:t>
      </w:r>
      <w:r>
        <w:t>Durchschnittliche Ernährungskompetenz-Score: 65,47 ± 9,79 (insgesamt niedrig). Signifikant höhere Scores bei: höherem Alter, weiblichem Geschlecht, städtischem Wohnort, höherer Bildung der Bezugsperson (alle p &lt; 0,05). Mahlzeitendokumentation (+4,18 Punkte; 95%-KI: 2,84–5,51) und Essenzubereitung (+2,07 Punkte) positiv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Befund zu sozioökonomischen Unterschieden in Gesundheitskompetenz übertragbar</w:t>
      </w:r>
    </w:p>
    <w:p>
      <w:r>
        <w:rPr>
          <w:color w:val="5A7D3A"/>
          <w:sz w:val="18"/>
        </w:rPr>
        <w:t>https://pubmed.ncbi.nlm.nih.gov/42812397/</w:t>
      </w:r>
    </w:p>
    <w:p>
      <w:pPr>
        <w:pStyle w:val="Heading2"/>
      </w:pPr>
      <w:r>
        <w:t>Polnische Validierung eines mehrdimensionalen Health-Literacy-Fragebogens</w:t>
      </w:r>
    </w:p>
    <w:p>
      <w:r>
        <w:rPr>
          <w:i/>
          <w:color w:val="666666"/>
          <w:sz w:val="18"/>
        </w:rPr>
        <w:t>Lipiak A et al.  ·  Medicina (Kaunas)  ·  18.09.2026  ·  PMID 42796406</w:t>
      </w:r>
    </w:p>
    <w:p>
      <w:r>
        <w:t>Psychometrische Validierung der neun-faktoriellen Health Literacy Questionnaire (HLQ) an 918 Gesundheitsfachstudierenden in Polen mit konfirmatorischer Faktorenanalyse.</w:t>
      </w:r>
    </w:p>
    <w:p>
      <w:r>
        <w:rPr>
          <w:b/>
        </w:rPr>
        <w:t xml:space="preserve">Ergebnis: </w:t>
      </w:r>
      <w:r>
        <w:t>Neun-Faktor-Modell zeigte gute Anpassungsgüte (CFI = 0,973; TLI = 0,970; RMSEA = 0,035). Interne Konsistenz: 8 von 9 Skalen gut bis akzeptabel (Cronbach's α ≥ 0,70); eine Skala unter Schwelle (Cronbach's α = 0,69).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Polen/Osteuropa, HLQ wird mehrsprachig validiert, Instrument selbst systemunabhängig</w:t>
      </w:r>
    </w:p>
    <w:p>
      <w:r>
        <w:rPr>
          <w:color w:val="5A7D3A"/>
          <w:sz w:val="18"/>
        </w:rPr>
        <w:t>https://pubmed.ncbi.nlm.nih.gov/42796406/</w:t>
      </w:r>
    </w:p>
    <w:p>
      <w:pPr>
        <w:pStyle w:val="Heading2"/>
      </w:pPr>
      <w:r>
        <w:t>Ernährungskompetenz in der Onkologie bessert Verhalten und Lebensqualität</w:t>
      </w:r>
    </w:p>
    <w:p>
      <w:r>
        <w:rPr>
          <w:i/>
          <w:color w:val="666666"/>
          <w:sz w:val="18"/>
        </w:rPr>
        <w:t>Monaci M et al.  ·  Nutr Cancer  ·  24.09.2026  ·  PMID 42784715</w:t>
      </w:r>
    </w:p>
    <w:p>
      <w:r>
        <w:t>Systematischer Review: 19 Studien (2013–2025) zu Ernährungs- und Lebensmittelkompetenz bei krebskranken Erwachsenen und Assoziation mit klinischen und Verhaltensergebnissen.</w:t>
      </w:r>
    </w:p>
    <w:p>
      <w:r>
        <w:rPr>
          <w:b/>
        </w:rPr>
        <w:t xml:space="preserve">Ergebnis: </w:t>
      </w:r>
      <w:r>
        <w:t>Höhere Ernährungskompetenz konsistent assoziiert mit: besseren Ernährungsverhalten, verbesserter Diätqualität, besserer Ernährungsstatus und höherer Lebensqualität sowie gestärktem Selbstmanagement. Interventionsstudien: Alphabetisierungs-fokussierte Ernährungsedukation reduzierte therapiebezogene Symptome und psychosoziale Belastung; begrenzte Evidenz für reduzierte Inanspruchnahme.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Mehrheitlich europäische und nordamerikanische Studien, Konzept direkt auf deutsche Krebszentren übertragbar</w:t>
      </w:r>
    </w:p>
    <w:p>
      <w:r>
        <w:rPr>
          <w:color w:val="5A7D3A"/>
          <w:sz w:val="18"/>
        </w:rPr>
        <w:t>https://pubmed.ncbi.nlm.nih.gov/42784715/</w:t>
      </w:r>
    </w:p>
    <w:p>
      <w:pPr>
        <w:pStyle w:val="Heading2"/>
      </w:pPr>
      <w:r>
        <w:t>Patienten als Forschungspartner: Kokreation in der Entzündungsmyopathie-Forschung</w:t>
      </w:r>
    </w:p>
    <w:p>
      <w:r>
        <w:rPr>
          <w:i/>
          <w:color w:val="666666"/>
          <w:sz w:val="18"/>
        </w:rPr>
        <w:t>Cheng K et al.  ·  Curr Opin Rheumatol  ·  01.11.2026  ·  PMID 42682164</w:t>
      </w:r>
    </w:p>
    <w:p>
      <w:r>
        <w:t>Narrative Review zum Stand der Patient Research Partner (PRP) Integration in Myositis-Forschung und kritische Analyse bestehender Beteiligungsmodelle.</w:t>
      </w:r>
    </w:p>
    <w:p>
      <w:r>
        <w:rPr>
          <w:b/>
        </w:rPr>
        <w:t xml:space="preserve">Ergebnis: </w:t>
      </w:r>
      <w:r>
        <w:t>Kernbefund: Frühe Integration von Patienten als Co-Leader verbessert Relevanz, Machbarkeit und Impact von Forschung; aktuelle Integration bleibt weltweit inkonsistent. Bestehende Ressourcen vorhanden, aber wirkliche PRP-Integration erfordert kulturellen Wandel und dedizierte Ressourcen.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Patient-Advocacy-Strukturen, EULAR-Rahmen direkt anwendbar</w:t>
      </w:r>
    </w:p>
    <w:p>
      <w:r>
        <w:rPr>
          <w:color w:val="5A7D3A"/>
          <w:sz w:val="18"/>
        </w:rPr>
        <w:t>https://pubmed.ncbi.nlm.nih.gov/42682164/</w:t>
      </w:r>
    </w:p>
    <w:p>
      <w:pPr>
        <w:pStyle w:val="Heading2"/>
      </w:pPr>
      <w:r>
        <w:t>eHealth-Kompetenz in Amharisch validiert: Erster Test in subsaharischem Afrika</w:t>
      </w:r>
    </w:p>
    <w:p>
      <w:r>
        <w:rPr>
          <w:i/>
          <w:color w:val="666666"/>
          <w:sz w:val="18"/>
        </w:rPr>
        <w:t>Meng G et al.  ·  J Med Internet Res  ·  16.07.2026  ·  PMID 42462181</w:t>
      </w:r>
    </w:p>
    <w:p>
      <w:r>
        <w:t>Psychometrische Validierung der sieben-faktoriellen eHealth Literacy Questionnaire (eHLQ) ins Amharische an 300 Patienten in Äthiopien mit Internetmobilität.</w:t>
      </w:r>
    </w:p>
    <w:p>
      <w:r>
        <w:rPr>
          <w:b/>
        </w:rPr>
        <w:t xml:space="preserve">Ergebnis: </w:t>
      </w:r>
      <w:r>
        <w:t>Akzeptable bis gute interne Konsistenz (Cronbach's α = 0,72–0,91, außer Skala 4: α = 0,62). Sieben-Faktor-Modell gutes Fit (CFI = 0,97; TLI = 0,97; SRMR = 0,07). Konvergente Validität: starke Korrelationen Skalen 1–3 mit eHEALS (r = 0,69–0,74).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Low-Income-Setting, eHLQ-Instrument kulturübergreifend, aber Internetprävalenz-Voraussetzung relevant</w:t>
      </w:r>
    </w:p>
    <w:p>
      <w:r>
        <w:rPr>
          <w:color w:val="5A7D3A"/>
          <w:sz w:val="18"/>
        </w:rPr>
        <w:t>https://pubmed.ncbi.nlm.nih.gov/42462181/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