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07.09.2026  |  6 Studien  |  healthliteracy.m-vf.de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Co-designed, verständliche Patientenbroschüre zu Hallux valgus</w:t>
      </w:r>
    </w:p>
    <w:p>
      <w:r>
        <w:rPr>
          <w:i/>
          <w:color w:val="666666"/>
          <w:sz w:val="18"/>
        </w:rPr>
        <w:t>Cotchett M et al.  ·  Musculoskeletal Care  ·  Sept. 2026  ·  PMID 42701204</w:t>
      </w:r>
    </w:p>
    <w:p>
      <w:r>
        <w:t>Co-Design-Prozess mit 6 Fachpersonen und 2 Patienten (Phase 1) sowie 5 Fachpersonen und 10 Patienten (Phase 2) zur Entwicklung einer evidenzbasierten, lesbaren Patienteninfo zu Hallux valgus.</w:t>
      </w:r>
    </w:p>
    <w:p>
      <w:r>
        <w:rPr>
          <w:b/>
        </w:rPr>
        <w:t xml:space="preserve">Ergebnis: </w:t>
      </w:r>
      <w:r>
        <w:t>Finale Broschüre erreichte Lesbarkeitsstandard für 9–10-Jährige (Flesch-Kincaid Leseklasse unter 7); ausgewogene Information über konservative und operative Optionen mit Transparenz zu begrenzte Evidenz; visuelle Unterstützung und Barrierefreiheit integriert; Nutzer:innen betonten Klarheit, Relevanz, Zugänglichkeit.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anglophones System – Methode auf deutschsprachige Kontexte direkt übertragbar</w:t>
      </w:r>
    </w:p>
    <w:p>
      <w:r>
        <w:rPr>
          <w:color w:val="5A7D3A"/>
          <w:sz w:val="18"/>
        </w:rPr>
        <w:t>https://pubmed.ncbi.nlm.nih.gov/42701204/</w:t>
      </w:r>
    </w:p>
    <w:p>
      <w:pPr>
        <w:pStyle w:val="Heading2"/>
      </w:pPr>
      <w:r>
        <w:t>Qualität und Zuverlässigkeit von Osteoporose-Info auf Kurzvideo-Plattformen</w:t>
      </w:r>
    </w:p>
    <w:p>
      <w:r>
        <w:rPr>
          <w:i/>
          <w:color w:val="666666"/>
          <w:sz w:val="18"/>
        </w:rPr>
        <w:t>Shi Y et al.  ·  BMC Public Health  ·  28.08.2026  ·  PMID 42701203</w:t>
      </w:r>
    </w:p>
    <w:p>
      <w:r>
        <w:t>Analyse von 300 Osteoporose-Videos (100 je von TikTok, RedNote, Bilibili) nach Qualität (GQS, mDISCERN, JAMA) und Engagement-Metriken in China.</w:t>
      </w:r>
    </w:p>
    <w:p>
      <w:r>
        <w:rPr>
          <w:b/>
        </w:rPr>
        <w:t xml:space="preserve">Ergebnis: </w:t>
      </w:r>
      <w:r>
        <w:t>Bilibili hatte höchste mDISCERN- und JAMA-Verteilungen; RedNote niedrigste GQS. Signifikante Plattformunterschiede: GQS H(2) = 39,878 p &lt; 0,001; mDISCERN H(2) = 20,453 p &lt; 0,001; JAMA H(2) = 9,651 p = 0,008. Institutionen höhere JAMA-Scores als andere; kein Zusammenhang zwischen Popularität (Engagement) und Glaubwürdigkeit (alle |ρ| &lt; 0,10). Gesamtqualität suboptimal und plattformabhängig variabel.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social-media-spezifisch – Erkenntnisse zur Informationsqualität auf Plattformen übertragbar</w:t>
      </w:r>
    </w:p>
    <w:p>
      <w:r>
        <w:rPr>
          <w:color w:val="5A7D3A"/>
          <w:sz w:val="18"/>
        </w:rPr>
        <w:t>https://pubmed.ncbi.nlm.nih.gov/42701203/</w:t>
      </w:r>
    </w:p>
    <w:p>
      <w:pPr>
        <w:pStyle w:val="Heading2"/>
      </w:pPr>
      <w:r>
        <w:t>Patientenbeteiligung in interprofessioneller Ausbildung: Barrieren und Erfolgsbedingungen</w:t>
      </w:r>
    </w:p>
    <w:p>
      <w:r>
        <w:rPr>
          <w:i/>
          <w:color w:val="666666"/>
          <w:sz w:val="18"/>
        </w:rPr>
        <w:t>Bosveld MH et al.  ·  Perspect Med Educ  ·  04.09.2026  ·  PMID 42699199</w:t>
      </w:r>
    </w:p>
    <w:p>
      <w:r>
        <w:t>Qualitative Analyse der Erfahrungen von Studierenden, Lehrenden und Patientenvertreter:innen aus vier europäischen Ländern mit Patient und Public Involvement (PPI) in der interprofessionellen Ausbildung (IPE).</w:t>
      </w:r>
    </w:p>
    <w:p>
      <w:r>
        <w:rPr>
          <w:b/>
        </w:rPr>
        <w:t xml:space="preserve">Ergebnis: </w:t>
      </w:r>
      <w:r>
        <w:t>15 Fokusgruppen mit 27 Lehrenden, 27 Studierenden und 24 Patientenvertreter:innen identifizierten zentrale Erfolgsfaktoren: Institutionelle Unterstützung und gleichberechtigte Wertschätzung von PPI neben Fachinhalten essentiell; PPI half Studierenden, Theorie und Praxis zu verbinden und reduzierte berufliche Hierarchien. Barriere: Mangelnde institutionelle Ressourcen trotz rhetorischer Befürwortung.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Mehrere europäische Länder (Niederlande, Belgien, Portugal, Slowenien) – unmittelbar anwendbar</w:t>
      </w:r>
    </w:p>
    <w:p>
      <w:r>
        <w:rPr>
          <w:color w:val="5A7D3A"/>
          <w:sz w:val="18"/>
        </w:rPr>
        <w:t>https://pubmed.ncbi.nlm.nih.gov/42699199/</w:t>
      </w:r>
    </w:p>
    <w:p>
      <w:pPr>
        <w:pStyle w:val="Heading2"/>
      </w:pPr>
      <w:r>
        <w:t>Große Sprachmodelle für Diabetes-Patient:innenbildung: Qualität und Verständlichkeit</w:t>
      </w:r>
    </w:p>
    <w:p>
      <w:r>
        <w:rPr>
          <w:i/>
          <w:color w:val="666666"/>
          <w:sz w:val="18"/>
        </w:rPr>
        <w:t>Huang Z et al.  ·  Front Public Health  ·  19.08.2026  ·  PMID 42688778</w:t>
      </w:r>
    </w:p>
    <w:p>
      <w:r>
        <w:t>Bewertung von ChatGPT-4.1, Claude-4.0, DeepSeek-V3 und ERNIE Bot 4.5 auf 124 Fragen zu Typ-2-Diabetes nach chinesischen Klinikleitlinien (CLEAR- und PEMAT-P-Instrumente).</w:t>
      </w:r>
    </w:p>
    <w:p>
      <w:r>
        <w:rPr>
          <w:b/>
        </w:rPr>
        <w:t xml:space="preserve">Ergebnis: </w:t>
      </w:r>
      <w:r>
        <w:t>Alle vier Modelle erreichten "sehr gute" CLEAR-Gesamtscores (19–25), ohne signifikante Unterschiede (χ² = 1,985, p = 0,576). Claude-4.0 niedrigste Vollständigkeit, höchste Angemessenheit; ChatGPT-4.1 höchste Verständlichkeit (Median 91,91%, IQR 91,91–100%). Nur ERNIE Bot überschritt 70%-Schwelle für Umsetzbarkeit (Median 75%). Limitation: Alle Modelle zeigten Mängel in Handlungsanleitungen und Konsistenz.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sprachgebunden, Validierung für deutschsprachige Kontexte notwendig</w:t>
      </w:r>
    </w:p>
    <w:p>
      <w:r>
        <w:rPr>
          <w:color w:val="5A7D3A"/>
          <w:sz w:val="18"/>
        </w:rPr>
        <w:t>https://pubmed.ncbi.nlm.nih.gov/42688778/</w:t>
      </w:r>
    </w:p>
    <w:p>
      <w:pPr>
        <w:pStyle w:val="Heading2"/>
      </w:pPr>
      <w:r>
        <w:t>Gesundheitskompetenz von Migranteneltern durch Co-Design fördern</w:t>
      </w:r>
    </w:p>
    <w:p>
      <w:r>
        <w:rPr>
          <w:i/>
          <w:color w:val="666666"/>
          <w:sz w:val="18"/>
        </w:rPr>
        <w:t>Macintyre AK et al.  ·  BMC Health Serv Res  ·  12.06.2026  ·  PMID 42286543</w:t>
      </w:r>
    </w:p>
    <w:p>
      <w:r>
        <w:t>Zweiphasiger Co-Creation-Prozess mit 14 Migranteneltern und 59 Fachpersonen zur Entwicklung einer Maßnahme, um Elterngesundheitskompetenz zu stärken – Fokus auf kommunale Zentren in Oslo.</w:t>
      </w:r>
    </w:p>
    <w:p>
      <w:r>
        <w:rPr>
          <w:b/>
        </w:rPr>
        <w:t xml:space="preserve">Ergebnis: </w:t>
      </w:r>
      <w:r>
        <w:t>302 Ideen wurden auf 22 reduziert und durch Nutzervertreter:innen priorisiert. Ergebnis: Mehrsprachige animierte Videos zur Klinikerklärung, entwickelt über fünf iterative Qualitätsverbesserungszyklen mit 43 Nutzer:innen. Videos gebrauchsfertig und in klinischen Pilottests verwendbar.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europäisches Sozialversicherungssystem – Methode auf diverse Sprachgruppen übertragbar</w:t>
      </w:r>
    </w:p>
    <w:p>
      <w:r>
        <w:rPr>
          <w:color w:val="5A7D3A"/>
          <w:sz w:val="18"/>
        </w:rPr>
        <w:t>https://pubmed.ncbi.nlm.nih.gov/42286543/</w:t>
      </w:r>
    </w:p>
    <w:p>
      <w:pPr>
        <w:pStyle w:val="Heading2"/>
      </w:pPr>
      <w:r>
        <w:t>Shared Decision Making in MS-Therapie: Implementierung eines Entscheidungs-Coachings</w:t>
      </w:r>
    </w:p>
    <w:p>
      <w:r>
        <w:rPr>
          <w:i/>
          <w:color w:val="666666"/>
          <w:sz w:val="18"/>
        </w:rPr>
        <w:t>Wiechel NC et al.  ·  Mult Scler Relat Disord  ·  07.06.2026  ·  PMID 42276023</w:t>
      </w:r>
    </w:p>
    <w:p>
      <w:r>
        <w:t>Implementierungsstudie eines interprofessionellen Entscheidungs-Support-Programms (DECIMS) mit Nurse-Coaching, Online-Wissenswerkzeug und ärztlicher Beratung für Menschen mit MS bei Immuntherapie-Entscheidungen.</w:t>
      </w:r>
    </w:p>
    <w:p>
      <w:r>
        <w:rPr>
          <w:b/>
        </w:rPr>
        <w:t xml:space="preserve">Ergebnis: </w:t>
      </w:r>
      <w:r>
        <w:t>Von 105 Patienten bewerteten 45% das Nurse-Coaching als hilfreichstes Element; 58% bevorzugten autonome Rollen. Ärztliche und Patientenentscheidungen stimmten in 77% überein; 49% begannen Immuntherapie, 30% wählten Beobachten. &gt;80% berichteten besseres Verständnis, &gt;80% fühlten sich nicht verstört durch Unsicherheiten. Implementierung erfolgreich und nachhaltig.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(Universitätsmedizin Hamburg-Eppendorf), vergleichbare Universitätsklinika</w:t>
      </w:r>
    </w:p>
    <w:p>
      <w:r>
        <w:rPr>
          <w:color w:val="5A7D3A"/>
          <w:sz w:val="18"/>
        </w:rPr>
        <w:t>https://pubmed.ncbi.nlm.nih.gov/42276023/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