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 und Health Literacy</w:t>
      </w:r>
    </w:p>
    <w:p>
      <w:r>
        <w:rPr>
          <w:i/>
          <w:color w:val="666666"/>
          <w:sz w:val="18"/>
        </w:rPr>
        <w:t>Stand: 01.10.2026  |  5 Studien  |  healthliteracy.m-vf.de</w:t>
      </w:r>
    </w:p>
    <w:p>
      <w:pPr>
        <w:pStyle w:val="Heading1"/>
      </w:pPr>
      <w:r>
        <w:t>Aufgenommen am 01.10.2026</w:t>
      </w:r>
    </w:p>
    <w:p>
      <w:pPr>
        <w:pStyle w:val="Heading2"/>
      </w:pPr>
      <w:r>
        <w:t>Digitale Glukose-Überwachung: Höheres Engagement senkt HbA1c stärker ab</w:t>
      </w:r>
    </w:p>
    <w:p>
      <w:r>
        <w:rPr>
          <w:i/>
          <w:color w:val="666666"/>
          <w:sz w:val="18"/>
        </w:rPr>
        <w:t>Huang Y et al.  ·  JMIR Form Res  ·  30.09.2026  ·  PMID 42814765</w:t>
      </w:r>
    </w:p>
    <w:p>
      <w:r>
        <w:t>Retrospektive Kohortenstudie mit 1.436 Patienten mit Typ-2-Diabetes in einem integrierten Telemedizin-Programm zur Dosis-Wirkungs-Beziehung zwischen Monitoring-Häufigkeit und Blutzuckerkontrolle.</w:t>
      </w:r>
    </w:p>
    <w:p>
      <w:r>
        <w:rPr>
          <w:b/>
        </w:rPr>
        <w:t xml:space="preserve">Ergebnis: </w:t>
      </w:r>
      <w:r>
        <w:t>Dosisabhängiger Effekt: Für jede zusätzliche wöchentliche Messung sank HbA1c um 0,05 Prozentpunkte (95% KI 0,03–0,07, p&lt;0,001). Bei hohem Engagement (12,59 Messungen/Woche) reduzierte sich HbA1c um 1,01 Punkte vs. 0,38 bei niedrigem Engagement (2,55 Messungen/Woche).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Engagement-Effekt unabhängig von Gesundheitssystem übertragbar</w:t>
      </w:r>
    </w:p>
    <w:p>
      <w:r>
        <w:rPr>
          <w:color w:val="5A7D3A"/>
          <w:sz w:val="18"/>
        </w:rPr>
        <w:t>https://pubmed.ncbi.nlm.nih.gov/42814765/</w:t>
      </w:r>
    </w:p>
    <w:p>
      <w:pPr>
        <w:pStyle w:val="Heading2"/>
      </w:pPr>
      <w:r>
        <w:t>Strukturierte Fragen erhöhen Patientenerinnerung im Operationsgespräch deutlich</w:t>
      </w:r>
    </w:p>
    <w:p>
      <w:r>
        <w:rPr>
          <w:i/>
          <w:color w:val="666666"/>
          <w:sz w:val="18"/>
        </w:rPr>
        <w:t>Herath M et al.  ·  BJS Open  ·  04.09.2026  ·  PMID 42814592</w:t>
      </w:r>
    </w:p>
    <w:p>
      <w:r>
        <w:t>Randomisierte kontrollierte Studie mit 143 Patienten zur Wirkung eines Arbeitsblatts mit vorbereiteten Fragen auf das Verständnis und die Erinnerung an Informationen in der chirurgischen Sprechstunde.</w:t>
      </w:r>
    </w:p>
    <w:p>
      <w:r>
        <w:rPr>
          <w:b/>
        </w:rPr>
        <w:t xml:space="preserve">Ergebnis: </w:t>
      </w:r>
      <w:r>
        <w:t>Patienten mit POWER-Formular erreichten 88% Erinnerungsquote (95% KI 83–92) vs. 31% (26–35) in der Kontrolle (p&lt;0,001). Diese einfache Maßnahme zur strukturierten Patientenbeteiligung verdreifachte nachweislich die Informationsverarbeitung.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übertragbar auf deutsches Krankenhaus- und Praxissystem ohne Sprachbarrieren</w:t>
      </w:r>
    </w:p>
    <w:p>
      <w:r>
        <w:rPr>
          <w:color w:val="5A7D3A"/>
          <w:sz w:val="18"/>
        </w:rPr>
        <w:t>https://pubmed.ncbi.nlm.nih.gov/42814592/</w:t>
      </w:r>
    </w:p>
    <w:p>
      <w:pPr>
        <w:pStyle w:val="Heading2"/>
      </w:pPr>
      <w:r>
        <w:t>Fast die Hälfte der Krebspfleger haben zu niedrige Gesundheitskompetenz</w:t>
      </w:r>
    </w:p>
    <w:p>
      <w:r>
        <w:rPr>
          <w:i/>
          <w:color w:val="666666"/>
          <w:sz w:val="18"/>
        </w:rPr>
        <w:t>Meng F et al.  ·  Front Public Health  ·  15.09.2026  ·  PMID 42812369</w:t>
      </w:r>
    </w:p>
    <w:p>
      <w:r>
        <w:t>Querschnittstudie mit 287 Angehörigen von Krebspatienten zur Gesundheitskompetenz von Familien-Pflegepersonen und ihren Einflussfaktoren mittels latenter Profilanalyse.</w:t>
      </w:r>
    </w:p>
    <w:p>
      <w:r>
        <w:rPr>
          <w:b/>
        </w:rPr>
        <w:t xml:space="preserve">Ergebnis: </w:t>
      </w:r>
      <w:r>
        <w:t>49,8% der Pfleger zeigten niedrige, 25,4% mittlere und 24,7% hohe Gesundheitskompetenz. Schwächste Dimension: "Verarbeitung von Gesundheitsinformation" (Median 12 von max. Punktzahl). Prädiktoren: höheres Alter (OR 9,4), höhere Bildung (OR 0,50) und Berufstätigkeit (OR 0,12) waren signifikant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China-Studie, Befunde zu Pflegerkompetenz-Defiziten international relevant</w:t>
      </w:r>
    </w:p>
    <w:p>
      <w:r>
        <w:rPr>
          <w:color w:val="5A7D3A"/>
          <w:sz w:val="18"/>
        </w:rPr>
        <w:t>https://pubmed.ncbi.nlm.nih.gov/42812369/</w:t>
      </w:r>
    </w:p>
    <w:p>
      <w:pPr>
        <w:pStyle w:val="Heading2"/>
      </w:pPr>
      <w:r>
        <w:t>Junge Erwachsene verstehen Zusammenhang zwischen STI und Fertilität nicht</w:t>
      </w:r>
    </w:p>
    <w:p>
      <w:r>
        <w:rPr>
          <w:i/>
          <w:color w:val="666666"/>
          <w:sz w:val="18"/>
        </w:rPr>
        <w:t>Romane N et al.  ·  SAHARA J  ·  28.09.2026  ·  PMID 42802983</w:t>
      </w:r>
    </w:p>
    <w:p>
      <w:r>
        <w:t>Qualitative Studie mit 17 Interviews junger Erwachsener (18–24 Jahre) zur Gesundheitskompetenz bei sexuellen Infektionen und deren Folgen für Fortpflanzung in Südafrika.</w:t>
      </w:r>
    </w:p>
    <w:p>
      <w:r>
        <w:rPr>
          <w:b/>
        </w:rPr>
        <w:t xml:space="preserve">Ergebnis: </w:t>
      </w:r>
      <w:r>
        <w:t>Zentrale Befunde: Große Wissenslücken zur Verbindung zwischen STI und Unfruchtbarkeit; fehlende Krankheitsbewusstsein; eingeschränkte Nutzung von Gesundheitsdiensten wegen mangelndem Verständnis von Risiken. Empfehlung: Maßgeschneiderte Gesundheitserziehung mit lokalem Bezug zu sexuellem und reproduktivem Verhalten.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Südafrika, Evidenz für Ungleichheit in der Gesundheitskompetenz bei jungen Menschen</w:t>
      </w:r>
    </w:p>
    <w:p>
      <w:r>
        <w:rPr>
          <w:color w:val="5A7D3A"/>
          <w:sz w:val="18"/>
        </w:rPr>
        <w:t>https://pubmed.ncbi.nlm.nih.gov/42802983/</w:t>
      </w:r>
    </w:p>
    <w:p>
      <w:pPr>
        <w:pStyle w:val="Heading2"/>
      </w:pPr>
      <w:r>
        <w:t>Glaukom-Patienten in Deutschland fühlen sich unzureichend aufgeklärt</w:t>
      </w:r>
    </w:p>
    <w:p>
      <w:r>
        <w:rPr>
          <w:i/>
          <w:color w:val="666666"/>
          <w:sz w:val="18"/>
        </w:rPr>
        <w:t>Joachim SC et al.  ·  Ophthalmologie  ·  15.07.2026  ·  PMID 42455350</w:t>
      </w:r>
    </w:p>
    <w:p>
      <w:r>
        <w:t>Querschnittsumfrage mit 334 Glaukom-Patienten zur Aufklärungsqualität über Erkrankung, Therapieoptionen und Nebenwirkungen durch Augenfachleute.</w:t>
      </w:r>
    </w:p>
    <w:p>
      <w:r>
        <w:rPr>
          <w:b/>
        </w:rPr>
        <w:t xml:space="preserve">Ergebnis: </w:t>
      </w:r>
      <w:r>
        <w:t>Nur 15,5% der Patienten fühlten sich sehr gut aufgeklärt, 40,1% unzureichend. Informationslücken zu Tropfen, Nebenwirkungen und Behandlungsoptionen waren verbreitet; 89,5% wussten aber wie man Tropfen anwendet, nur ca. 50% konnten Therapieänderungen mit dem Arzt besprechen.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 mit direkter Relevanz für Patientenedukation vor Ort</w:t>
      </w:r>
    </w:p>
    <w:p>
      <w:r>
        <w:rPr>
          <w:color w:val="5A7D3A"/>
          <w:sz w:val="18"/>
        </w:rPr>
        <w:t>https://pubmed.ncbi.nlm.nih.gov/42455350/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 und Health Literacy</dc:title>
  <dc:subject/>
  <dc:creator>Monitor Versorgungsforschung</dc:creator>
  <cp:keywords/>
  <dc:description>generated by python-docx</dc:description>
  <cp:lastModifiedBy/>
  <cp:revision>1</cp:revision>
  <dcterms:created xsi:type="dcterms:W3CDTF">2026-10-01T06:00:00Z</dcterms:created>
  <dcterms:modified xsi:type="dcterms:W3CDTF">2026-10-01T06:00:00Z</dcterms:modified>
  <cp:category/>
</cp:coreProperties>
</file>