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13.09.2026  |  6 Studien  |  healthliteracy.m-vf.de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Physiotherapie-Schulung senkt Hüftschmerz bei Sehnenpatholgie um klinisch relevante Werte</w:t>
      </w:r>
    </w:p>
    <w:p>
      <w:r>
        <w:rPr>
          <w:i/>
          <w:color w:val="666666"/>
          <w:sz w:val="18"/>
        </w:rPr>
        <w:t>Høgsholt M et al.  ·  BMJ Open  ·  11.09.2026  ·  PMID 42727969</w:t>
      </w:r>
    </w:p>
    <w:p>
      <w:r>
        <w:t>Prospektive Kohorte mit 60 Frauen mit MRT-verifizierter Glutealsehnenpathologie, die 3 Monate Physiotherapie mit Patientenschulung und Heimübungen erhielten.</w:t>
      </w:r>
    </w:p>
    <w:p>
      <w:r>
        <w:rPr>
          <w:b/>
        </w:rPr>
        <w:t xml:space="preserve">Ergebnis: </w:t>
      </w:r>
      <w:r>
        <w:t>85 % Trainingsadherenzen. HAGOS-Schmerzsubskala verbesserte sich von 46,4 auf 60,1 (Mittelwert mit 95%-KI 54,4–65,7); klinisch relevante Verbesserungen in sekundären Outcomes sowie Kraft und Mobilitätstests.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öffentliches Gesundheitssystem – Vergleichbar mit deutschem Versorgungsauftrag</w:t>
      </w:r>
    </w:p>
    <w:p>
      <w:r>
        <w:rPr>
          <w:color w:val="5A7D3A"/>
          <w:sz w:val="18"/>
        </w:rPr>
        <w:t>https://pubmed.ncbi.nlm.nih.gov/42727969/</w:t>
      </w:r>
    </w:p>
    <w:p>
      <w:pPr>
        <w:pStyle w:val="Heading2"/>
      </w:pPr>
      <w:r>
        <w:t>Patientenpräferenzen für Diabetesschulung: Warum lehnen Patienten Gruppenunterricht ab?</w:t>
      </w:r>
    </w:p>
    <w:p>
      <w:r>
        <w:rPr>
          <w:i/>
          <w:color w:val="666666"/>
          <w:sz w:val="18"/>
        </w:rPr>
        <w:t>Andersson S et al.  ·  Int J Qual Stud Health Well-being  ·  31.12.2026  ·  PMID 42726907</w:t>
      </w:r>
    </w:p>
    <w:p>
      <w:r>
        <w:t>Qualitative Studie mit 18 Patienten, die eine Gruppenediktion zum Typ-2-Diabetes in der schwedischen Primärversorgung abgelehnt hatten, zur Erfassung ihrer Gründe und Vorstellungen.</w:t>
      </w:r>
    </w:p>
    <w:p>
      <w:r>
        <w:rPr>
          <w:b/>
        </w:rPr>
        <w:t xml:space="preserve">Ergebnis: </w:t>
      </w:r>
      <w:r>
        <w:t>Drei unterschiedliche Konzeptionen: Patienten ohne Bedarf bevorzugten individuelles Lernen; andere erkannten Vorteile, benannten aber Barrieren wie inflexible Zeitpläne; wiederum andere schätzten reflektive, unterstützende Umgebungen und gemeinsame Erfahrungen. Flexible, personenzentrierte Ansätze sind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Primärversorgungssystem – Gatekeeping-Struktur nicht auf Deutschland übertragbar</w:t>
      </w:r>
    </w:p>
    <w:p>
      <w:r>
        <w:rPr>
          <w:color w:val="5A7D3A"/>
          <w:sz w:val="18"/>
        </w:rPr>
        <w:t>https://pubmed.ncbi.nlm.nih.gov/42726907/</w:t>
      </w:r>
    </w:p>
    <w:p>
      <w:pPr>
        <w:pStyle w:val="Heading2"/>
      </w:pPr>
      <w:r>
        <w:t>Schulungsmodell KAP senkt Blutdruck und hebt Therapietreue bei Hypertonie</w:t>
      </w:r>
    </w:p>
    <w:p>
      <w:r>
        <w:rPr>
          <w:i/>
          <w:color w:val="666666"/>
          <w:sz w:val="18"/>
        </w:rPr>
        <w:t>Duan J et al.  ·  Braz J Med Biol Res  ·  07.09.2026  ·  PMID 42715468</w:t>
      </w:r>
    </w:p>
    <w:p>
      <w:r>
        <w:t>Randomisierte Kontrollstudie mit 200 Hypertonikern, davon 100 mit informationsgestütztem Gesundheitsmanagement plus Knowledge-Attitude-Practice (KAP)-Schulung versus Kontrolle mit Standard.</w:t>
      </w:r>
    </w:p>
    <w:p>
      <w:r>
        <w:rPr>
          <w:b/>
        </w:rPr>
        <w:t xml:space="preserve">Ergebnis: </w:t>
      </w:r>
      <w:r>
        <w:t>Blutdruckkontrollrate Intervention 78 % vs. Kontrolle 61 % (p&lt;0,05). Systolischer/diastolischer Blutdruck nach Intervention niedriger (p&lt;0,05). Medikamentenadhärenz, Selbstmanagement, Gesundheitsverhalten und Lebensqualität höher in Interventionsgruppe (p&lt;0,05). Patientenzufriedenheit höher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Unterschiedliche Bildungs- und Gesundheitssysteme, aber KAP-Prinzipien prinzipiell universell anwendbar</w:t>
      </w:r>
    </w:p>
    <w:p>
      <w:r>
        <w:rPr>
          <w:color w:val="5A7D3A"/>
          <w:sz w:val="18"/>
        </w:rPr>
        <w:t>https://pubmed.ncbi.nlm.nih.gov/42715468/</w:t>
      </w:r>
    </w:p>
    <w:p>
      <w:pPr>
        <w:pStyle w:val="Heading2"/>
      </w:pPr>
      <w:r>
        <w:t>Wie treffen Onkologen Therapieentscheidungen in komplexen Situationen?</w:t>
      </w:r>
    </w:p>
    <w:p>
      <w:r>
        <w:rPr>
          <w:i/>
          <w:color w:val="666666"/>
          <w:sz w:val="18"/>
        </w:rPr>
        <w:t>Larsson K et al.  ·  Patient Educ Couns  ·  25.07.2026  ·  PMID 42520597</w:t>
      </w:r>
    </w:p>
    <w:p>
      <w:r>
        <w:t>Qualitative Studie mit 12 schwedischen Fachleuten zur Erfassung ihrer Erfahrungen bei der Therapieauswahl in späten Linien bei metastasiertem Brustkrebs unter Bedingungen unklarer Evidenz.</w:t>
      </w:r>
    </w:p>
    <w:p>
      <w:r>
        <w:rPr>
          <w:b/>
        </w:rPr>
        <w:t xml:space="preserve">Ergebnis: </w:t>
      </w:r>
      <w:r>
        <w:t>Fünf Themen: Ärzte nutzen Fachkompetenz und Erfahrung, laden Patienten zur Partizipation ein, unterstützen autonome Entscheidungen und holen kollegiale Ratschläge ein. Ärzte sind aktive Entscheidungsträger, nicht neutrale Vermittler; sie teilen ihre Wertungen mit und tragen Verantwortung.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Universitätskliniken – Teilweise auf deutsche Versorgung übertragbar</w:t>
      </w:r>
    </w:p>
    <w:p>
      <w:r>
        <w:rPr>
          <w:color w:val="5A7D3A"/>
          <w:sz w:val="18"/>
        </w:rPr>
        <w:t>https://pubmed.ncbi.nlm.nih.gov/42520597/</w:t>
      </w:r>
    </w:p>
    <w:p>
      <w:pPr>
        <w:pStyle w:val="Heading2"/>
      </w:pPr>
      <w:r>
        <w:t>Gesundheitskompetenz bei älteren Patienten mit Herz-Kreislauf-Erkrankungen: Latente Profilanalyse</w:t>
      </w:r>
    </w:p>
    <w:p>
      <w:r>
        <w:rPr>
          <w:i/>
          <w:color w:val="666666"/>
          <w:sz w:val="18"/>
        </w:rPr>
        <w:t>Mestl H  ·  Tidsskr Nor Laegeforen  ·  23.06.2026  ·  PMID 42343611</w:t>
      </w:r>
    </w:p>
    <w:p>
      <w:r>
        <w:t>Querschnittsstudie mit 459 älteren Patienten mit Herz-Kreislauf-Erkrankungen zur Erfassung von eHealth-Literalität und assoziierten Faktoren mittels latenter Profilanalyse.</w:t>
      </w:r>
    </w:p>
    <w:p>
      <w:r>
        <w:rPr>
          <w:b/>
        </w:rPr>
        <w:t xml:space="preserve">Ergebnis: </w:t>
      </w:r>
      <w:r>
        <w:t>Mittlere eHEALS-Gesamtwerte 25,16 ± 5,59. Drei Gruppen: niedrig (28,3 %), mittel (50,3 %), hoch (21,4 %). Höhere Bildung, häufigere Internetnutzung, regelmäßige Bewegung und wahrgenommene soziale Unterstützung waren positiv assoziiert; hohes Alter und Komorbiditäten negativ.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Demographische und Systemunterschiede, aber Heterogenität eHealth-Literacy universell relevant</w:t>
      </w:r>
    </w:p>
    <w:p>
      <w:r>
        <w:rPr>
          <w:color w:val="5A7D3A"/>
          <w:sz w:val="18"/>
        </w:rPr>
        <w:t>https://pubmed.ncbi.nlm.nih.gov/42343611/</w:t>
      </w:r>
    </w:p>
    <w:p>
      <w:pPr>
        <w:pStyle w:val="Heading2"/>
      </w:pPr>
      <w:r>
        <w:t>Was möchten ältere Patienten bei Intensivmedizin-Entscheidungen beitragen?</w:t>
      </w:r>
    </w:p>
    <w:p>
      <w:r>
        <w:rPr>
          <w:i/>
          <w:color w:val="666666"/>
          <w:sz w:val="18"/>
        </w:rPr>
        <w:t>Schwarz GL et al.  ·  Eur Geriatr Med  ·  18.06.2026  ·  PMID 42315742</w:t>
      </w:r>
    </w:p>
    <w:p>
      <w:r>
        <w:t>Qualitative Querschnittsbefragung mit 202 Patienten ab 80 Jahren und 153 Angehörigen aus Norwegen zu ihrer Rolle bei Entscheidungen bei hypothetischer lebensbedrohlicher Erkrankung.</w:t>
      </w:r>
    </w:p>
    <w:p>
      <w:r>
        <w:rPr>
          <w:b/>
        </w:rPr>
        <w:t xml:space="preserve">Ergebnis: </w:t>
      </w:r>
      <w:r>
        <w:t>Fünf Kategorien: Wissenschaftliches Wissen suchen, persönliches Wissen einbringen, Pflege an Heterogenität älteren Alters anpassen, Entscheidungsprozess verbessern, Sicherheit stärken. Alle Kategorien sind Bewältigungsstrategien für multidimensionale Unsicherheit.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 Versicherungsmedizin – Shared-Decision-Making-Modelle ohne Gatekeeping</w:t>
      </w:r>
    </w:p>
    <w:p>
      <w:r>
        <w:rPr>
          <w:color w:val="5A7D3A"/>
          <w:sz w:val="18"/>
        </w:rPr>
        <w:t>https://pubmed.ncbi.nlm.nih.gov/42315742/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