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20.10.2026  |  361 Studien  |  healthliteracy.m-vf.de</w:t>
      </w:r>
    </w:p>
    <w:p>
      <w:pPr>
        <w:pStyle w:val="Heading1"/>
      </w:pPr>
      <w:r>
        <w:t>Aufgenommen am 20.10.2026</w:t>
      </w:r>
    </w:p>
    <w:p>
      <w:pPr>
        <w:pStyle w:val="Heading2"/>
      </w:pPr>
      <w:r>
        <w:t>Risikokommunikation zu Elektromagnetfeldern: Information reduziert Angst bei vormals stark Besorgten</w:t>
      </w:r>
    </w:p>
    <w:p>
      <w:r>
        <w:rPr>
          <w:i/>
          <w:color w:val="666666"/>
          <w:sz w:val="18"/>
        </w:rPr>
        <w:t>Wen R et al.  ·  Bioelectromagnetics  ·  Okt. 2026  ·  PMID 42895297</w:t>
      </w:r>
    </w:p>
    <w:p>
      <w:r>
        <w:t>Studie zu psychologischen Faktoren bei Angst vor Radiofrequenzfeldern und Effekt von Informationen auf diese Angst; Mehrebenen-Modellierung zur Analyse von Zusammenhängen, Interventionsanalyse zur Prüfung der Wirkung von Informationsbereitstellung.</w:t>
      </w:r>
    </w:p>
    <w:p>
      <w:r>
        <w:rPr>
          <w:b/>
        </w:rPr>
        <w:t xml:space="preserve">Ergebnis: </w:t>
      </w:r>
      <w:r>
        <w:t>Subjektive Expositionswahrnehmung und Vertrauen in diese Wahrnehmung waren unabhängig mit Angst assoziiert. Höhere Sensibilisierung korrelierte mit stärkerer Angst, höheres Faktenwissen dagegen mit geringerer Angst. Informationen erhöhten Angst insgesamt, reduzierten sie jedoch bei initial hoher Besorgnis und beeinflussten Wahrnehmungen, Sensibilisierung und Wissen. Befund zeigt komplexe, nicht-lineare Wirkung von Information auf Angst.</w:t>
      </w:r>
    </w:p>
    <w:p>
      <w:r>
        <w:rPr>
          <w:b/>
          <w:sz w:val="19"/>
        </w:rPr>
        <w:t xml:space="preserve">Übertragbarkeit: </w:t>
      </w:r>
      <w:r>
        <w:rPr>
          <w:sz w:val="19"/>
        </w:rPr>
        <w:t>Japan; Befund zu komplexem Zusammenhang zwischen Wissen und Angst universell relevant</w:t>
      </w:r>
    </w:p>
    <w:p>
      <w:r>
        <w:rPr>
          <w:color w:val="5A7D3A"/>
          <w:sz w:val="18"/>
        </w:rPr>
        <w:t>https://pubmed.ncbi.nlm.nih.gov/42895297/</w:t>
      </w:r>
    </w:p>
    <w:p>
      <w:pPr>
        <w:pStyle w:val="Heading2"/>
      </w:pPr>
      <w:r>
        <w:t>Ernährungskompetenz fördert gesunde Essensgewohnheiten unabhängig von Bildungsstand</w:t>
      </w:r>
    </w:p>
    <w:p>
      <w:r>
        <w:rPr>
          <w:i/>
          <w:color w:val="666666"/>
          <w:sz w:val="18"/>
        </w:rPr>
        <w:t>Jáuregui A et al.  ·  J Hum Nutr Diet  ·  Okt. 2026  ·  PMID 42894392</w:t>
      </w:r>
    </w:p>
    <w:p>
      <w:r>
        <w:t>Studie mit 12.796 Erwachsenen aus Mexiko und USA, die den Zusammenhang zwischen funktionaler Ernährungskompetenz (gemessen an Verständnis von Nährwertkennzeichnungen) und gesundem Essverhalten untersucht.</w:t>
      </w:r>
    </w:p>
    <w:p>
      <w:r>
        <w:rPr>
          <w:b/>
        </w:rPr>
        <w:t xml:space="preserve">Ergebnis: </w:t>
      </w:r>
      <w:r>
        <w:t>Höhere Ernährungskompetenz war über alle Bevölkerungsgruppen hinweg mit verstärkten Bemühungen um gesunde Ernährung assoziiert (adjustierte Odds Ratios 1,07–2,73); Effekte waren bei mexikanischen Amerikanern und Mexikanern stärker (p&lt;0,008). Selbst mit niedrigerer Kompetenz zeigten 50–80% der Befragten Anstrengungen für bessere Ernährung, gegenüber nur 37–65% der weißen US-Amerikaner trotz höherer Kompetenz – Gesundheitskompetenz allein erklärt Verhalten nicht vollständig.</w:t>
      </w:r>
    </w:p>
    <w:p>
      <w:r>
        <w:rPr>
          <w:b/>
          <w:sz w:val="19"/>
        </w:rPr>
        <w:t xml:space="preserve">Übertragbarkeit: </w:t>
      </w:r>
      <w:r>
        <w:rPr>
          <w:sz w:val="19"/>
        </w:rPr>
        <w:t>Querschnittsstudie; Effekt der Nährwertkennzeichnung systemabhängig, aber Befund zu Kompetenz-Verhalten-Lücke universell übertragbar</w:t>
      </w:r>
    </w:p>
    <w:p>
      <w:r>
        <w:rPr>
          <w:color w:val="5A7D3A"/>
          <w:sz w:val="18"/>
        </w:rPr>
        <w:t>https://pubmed.ncbi.nlm.nih.gov/42894392/</w:t>
      </w:r>
    </w:p>
    <w:p>
      <w:pPr>
        <w:pStyle w:val="Heading2"/>
      </w:pPr>
      <w:r>
        <w:t>Sprachgesteuertes Edukations-Tool verbessert Wissen und Selbstmanagement nach Herzintervention im Alter</w:t>
      </w:r>
    </w:p>
    <w:p>
      <w:r>
        <w:rPr>
          <w:i/>
          <w:color w:val="666666"/>
          <w:sz w:val="18"/>
        </w:rPr>
        <w:t>Sun T et al.  ·  J Cardiothorac Surg  ·  22.07.2026  ·  PMID 42894236</w:t>
      </w:r>
    </w:p>
    <w:p>
      <w:r>
        <w:t>Cluster-randomisierte kontrollierte Studie mit 96 älteren Herzpatienten (49 Intervention, 47 Kontrolle): Vergleich einer sprachgesteuerten interaktiven Edukations-App gegenüber gedruckten Materialien.</w:t>
      </w:r>
    </w:p>
    <w:p>
      <w:r>
        <w:rPr>
          <w:b/>
        </w:rPr>
        <w:t xml:space="preserve">Ergebnis: </w:t>
      </w:r>
      <w:r>
        <w:t>Signifikante Interaktionseffekte für Herz-Erkrankungswissen (F=9,026; p&lt;0,001) und Selbstmanagement-Verhalten (F=11,607; p&lt;0,001). Nach 1, 3 und 6 Monaten zeigte die Interventionsgruppe signifikant höhere Wissens- und Verhaltensscores als Kontrolle (F=195,188; p&lt;0,001). Akzeptanzrating sehr hoch (96,04±2,61 Punkte). Wissen sank in beiden Gruppen über Zeit, aber Interventionsgruppe blieb deutlich höher.</w:t>
      </w:r>
    </w:p>
    <w:p>
      <w:r>
        <w:rPr>
          <w:b/>
          <w:sz w:val="19"/>
        </w:rPr>
        <w:t xml:space="preserve">Übertragbarkeit: </w:t>
      </w:r>
      <w:r>
        <w:rPr>
          <w:sz w:val="19"/>
        </w:rPr>
        <w:t>China; vergleichbare Altersstruktur und kardiovaskuläre Versorgung, aber App-Evaluation techniklastig</w:t>
      </w:r>
    </w:p>
    <w:p>
      <w:r>
        <w:rPr>
          <w:color w:val="5A7D3A"/>
          <w:sz w:val="18"/>
        </w:rPr>
        <w:t>https://pubmed.ncbi.nlm.nih.gov/42894236/</w:t>
      </w:r>
    </w:p>
    <w:p>
      <w:pPr>
        <w:pStyle w:val="Heading2"/>
      </w:pPr>
      <w:r>
        <w:t>Health-Literacy-Skala für psychisch Erkrankte in Brasilien validiert: Gute innere Konsistenz und Konstruktvalidität</w:t>
      </w:r>
    </w:p>
    <w:p>
      <w:r>
        <w:rPr>
          <w:i/>
          <w:color w:val="666666"/>
          <w:sz w:val="18"/>
        </w:rPr>
        <w:t>Barbosa MR et al.  ·  Rev Assoc Med Bras (1992)  ·  12.10.2026  ·  PMID 42879581</w:t>
      </w:r>
    </w:p>
    <w:p>
      <w:r>
        <w:t>Psychometrische Validierungsstudie der 14-Item Health Literacy Scale an 444 klinisch stabilen Patienten mit chronischen psychischen Störungen in Brasilien; Prüfung von Reliabilität, faktorieller Struktur und Divergenzvalidität.</w:t>
      </w:r>
    </w:p>
    <w:p>
      <w:r>
        <w:rPr>
          <w:b/>
        </w:rPr>
        <w:t xml:space="preserve">Ergebnis: </w:t>
      </w:r>
      <w:r>
        <w:t>Cronbachs Alpha 0,83 (95%-KI 0,78–0,88), McDonald-Omega 0,75 (95%-KI 0,68–0,83). Akzeptable Fit-Indizes: CFI 0,938, TLI 0,923, NFI 0,904. Divergenzvalidität bestätigt durch schwache Korrelationen (r&lt;0,300) mit Unterstützungsskala. Instrument zeigt adequates Profil zur Erfassung von Gesundheitskompetenz in drei Dimensionen (funktional, kommunikativ, kritisch) bei psychisch Erkrankten.</w:t>
      </w:r>
    </w:p>
    <w:p>
      <w:r>
        <w:rPr>
          <w:b/>
          <w:sz w:val="19"/>
        </w:rPr>
        <w:t xml:space="preserve">Übertragbarkeit: </w:t>
      </w:r>
      <w:r>
        <w:rPr>
          <w:sz w:val="19"/>
        </w:rPr>
        <w:t>Brasilien; psychologische Konstrukte kulturübergreifend, aber deutschsprachige Validierung erforderlich</w:t>
      </w:r>
    </w:p>
    <w:p>
      <w:r>
        <w:rPr>
          <w:color w:val="5A7D3A"/>
          <w:sz w:val="18"/>
        </w:rPr>
        <w:t>https://pubmed.ncbi.nlm.nih.gov/42879581/</w:t>
      </w:r>
    </w:p>
    <w:p>
      <w:pPr>
        <w:pStyle w:val="Heading2"/>
      </w:pPr>
      <w:r>
        <w:t>HIV-Prävention in Schulen: Community-Engagement-Ansatz erreicht 98% Testakzeptanz und senkt Stigma</w:t>
      </w:r>
    </w:p>
    <w:p>
      <w:r>
        <w:rPr>
          <w:i/>
          <w:color w:val="666666"/>
          <w:sz w:val="18"/>
        </w:rPr>
        <w:t>Beloumou Angong OEG et al.  ·  J Int Assoc Provid AIDS Care  ·  08.10.2026  ·  PMID 42849053</w:t>
      </w:r>
    </w:p>
    <w:p>
      <w:r>
        <w:t>Mixed-Methods-Studie 2019–2023 mit 1.203 Schülern und Lehrern aus 45 Orten in Kamerun; Einsatz des Risk Communication and Community Engagement (RCCE)-Rahmens zur HIV-Aufklärung mit Testteilnahme.</w:t>
      </w:r>
    </w:p>
    <w:p>
      <w:r>
        <w:rPr>
          <w:b/>
        </w:rPr>
        <w:t xml:space="preserve">Ergebnis: </w:t>
      </w:r>
      <w:r>
        <w:t>HIV-Test-Akzeptanzrate 98%, regional jedoch unterschiedlich (z. B. 88,9% in Fernen Norden; p&lt;0,0001). HIV-Seroprävalenz 1,4% (95%-KI 0,9–2,3%), höher in ländlichen Gebieten (2,6% vs. urban 0,9%; adjustierte OR 3,0; p=0,032). Höchste Seroprävalenz in der Altersgruppe 30–39 Jahre (6,7%; p=0,0004), persistent nach multivariater Analyse (p=0,003). RCCE-Ansatz förderte starke Community-Beteiligung und mediale Verbreitung evidenzbasierter Information; Befund unterstreicht Bedeutung lokalisierter Kommunikationsstrategien jenseits von Schulung allein.</w:t>
      </w:r>
    </w:p>
    <w:p>
      <w:r>
        <w:rPr>
          <w:b/>
          <w:sz w:val="19"/>
        </w:rPr>
        <w:t xml:space="preserve">Übertragbarkeit: </w:t>
      </w:r>
      <w:r>
        <w:rPr>
          <w:sz w:val="19"/>
        </w:rPr>
        <w:t>Kamerun (Subsahara), Ressourcenlimitierung; Befund zu Kommunikations-Effektivität übertragbar</w:t>
      </w:r>
    </w:p>
    <w:p>
      <w:r>
        <w:rPr>
          <w:color w:val="5A7D3A"/>
          <w:sz w:val="18"/>
        </w:rPr>
        <w:t>https://pubmed.ncbi.nlm.nih.gov/42849053/</w:t>
      </w:r>
    </w:p>
    <w:p>
      <w:pPr>
        <w:pStyle w:val="Heading2"/>
      </w:pPr>
      <w:r>
        <w:t>YouTube-Epilepsie-Videos: Nur 4,5% vermitteln korrekte Behandlungsinformation patientengerecht</w:t>
      </w:r>
    </w:p>
    <w:p>
      <w:r>
        <w:rPr>
          <w:i/>
          <w:color w:val="666666"/>
          <w:sz w:val="18"/>
        </w:rPr>
        <w:t>Elliott TS et al.  ·  JMIR Infodemiology  ·  30.09.2026  ·  PMID 42817079</w:t>
      </w:r>
    </w:p>
    <w:p>
      <w:r>
        <w:t>Analyse von 200 YouTube-Videos zu Anfallsclustern und Rettungsmedikation; Bewertung der Genauigkeit von Anfallsdefinition, FDA-genehmigter Behandlung und korrekter Medikamentendokumentation durch Expertenbewertung.</w:t>
      </w:r>
    </w:p>
    <w:p>
      <w:r>
        <w:rPr>
          <w:b/>
        </w:rPr>
        <w:t xml:space="preserve">Ergebnis: </w:t>
      </w:r>
      <w:r>
        <w:t>Nur 19,5% definierten Anfallscluster korrekt; 37,0% empfahlen FDA-genehmigte Rettungsmedikation, 37,5% nannten gar keine Therapie; 26,5% demonstrierten Medikamentengabe korrekt; nur 4,5% erfüllten alle Kriterien. Suche nach Handelsnamen erbrachte mehr relevante Videos als nach Fachbegriffen. Massive Informationslücke: 80,5% der Videos waren unvollständig oder fehlerhaft.</w:t>
      </w:r>
    </w:p>
    <w:p>
      <w:r>
        <w:rPr>
          <w:b/>
          <w:sz w:val="19"/>
        </w:rPr>
        <w:t xml:space="preserve">Übertragbarkeit: </w:t>
      </w:r>
      <w:r>
        <w:rPr>
          <w:sz w:val="19"/>
        </w:rPr>
        <w:t>USA, aber Befund zu Qualitätsdefiziten in Patient:innen-Videos universell übertragbar</w:t>
      </w:r>
    </w:p>
    <w:p>
      <w:r>
        <w:rPr>
          <w:color w:val="5A7D3A"/>
          <w:sz w:val="18"/>
        </w:rPr>
        <w:t>https://pubmed.ncbi.nlm.nih.gov/42817079/</w:t>
      </w:r>
    </w:p>
    <w:p>
      <w:pPr>
        <w:pStyle w:val="Heading1"/>
      </w:pPr>
      <w:r>
        <w:t>Aufgenommen am 19.10.2026</w:t>
      </w:r>
    </w:p>
    <w:p>
      <w:pPr>
        <w:pStyle w:val="Heading2"/>
      </w:pPr>
      <w:r>
        <w:t>Was Frauen mit Endometriose wissen müssen: Informationsbedarf und Lücken</w:t>
      </w:r>
    </w:p>
    <w:p>
      <w:r>
        <w:rPr>
          <w:i/>
          <w:color w:val="666666"/>
          <w:sz w:val="18"/>
        </w:rPr>
        <w:t>Senyel D et al.  ·  Womens Health (Lond)  ·  18.10.2026  ·  PMID 42893505</w:t>
      </w:r>
    </w:p>
    <w:p>
      <w:r>
        <w:t>Querschnittstudie (Mixed Methods) mit 265 australischen Frauen ≥18 Jahre mit diagnostizierter oder vermuteter Endometriose zu ihren Informationsbedürfnissen.</w:t>
      </w:r>
    </w:p>
    <w:p>
      <w:r>
        <w:rPr>
          <w:b/>
        </w:rPr>
        <w:t xml:space="preserve">Ergebnis: </w:t>
      </w:r>
      <w:r>
        <w:t>Stärkster Informationsbedarf zu: Komorbiditäten (76,98 % Zustimmung, n=204/265), spezialisierte Endometriose-Kliniken (75,85 %, n=179/236), Umgang mit Ablehnungserfahrungen durch Fachpersonen (75,54 %, n=176/233). Offen genannte Lücken: Pathogenese, alternative Therapien, Unterschiede zwischen öffentlichem und privatem Gesundheitswesen, Selbstvertretung. Unzureichende Unterstützung bei Entscheidungsfindung identifiziert.</w:t>
      </w:r>
    </w:p>
    <w:p>
      <w:r>
        <w:rPr>
          <w:b/>
          <w:sz w:val="19"/>
        </w:rPr>
        <w:t xml:space="preserve">Übertragbarkeit: </w:t>
      </w:r>
      <w:r>
        <w:rPr>
          <w:sz w:val="19"/>
        </w:rPr>
        <w:t>Australien vergleichbar Deutschland: Befunde zeigen Versorgungslücken und Handlungsbedarf für patientenzentrierte Informationsentwicklung.</w:t>
      </w:r>
    </w:p>
    <w:p>
      <w:r>
        <w:rPr>
          <w:color w:val="5A7D3A"/>
          <w:sz w:val="18"/>
        </w:rPr>
        <w:t>https://pubmed.ncbi.nlm.nih.gov/42893505/</w:t>
      </w:r>
    </w:p>
    <w:p>
      <w:pPr>
        <w:pStyle w:val="Heading2"/>
      </w:pPr>
      <w:r>
        <w:t>Geringe Gesundheitskompetenz bei chronischen Erkrankungen in Grönland: Handlungsbedarf für Gesundheitssystem</w:t>
      </w:r>
    </w:p>
    <w:p>
      <w:r>
        <w:rPr>
          <w:i/>
          <w:color w:val="666666"/>
          <w:sz w:val="18"/>
        </w:rPr>
        <w:t>Kjær F et al.  ·  Int J Circumpolar Health  ·  31.12.2026  ·  PMID 42891930</w:t>
      </w:r>
    </w:p>
    <w:p>
      <w:r>
        <w:t>Querschnittstudie mit 230 Personen mit chronischen Erkrankungen (Diabetes, COPD, Hypertonie, Adipositas, Asthma) in Grönland, die mit HLS19-Q12-Fragebogen (Kalaallisut und Dänisch) die Gesundheitskompetenz ermittelte.</w:t>
      </w:r>
    </w:p>
    <w:p>
      <w:r>
        <w:rPr>
          <w:b/>
        </w:rPr>
        <w:t xml:space="preserve">Ergebnis: </w:t>
      </w:r>
      <w:r>
        <w:t>82,2 % hatten unzureichende oder problematische Gesundheitskompetenz (32,2 % unzureichend, 50,0 % problematisch, 12,4 % ausreichend, 5,4 % hervorragend). Kalaallisut-Version zeigte gute interne Konsistenz (Cronbachs Alpha 0,88; 95%-KI: 0,78–0,93) und Test-Retest-Reliabilität (ICC 0,86; 95%-KI: 0,71–0,94). Dies unterstreicht hohen Interventionsbedarf.</w:t>
      </w:r>
    </w:p>
    <w:p>
      <w:r>
        <w:rPr>
          <w:b/>
          <w:sz w:val="19"/>
        </w:rPr>
        <w:t xml:space="preserve">Übertragbarkeit: </w:t>
      </w:r>
      <w:r>
        <w:rPr>
          <w:sz w:val="19"/>
        </w:rPr>
        <w:t>Grönland, vergleichbare nordeuropäische Sozialversicherung; Befunde für indigene Bevölkerungen weltweit relevant.</w:t>
      </w:r>
    </w:p>
    <w:p>
      <w:r>
        <w:rPr>
          <w:color w:val="5A7D3A"/>
          <w:sz w:val="18"/>
        </w:rPr>
        <w:t>https://pubmed.ncbi.nlm.nih.gov/42891930/</w:t>
      </w:r>
    </w:p>
    <w:p>
      <w:pPr>
        <w:pStyle w:val="Heading2"/>
      </w:pPr>
      <w:r>
        <w:t>Niedriges Digital Health Literacy erhöht Risiko für problematische Social-Media-Nutzung</w:t>
      </w:r>
    </w:p>
    <w:p>
      <w:r>
        <w:rPr>
          <w:i/>
          <w:color w:val="666666"/>
          <w:sz w:val="18"/>
        </w:rPr>
        <w:t>Shahat KA  ·  Front Public Health  ·  02.10.2026  ·  PMID 42890596</w:t>
      </w:r>
    </w:p>
    <w:p>
      <w:r>
        <w:t>Querschnittstudie mit 330 saudischen Schülern (13–18 Jahre, 170 männlich, 160 weiblich) zu Zusammenhang zwischen Digital Health Literacy (DHLI), problematischer Social-Media-Nutzung (Bergen Scale) und psychischer Belastung (DASS-21).</w:t>
      </w:r>
    </w:p>
    <w:p>
      <w:r>
        <w:rPr>
          <w:b/>
        </w:rPr>
        <w:t xml:space="preserve">Ergebnis: </w:t>
      </w:r>
      <w:r>
        <w:t>Prävalenz problematischer Social-Media-Nutzung 34,8 % (95%-KI: 29,7–40,2 %), höher bei Mädchen (41,9 %) als Jungen (28,2 %, p=0,009). Niedriges Digital Health Literacy unabhängig mit problematischer Nutzung assoziiert (aOR 2,79; 95%-KI: 1,70–4,58; p&lt;0,001). Problematische Nutzer hatten höhere Depression (14,1±5,5 vs. 8,6±4,2; p&lt;0,001), Angst (12,7±5,0 vs. 7,8±3,9; p&lt;0,001) und Stress (15,5±5,7 vs. 10,0±4,6; p&lt;0,001).</w:t>
      </w:r>
    </w:p>
    <w:p>
      <w:r>
        <w:rPr>
          <w:b/>
          <w:sz w:val="19"/>
        </w:rPr>
        <w:t xml:space="preserve">Übertragbarkeit: </w:t>
      </w:r>
      <w:r>
        <w:rPr>
          <w:sz w:val="19"/>
        </w:rPr>
        <w:t>Saudi-Arabien: Befunde zur Rolle von Digital Health Literacy bei Jugendlichen; Schulinterventionen sollten Schwerpunkt sein.</w:t>
      </w:r>
    </w:p>
    <w:p>
      <w:r>
        <w:rPr>
          <w:color w:val="5A7D3A"/>
          <w:sz w:val="18"/>
        </w:rPr>
        <w:t>https://pubmed.ncbi.nlm.nih.gov/42890596/</w:t>
      </w:r>
    </w:p>
    <w:p>
      <w:pPr>
        <w:pStyle w:val="Heading2"/>
      </w:pPr>
      <w:r>
        <w:t>Messinstrumente für Planetare Gesundheitskompetenz: Qualitätsmängel und Forschungslücken</w:t>
      </w:r>
    </w:p>
    <w:p>
      <w:r>
        <w:rPr>
          <w:i/>
          <w:color w:val="666666"/>
          <w:sz w:val="18"/>
        </w:rPr>
        <w:t>Reismann L et al.  ·  Health Qual Life Outcomes  ·  16.10.2026  ·  PMID 42888415</w:t>
      </w:r>
    </w:p>
    <w:p>
      <w:r>
        <w:t>Systematische Übersicht nach COSMIN-Kriterien über vier Studien zu drei Instrumenten (CCHLS, CCDL, SFLS), die Umwelt-Gesundheits-Literalität messen.</w:t>
      </w:r>
    </w:p>
    <w:p>
      <w:r>
        <w:rPr>
          <w:b/>
        </w:rPr>
        <w:t xml:space="preserve">Ergebnis: </w:t>
      </w:r>
      <w:r>
        <w:t>Sustainable Food Literacy Scale zeigte beste Ergebnisse mit sehr guter Evidenzqualität im Original, türkische Adaptation hatte niedrige methodische Qualität. Alle Instrumente zeigten niedrige oder sehr niedrige Evidenz für Entwicklung und Inhaltsvalidität. Kerndefizite: unklare Konstruktdefinition, geringe Einbeziehung von Zielgruppen in Entwicklung, Fokus auf Wissen statt komplexer Health Literacy.</w:t>
      </w:r>
    </w:p>
    <w:p>
      <w:r>
        <w:rPr>
          <w:b/>
          <w:sz w:val="19"/>
        </w:rPr>
        <w:t xml:space="preserve">Übertragbarkeit: </w:t>
      </w:r>
      <w:r>
        <w:rPr>
          <w:sz w:val="19"/>
        </w:rPr>
        <w:t>Deutschland und Europa: Befunde zeigen Standardisierungsbedarf für Umwelt-Gesundheits-Kompetenzmessungen.</w:t>
      </w:r>
    </w:p>
    <w:p>
      <w:r>
        <w:rPr>
          <w:color w:val="5A7D3A"/>
          <w:sz w:val="18"/>
        </w:rPr>
        <w:t>https://pubmed.ncbi.nlm.nih.gov/42888415/</w:t>
      </w:r>
    </w:p>
    <w:p>
      <w:pPr>
        <w:pStyle w:val="Heading2"/>
      </w:pPr>
      <w:r>
        <w:t>Wie junge Erwachsene Online-Ernährungsinformation bewerten: Kritische Kriterien und Grenzen</w:t>
      </w:r>
    </w:p>
    <w:p>
      <w:r>
        <w:rPr>
          <w:i/>
          <w:color w:val="666666"/>
          <w:sz w:val="18"/>
        </w:rPr>
        <w:t>Rozmiarek M  ·  Nutrients  ·  25.09.2026  ·  PMID 42884616</w:t>
      </w:r>
    </w:p>
    <w:p>
      <w:r>
        <w:t>Qualitative Fokusgruppenstudie mit 17 Tourismus- und Freizeitstudierenden (9 Frauen, 8 Männer, 21–23 Jahre) zu Wahrnehmung, Bewertung und kritischem Urteil über Online-Ernährungsinformation.</w:t>
      </w:r>
    </w:p>
    <w:p>
      <w:r>
        <w:rPr>
          <w:b/>
        </w:rPr>
        <w:t xml:space="preserve">Ergebnis: </w:t>
      </w:r>
      <w:r>
        <w:t>Vier Hauptthemen identifiziert: (1) Online-Information wahrgenommen als zugänglich und einflussreich, aber verbunden mit Informationsüberfluss, widersprüchlichen Empfehlungen und vereinfachten Erklärungen; (2) Bewertung nutzte Kriterien: Quellenexpertise, Konsistenz über Quellen hinweg, realistische Erwartungen, Erklärungsqualität, soziales Feedback; (3) Social-Media-Influencer als Inspirationsquelle, professionelle Quellen für kritische Entscheidungen; (4) Hochschulausbildung unterstützte kritisches Denken, aber Grenzen der Ernährungsexpertise erkannt.</w:t>
      </w:r>
    </w:p>
    <w:p>
      <w:r>
        <w:rPr>
          <w:b/>
          <w:sz w:val="19"/>
        </w:rPr>
        <w:t xml:space="preserve">Übertragbarkeit: </w:t>
      </w:r>
      <w:r>
        <w:rPr>
          <w:sz w:val="19"/>
        </w:rPr>
        <w:t>Polen und Deutschland: Befunde zeigen Notwendigkeit, Digital Nutrition Literacy in Hochschul-Curricula zu integrieren.</w:t>
      </w:r>
    </w:p>
    <w:p>
      <w:r>
        <w:rPr>
          <w:color w:val="5A7D3A"/>
          <w:sz w:val="18"/>
        </w:rPr>
        <w:t>https://pubmed.ncbi.nlm.nih.gov/42884616/</w:t>
      </w:r>
    </w:p>
    <w:p>
      <w:pPr>
        <w:pStyle w:val="Heading2"/>
      </w:pPr>
      <w:r>
        <w:t>Therapeutische Patientenedukation verbessert Therapieadhärenz und Selbstmanagement bei Tuberkulose</w:t>
      </w:r>
    </w:p>
    <w:p>
      <w:r>
        <w:rPr>
          <w:i/>
          <w:color w:val="666666"/>
          <w:sz w:val="18"/>
        </w:rPr>
        <w:t>Perriot J et al.  ·  Rev Med Liege  ·  Okt. 2026  ·  PMID 42861535</w:t>
      </w:r>
    </w:p>
    <w:p>
      <w:r>
        <w:t>Narrative Übersicht zu therapeutischer Edukation bei Tuberkulose-Patienten (latente und aktive Form), einschließlich ihrer Rolle für Verständnis, Adhärenz und Stigma-Bekämpfung.</w:t>
      </w:r>
    </w:p>
    <w:p>
      <w:r>
        <w:rPr>
          <w:b/>
        </w:rPr>
        <w:t xml:space="preserve">Ergebnis: </w:t>
      </w:r>
      <w:r>
        <w:t>Therapeutische Edukation (Patient Therapeutic Education – ETP) zielt darauf, Selbstmanagement-Kompetenzen, Autonomie und Lebensqualität zu stärken. Adressiert Verständnisprobleme durch lange Behandlungsprotokolle, Nebenwirkungen und psychosoziale Faktoren. Strukturierte, kontinuierliche, multidisziplinäre, patientenzentrierte Strategie ist wesentlicher Hebel zur Optimierung von Behandlungsergebnissen und Bekämpfung der Tuberkulose.</w:t>
      </w:r>
    </w:p>
    <w:p>
      <w:r>
        <w:rPr>
          <w:b/>
          <w:sz w:val="19"/>
        </w:rPr>
        <w:t xml:space="preserve">Übertragbarkeit: </w:t>
      </w:r>
      <w:r>
        <w:rPr>
          <w:sz w:val="19"/>
        </w:rPr>
        <w:t>Belgien und Frankreich, vergleichbare Versicherungssysteme; Befunde zu Edukation und Adhärenz auf Deutschland übertragbar.</w:t>
      </w:r>
    </w:p>
    <w:p>
      <w:r>
        <w:rPr>
          <w:color w:val="5A7D3A"/>
          <w:sz w:val="18"/>
        </w:rPr>
        <w:t>https://pubmed.ncbi.nlm.nih.gov/42861535/</w:t>
      </w:r>
    </w:p>
    <w:p>
      <w:pPr>
        <w:pStyle w:val="Heading1"/>
      </w:pPr>
      <w:r>
        <w:t>Aufgenommen am 18.10.2026</w:t>
      </w:r>
    </w:p>
    <w:p>
      <w:pPr>
        <w:pStyle w:val="Heading2"/>
      </w:pPr>
      <w:r>
        <w:t>Bildung und Gesundheitskompetenz: Starker Gradient bei Umweltrisiken</w:t>
      </w:r>
    </w:p>
    <w:p>
      <w:r>
        <w:rPr>
          <w:i/>
          <w:color w:val="666666"/>
          <w:sz w:val="18"/>
        </w:rPr>
        <w:t>Luo X et al.  ·  Front Public Health  ·  02.10.2026  ·  PMID 42890812</w:t>
      </w:r>
    </w:p>
    <w:p>
      <w:r>
        <w:t>Querschnittsstudie zu Umwelt-Health Literacy bei 1.773 erwachsenen Stadtbewohnern in China mit standardisiertem 30-Item-Messinstrument.</w:t>
      </w:r>
    </w:p>
    <w:p>
      <w:r>
        <w:rPr>
          <w:b/>
        </w:rPr>
        <w:t xml:space="preserve">Ergebnis: </w:t>
      </w:r>
      <w:r>
        <w:t>Höhere Schulbildung zeigte stärksten Effekt auf Health Literacy: Personen mit Masterabschluss erzielen 11,32 Punkte höhere Werte (95%-KI: 7,84–14,80) als Personen mit Grundschulabschluss; adjustierte Quote suffiziente Kompetenz 10,06× höher (95%-KI: 3,82–28,98). 88,8% der Stichprobe erfüllten Schwelle ausreichender Kompetenz. Signifikante Geschlechts-×-Bildungs-Interaktionen zeigen Ungleichheit nach Geschlecht und Bildung.</w:t>
      </w:r>
    </w:p>
    <w:p>
      <w:r>
        <w:rPr>
          <w:b/>
          <w:sz w:val="19"/>
        </w:rPr>
        <w:t xml:space="preserve">Übertragbarkeit: </w:t>
      </w:r>
      <w:r>
        <w:rPr>
          <w:sz w:val="19"/>
        </w:rPr>
        <w:t>China, aber Befund zu Bildungsungleichheit systematisch übertragbar auf deutsche Risikogruppen</w:t>
      </w:r>
    </w:p>
    <w:p>
      <w:r>
        <w:rPr>
          <w:color w:val="5A7D3A"/>
          <w:sz w:val="18"/>
        </w:rPr>
        <w:t>https://pubmed.ncbi.nlm.nih.gov/42890812/</w:t>
      </w:r>
    </w:p>
    <w:p>
      <w:pPr>
        <w:pStyle w:val="Heading2"/>
      </w:pPr>
      <w:r>
        <w:t>Digitale Gesundheitskompetenz im Alter: Drei unterschiedliche Nutzerprofile</w:t>
      </w:r>
    </w:p>
    <w:p>
      <w:r>
        <w:rPr>
          <w:i/>
          <w:color w:val="666666"/>
          <w:sz w:val="18"/>
        </w:rPr>
        <w:t>Xiao Z et al.  ·  Front Public Health  ·  02.10.2026  ·  PMID 42890732</w:t>
      </w:r>
    </w:p>
    <w:p>
      <w:r>
        <w:t>Latente Profilanalyse bei 544 älteren Diabetespatienten (≥60 Jahre) zur eHealth Literacy anhand Chinesischer eHealth Literacy Scale.</w:t>
      </w:r>
    </w:p>
    <w:p>
      <w:r>
        <w:rPr>
          <w:b/>
        </w:rPr>
        <w:t xml:space="preserve">Ergebnis: </w:t>
      </w:r>
      <w:r>
        <w:t>Drei Kompetenzprofile identifiziert: Skill-Dependent 56,8% (Mittelwert 26,88), Comprehensive Deficit 15,1% (17,76), Comprehensive Advancement 28,1% (34,72), obwohl Stichprobenmittel nur 27,71±5,93. Höheres Alter (OR 8,50 pro 10 Jahre vs. Comprehensive Advancement), höhere Angst vor Krankheitsprogression (OR 4,60 pro 5 Punkte) und niedrigere Selbstwirksamkeit prädiktiv für niedrigere Profile. Ein Mittelwert verschleiert diese klinisch relevanten Unterschiede.</w:t>
      </w:r>
    </w:p>
    <w:p>
      <w:r>
        <w:rPr>
          <w:b/>
          <w:sz w:val="19"/>
        </w:rPr>
        <w:t xml:space="preserve">Übertragbarkeit: </w:t>
      </w:r>
      <w:r>
        <w:rPr>
          <w:sz w:val="19"/>
        </w:rPr>
        <w:t>China, aber Befund zu heterogenen Profilen überträgt sich auf deutsche Diabetes-Älteren</w:t>
      </w:r>
    </w:p>
    <w:p>
      <w:r>
        <w:rPr>
          <w:color w:val="5A7D3A"/>
          <w:sz w:val="18"/>
        </w:rPr>
        <w:t>https://pubmed.ncbi.nlm.nih.gov/42890732/</w:t>
      </w:r>
    </w:p>
    <w:p>
      <w:pPr>
        <w:pStyle w:val="Heading2"/>
      </w:pPr>
      <w:r>
        <w:t>Digitale Kompetenz und Behandlungssicherheit bei Herzpatienten: Psychische Faktoren als Schlüssel</w:t>
      </w:r>
    </w:p>
    <w:p>
      <w:r>
        <w:rPr>
          <w:i/>
          <w:color w:val="666666"/>
          <w:sz w:val="18"/>
        </w:rPr>
        <w:t>Huang Y et al.  ·  Front Public Health  ·  01.10.2026  ·  PMID 42889363</w:t>
      </w:r>
    </w:p>
    <w:p>
      <w:r>
        <w:t>Querschnittstudie mit CHD-Patienten (n nicht genannt) zur Assoziation von eHealth Literacy mit Entscheidungskonflikt, mediiert durch Cyberchondria und psychologische Inflexibilität mit latenter Profilanalyse.</w:t>
      </w:r>
    </w:p>
    <w:p>
      <w:r>
        <w:rPr>
          <w:b/>
        </w:rPr>
        <w:t xml:space="preserve">Ergebnis: </w:t>
      </w:r>
      <w:r>
        <w:t>eHealth Literacy signifikant und negativ assoziiert mit Entscheidungskonflikt. Cyberchondria und psychologische Inflexibilität mediieren diese Assoziation. Zwei latente Profile identifiziert: hohes und niedriges eHealth Literacy, unterscheiden sich signifikant in Entscheidungskonflikt, Cyberchondria und psychologischer Flexibilität. Person-zentrierter Ansatz enthüllt zwei Subgruppen statt eines Kontinuums.</w:t>
      </w:r>
    </w:p>
    <w:p>
      <w:r>
        <w:rPr>
          <w:b/>
          <w:sz w:val="19"/>
        </w:rPr>
        <w:t xml:space="preserve">Übertragbarkeit: </w:t>
      </w:r>
      <w:r>
        <w:rPr>
          <w:sz w:val="19"/>
        </w:rPr>
        <w:t>China, aber Befund zu psychischen Blockaden bei digitaler Kompetenznutzung auf deutsche Herzpatienten übertragbar</w:t>
      </w:r>
    </w:p>
    <w:p>
      <w:r>
        <w:rPr>
          <w:color w:val="5A7D3A"/>
          <w:sz w:val="18"/>
        </w:rPr>
        <w:t>https://pubmed.ncbi.nlm.nih.gov/42889363/</w:t>
      </w:r>
    </w:p>
    <w:p>
      <w:pPr>
        <w:pStyle w:val="Heading2"/>
      </w:pPr>
      <w:r>
        <w:t>Wie weibliche Studierende zu HPV-Wissen gelangen: Kanäle und Glaubwürdigkeit entscheidend</w:t>
      </w:r>
    </w:p>
    <w:p>
      <w:r>
        <w:rPr>
          <w:i/>
          <w:color w:val="666666"/>
          <w:sz w:val="18"/>
        </w:rPr>
        <w:t>Xie M et al.  ·  Front Public Health  ·  01.10.2026  ·  PMID 42889210</w:t>
      </w:r>
    </w:p>
    <w:p>
      <w:r>
        <w:t>Querschnittstudie mit 519 Studentinnen in China: Mediation von Health Information Literacy zwischen Informationssuche und HPV-Wissen, moderiert durch Kanaltyp (professional vs. non-professional) und Vertrauenspräferenz.</w:t>
      </w:r>
    </w:p>
    <w:p>
      <w:r>
        <w:rPr>
          <w:b/>
        </w:rPr>
        <w:t xml:space="preserve">Ergebnis: </w:t>
      </w:r>
      <w:r>
        <w:t>Health Information Literacy mediiert Effekt (indirekt: 0,056, 95%-KI [0,019–0,093]). Bei nicht-professionellen Kanälen war HIL-Wissen-Assoziation signifikant (B=0,112, p&lt;0,001), bei professionellen nicht (B=0,018, p=0,521). Vertrauenspräferenz zeigt vierfach stärkere Assoziation für nicht-professionelle Kanäle (B=0,210 vs. 0,049). Kanalcharakteristiken beeinflussen stark, ob Kompetenzen in Wissen übersetzt werden.</w:t>
      </w:r>
    </w:p>
    <w:p>
      <w:r>
        <w:rPr>
          <w:b/>
          <w:sz w:val="19"/>
        </w:rPr>
        <w:t xml:space="preserve">Übertragbarkeit: </w:t>
      </w:r>
      <w:r>
        <w:rPr>
          <w:sz w:val="19"/>
        </w:rPr>
        <w:t>China, aber Befund zu Kanaleffekten auf Wissen systematisch auf deutsche Informationsqualität übertragbar</w:t>
      </w:r>
    </w:p>
    <w:p>
      <w:r>
        <w:rPr>
          <w:color w:val="5A7D3A"/>
          <w:sz w:val="18"/>
        </w:rPr>
        <w:t>https://pubmed.ncbi.nlm.nih.gov/42889210/</w:t>
      </w:r>
    </w:p>
    <w:p>
      <w:pPr>
        <w:pStyle w:val="Heading2"/>
      </w:pPr>
      <w:r>
        <w:t>Patient Activation bei Dialyse: Digitale Begleitung erhöht Patientenbeteiligung, aber mit Hürden</w:t>
      </w:r>
    </w:p>
    <w:p>
      <w:r>
        <w:rPr>
          <w:i/>
          <w:color w:val="666666"/>
          <w:sz w:val="18"/>
        </w:rPr>
        <w:t>Wickens M et al.  ·  J Med Internet Res  ·  16.10.2026  ·  PMID 42887003</w:t>
      </w:r>
    </w:p>
    <w:p>
      <w:r>
        <w:t>Gemischte Methoden zur Patient Activation via 5 Module und 5 Videokonferenzen mit Peer-Mentoring bei Hämodialysepatienten (639 Patienten, 10 Zentren, USA).</w:t>
      </w:r>
    </w:p>
    <w:p>
      <w:r>
        <w:rPr>
          <w:b/>
        </w:rPr>
        <w:t xml:space="preserve">Ergebnis: </w:t>
      </w:r>
      <w:r>
        <w:t>Rekrutiert 155/639 (24,3%), Jüngere Patienten eher rekrutiert (57,6 vs. 64,3 Jahre, p&lt;0,001); jedes Zusatzjahr: 4% niedrigere Chancen (OR 0,96, 95%-KI: 0,94–0,98). Engagement höher bei Männern (IRR 1,33, p&lt;0,001), Schwarzen Patienten (IRR 1,27, p&lt;0,001). Von 155 Rekrutierten vollendeten 58 (37,4%) alle 5 Sessions. Durchschnittlicher Engagement-Score 18,4/50. Hauptverhalten: Patientenmittelung (81% der Ziele, 40,7% realisierten dies). 100% Zufriedenheit unter Mentees. Wichtigste Barriere: Rekrutierung und frühe Attrition vor Beginn.</w:t>
      </w:r>
    </w:p>
    <w:p>
      <w:r>
        <w:rPr>
          <w:b/>
          <w:sz w:val="19"/>
        </w:rPr>
        <w:t xml:space="preserve">Übertragbarkeit: </w:t>
      </w:r>
      <w:r>
        <w:rPr>
          <w:sz w:val="19"/>
        </w:rPr>
        <w:t>USA, aber Befund zu Alters- und Geschlechtsbias bei Engagement und Beteiligung auf deutsche Dialyse übertragbar</w:t>
      </w:r>
    </w:p>
    <w:p>
      <w:r>
        <w:rPr>
          <w:color w:val="5A7D3A"/>
          <w:sz w:val="18"/>
        </w:rPr>
        <w:t>https://pubmed.ncbi.nlm.nih.gov/42887003/</w:t>
      </w:r>
    </w:p>
    <w:p>
      <w:pPr>
        <w:pStyle w:val="Heading2"/>
      </w:pPr>
      <w:r>
        <w:t>Hüftoperation: App, Liveunterricht oder Broschüre – keine Unterschiede beim Verständnis</w:t>
      </w:r>
    </w:p>
    <w:p>
      <w:r>
        <w:rPr>
          <w:i/>
          <w:color w:val="666666"/>
          <w:sz w:val="18"/>
        </w:rPr>
        <w:t>DE Smet A et al.  ·  Acta Orthop Belg  ·  08.10.2026  ·  PMID 42885460</w:t>
      </w:r>
    </w:p>
    <w:p>
      <w:r>
        <w:t>Randomisierte kontrollierte Studie: 79 Patienten vor Hüftgelenksersatz in drei Gruppen (Broschüre n=29, Live-Sitzung n=24, Mobile App n=26) – Vergleich von Aufenthaltsdauer, Patientenzufriedenheit und postoperativen Ergebnissen.</w:t>
      </w:r>
    </w:p>
    <w:p>
      <w:r>
        <w:rPr>
          <w:b/>
        </w:rPr>
        <w:t xml:space="preserve">Ergebnis: </w:t>
      </w:r>
      <w:r>
        <w:t>Krankenhausaufenthalt 4,25±3 Tage, kein signifikanter Unterschied zwischen Gruppen (p=0,525). Zufriedenheit mit Unterrichtsmethode (p=0,997) und Informationsinhalt (p=0,365) gleich in allen Gruppen. App-Gruppe berichtete leicht höhere Motivation für Übungen, nicht signifikant. Alle Gruppen zeigten signifikante postoperative Verbesserungen (p&lt;0,001), keine Unterschiede in Magnitude. Zusatzkosten für Live-Sitzungen und App-Einsatz überwiegen begrenzte Vorteile nicht.</w:t>
      </w:r>
    </w:p>
    <w:p>
      <w:r>
        <w:rPr>
          <w:b/>
          <w:sz w:val="19"/>
        </w:rPr>
        <w:t xml:space="preserve">Übertragbarkeit: </w:t>
      </w:r>
      <w:r>
        <w:rPr>
          <w:sz w:val="19"/>
        </w:rPr>
        <w:t>Belgien, vergleichbares Gesundheitssystem, direkt auf deutsche Orthopädie-Praxen übertragbar</w:t>
      </w:r>
    </w:p>
    <w:p>
      <w:r>
        <w:rPr>
          <w:color w:val="5A7D3A"/>
          <w:sz w:val="18"/>
        </w:rPr>
        <w:t>https://pubmed.ncbi.nlm.nih.gov/42885460/</w:t>
      </w:r>
    </w:p>
    <w:p>
      <w:pPr>
        <w:pStyle w:val="Heading1"/>
      </w:pPr>
      <w:r>
        <w:t>Aufgenommen am 17.10.2026</w:t>
      </w:r>
    </w:p>
    <w:p>
      <w:pPr>
        <w:pStyle w:val="Heading2"/>
      </w:pPr>
      <w:r>
        <w:t>Verständlichkeit digitaler Schulungsmaterialien mit Augmented Reality zur Fußpflege</w:t>
      </w:r>
    </w:p>
    <w:p>
      <w:r>
        <w:rPr>
          <w:i/>
          <w:color w:val="666666"/>
          <w:sz w:val="18"/>
        </w:rPr>
        <w:t>Velázquez-López L et al.  ·  Inquiry  ·  16.10.2026  ·  PMID 42887896</w:t>
      </w:r>
    </w:p>
    <w:p>
      <w:r>
        <w:t>Validierungsstudie eines Hybrid-Lernmaterials (Print und App mit Augmented Reality) zur Diabetischen-Fuß-Prävention durch 38 Fachexpert*innen über drei Monate.</w:t>
      </w:r>
    </w:p>
    <w:p>
      <w:r>
        <w:rPr>
          <w:b/>
        </w:rPr>
        <w:t xml:space="preserve">Ergebnis: </w:t>
      </w:r>
      <w:r>
        <w:t>97,4 % bewerteten das Material mit hohem Score, 2,6 % mit mittlerem Score, 0 % mit niedrigem Score. Mittleres Alter der Expert*innen 34 Jahre, mediane klinische Erfahrung 8 Jahre (IQR 2–15). Das Ergebnis zeigt, dass Fachpersonal die Materialien als verständlich und hilfreich für die Gesundheitserziehung bewertet.</w:t>
      </w:r>
    </w:p>
    <w:p>
      <w:r>
        <w:rPr>
          <w:b/>
          <w:sz w:val="19"/>
        </w:rPr>
        <w:t xml:space="preserve">Übertragbarkeit: </w:t>
      </w:r>
      <w:r>
        <w:rPr>
          <w:sz w:val="19"/>
        </w:rPr>
        <w:t>Mexiko; Validierungsergebnis technik-unabhängig, aber Übertragbarkeit auf deutsche Schulungskontexte erfordert kulturelle Anpassung.</w:t>
      </w:r>
    </w:p>
    <w:p>
      <w:r>
        <w:rPr>
          <w:color w:val="5A7D3A"/>
          <w:sz w:val="18"/>
        </w:rPr>
        <w:t>https://pubmed.ncbi.nlm.nih.gov/42887896/</w:t>
      </w:r>
    </w:p>
    <w:p>
      <w:pPr>
        <w:pStyle w:val="Heading2"/>
      </w:pPr>
      <w:r>
        <w:t>Patientenbeteiligung in Forschung: Lernprozesse und Herausforderungen bei der Zusammenarbeit</w:t>
      </w:r>
    </w:p>
    <w:p>
      <w:r>
        <w:rPr>
          <w:i/>
          <w:color w:val="666666"/>
          <w:sz w:val="18"/>
        </w:rPr>
        <w:t>Fox J et al.  ·  Health Expect  ·  Okt. 2026  ·  PMID 42886175</w:t>
      </w:r>
    </w:p>
    <w:p>
      <w:r>
        <w:t>Qualitative Fallstudie zur Erfahrung von Forschungsteams und Patient*innen mit Lived-Experience-Expertise über sieben Jahre hinweg in einer Mental-Health-Interventionsstudie.</w:t>
      </w:r>
    </w:p>
    <w:p>
      <w:r>
        <w:rPr>
          <w:b/>
        </w:rPr>
        <w:t xml:space="preserve">Ergebnis: </w:t>
      </w:r>
      <w:r>
        <w:t>Beide Gruppen durchliefen einen Lernprozess, der von Spannungen geprägt war. Der Erfolg der Patientenbeteiligung hängt von Flexibilität, offener Kommunikation und regelmäßigem reflektierendem Feedback ab – nicht primär von messbaren wirtschaftlichen Erträgen. Teamdynamik, strukturelle Veränderungen und externe Faktoren (etwa COVID-19) beeinflussen die Zusammenarbeit erheblich.</w:t>
      </w:r>
    </w:p>
    <w:p>
      <w:r>
        <w:rPr>
          <w:b/>
          <w:sz w:val="19"/>
        </w:rPr>
        <w:t xml:space="preserve">Übertragbarkeit: </w:t>
      </w:r>
      <w:r>
        <w:rPr>
          <w:sz w:val="19"/>
        </w:rPr>
        <w:t>Großbritannien, NHS-System; Erkenntnisse zur Gestaltung echter Partizipation sind kontextübergreifend relevant.</w:t>
      </w:r>
    </w:p>
    <w:p>
      <w:r>
        <w:rPr>
          <w:color w:val="5A7D3A"/>
          <w:sz w:val="18"/>
        </w:rPr>
        <w:t>https://pubmed.ncbi.nlm.nih.gov/42886175/</w:t>
      </w:r>
    </w:p>
    <w:p>
      <w:pPr>
        <w:pStyle w:val="Heading2"/>
      </w:pPr>
      <w:r>
        <w:t>Ernährungsschulung in der Schwangerschaft: Effektive Komponenten zur Gestationsdiabetes-Prävention</w:t>
      </w:r>
    </w:p>
    <w:p>
      <w:r>
        <w:rPr>
          <w:i/>
          <w:color w:val="666666"/>
          <w:sz w:val="18"/>
        </w:rPr>
        <w:t>Gao M et al.  ·  Nutrients  ·  08.10.2026  ·  PMID 42884754</w:t>
      </w:r>
    </w:p>
    <w:p>
      <w:r>
        <w:t>Systematischer Review und Metaanalyse von 29 RCTs mit 17.937 schwangeren Frauen zur Wirkung von Ernährungsbildungsinterventionen auf das Gestationsdiabetes-Risiko.</w:t>
      </w:r>
    </w:p>
    <w:p>
      <w:r>
        <w:rPr>
          <w:b/>
        </w:rPr>
        <w:t xml:space="preserve">Ergebnis: </w:t>
      </w:r>
      <w:r>
        <w:t>Interventionen senken das Gestationsdiabetes-Risiko um 12 % (gepooltes RR 0,88, 95%-CI 0,79–0,98; p=0,02). Absolute Inzidenz: 16,01 % (Intervention) vs. 17,06 % (Kontrolle). Größte Risikoreduktion bei Interventionen, die in theoretischen Konzepten verankert, im Krankenhaus durchgeführt und mit hoher Treue umgesetzt wurden. Einzelne Angebote und Diätinhalte zeigten günstige, aber nicht signifikante Trends.</w:t>
      </w:r>
    </w:p>
    <w:p>
      <w:r>
        <w:rPr>
          <w:b/>
          <w:sz w:val="19"/>
        </w:rPr>
        <w:t xml:space="preserve">Übertragbarkeit: </w:t>
      </w:r>
      <w:r>
        <w:rPr>
          <w:sz w:val="19"/>
        </w:rPr>
        <w:t>Diverse Settings; Evidenz unterstützt systematische Verankerung in der Routinevorsorge – auch für Deutschland.</w:t>
      </w:r>
    </w:p>
    <w:p>
      <w:r>
        <w:rPr>
          <w:color w:val="5A7D3A"/>
          <w:sz w:val="18"/>
        </w:rPr>
        <w:t>https://pubmed.ncbi.nlm.nih.gov/42884754/</w:t>
      </w:r>
    </w:p>
    <w:p>
      <w:pPr>
        <w:pStyle w:val="Heading2"/>
      </w:pPr>
      <w:r>
        <w:t>Lücken in der psychischen Gesundheitskompetenz von Fachpflegekräften</w:t>
      </w:r>
    </w:p>
    <w:p>
      <w:r>
        <w:rPr>
          <w:i/>
          <w:color w:val="666666"/>
          <w:sz w:val="18"/>
        </w:rPr>
        <w:t>Pietrzak M et al.  ·  Front Public Health  ·  30.09.2026  ·  PMID 42876669</w:t>
      </w:r>
    </w:p>
    <w:p>
      <w:r>
        <w:t>Querschnittstudie zur Mental Health Literacy (Wissen, Erkennung, Behandlung psychischer Störungen) bei 207 polnischen Familienpflegekräften mit standardisiertem Messinstrument.</w:t>
      </w:r>
    </w:p>
    <w:p>
      <w:r>
        <w:rPr>
          <w:b/>
        </w:rPr>
        <w:t xml:space="preserve">Ergebnis: </w:t>
      </w:r>
      <w:r>
        <w:t>Mittlere normalisierte Gesamtscore 70,43 %; größte Lücken bei Risikofaktoren und verfügbarer professioneller Hilfe (je 66,67 %), beste Scores bei Störungserkennung (75 %). Unabhängig assoziiert mit höherer Kompetenz: jüngeres Alter, städtischer Wohnort, Kontakt zu Menschen mit psychischer Erkrankung. Ältere und ländliche Pflegekräfte brauchen gezielt Fortbildung.</w:t>
      </w:r>
    </w:p>
    <w:p>
      <w:r>
        <w:rPr>
          <w:b/>
          <w:sz w:val="19"/>
        </w:rPr>
        <w:t xml:space="preserve">Übertragbarkeit: </w:t>
      </w:r>
      <w:r>
        <w:rPr>
          <w:sz w:val="19"/>
        </w:rPr>
        <w:t>Polen, EU-Gesundheitssystem; Ergebnisse zur Weiterbildung übertragbar auf Deutschland.</w:t>
      </w:r>
    </w:p>
    <w:p>
      <w:r>
        <w:rPr>
          <w:color w:val="5A7D3A"/>
          <w:sz w:val="18"/>
        </w:rPr>
        <w:t>https://pubmed.ncbi.nlm.nih.gov/42876669/</w:t>
      </w:r>
    </w:p>
    <w:p>
      <w:pPr>
        <w:pStyle w:val="Heading2"/>
      </w:pPr>
      <w:r>
        <w:t>Patientenschulung zur sicheren Heimentfernung von Drainagen: Effekt auf Komplikationen und Zufriedenheit</w:t>
      </w:r>
    </w:p>
    <w:p>
      <w:r>
        <w:rPr>
          <w:i/>
          <w:color w:val="666666"/>
          <w:sz w:val="18"/>
        </w:rPr>
        <w:t>Mostacada N et al.  ·  Clin Nurse Spec  ·  07.10.2026  ·  PMID 42842229</w:t>
      </w:r>
    </w:p>
    <w:p>
      <w:r>
        <w:t>Qualitätsverbesserungsprojekt: Klinische Pflegefachkräfte schulten Patienten (mit Handout, persönlichem Training und Hands-on-Praxis) zur sicheren Entfernung von Jackson-Pratt-Drainagen zu Hause.</w:t>
      </w:r>
    </w:p>
    <w:p>
      <w:r>
        <w:rPr>
          <w:b/>
        </w:rPr>
        <w:t xml:space="preserve">Ergebnis: </w:t>
      </w:r>
      <w:r>
        <w:t>Seit Februar 2025 wurden knapp 100 Drainagen erfolgreich zu Hause entfernt, ohne Komplikationen gemeldet. Durch strukturierte Patientenschulung verbesserte sich Patienten-Sicherheit und Komfort, stieg die Zufriedenheit, sank das Komplikationsrisiko und die Ressourcennutzung, ohne Patientenergebnisse zu gefährden.</w:t>
      </w:r>
    </w:p>
    <w:p>
      <w:r>
        <w:rPr>
          <w:b/>
          <w:sz w:val="19"/>
        </w:rPr>
        <w:t xml:space="preserve">Übertragbarkeit: </w:t>
      </w:r>
      <w:r>
        <w:rPr>
          <w:sz w:val="19"/>
        </w:rPr>
        <w:t>USA; Evidenz für Benefit von strukturierter Patientenschulung ist systemübergreifend relevant, Umsetzung auf Deutschland übertragbar.</w:t>
      </w:r>
    </w:p>
    <w:p>
      <w:r>
        <w:rPr>
          <w:color w:val="5A7D3A"/>
          <w:sz w:val="18"/>
        </w:rPr>
        <w:t>https://pubmed.ncbi.nlm.nih.gov/42842229/</w:t>
      </w:r>
    </w:p>
    <w:p>
      <w:pPr>
        <w:pStyle w:val="Heading2"/>
      </w:pPr>
      <w:r>
        <w:t>Kardiovaskuläre Gesundheitskompetenz bei Frauen: Mangel an Information und Erkennung</w:t>
      </w:r>
    </w:p>
    <w:p>
      <w:r>
        <w:rPr>
          <w:i/>
          <w:color w:val="666666"/>
          <w:sz w:val="18"/>
        </w:rPr>
        <w:t>Quintal J et al.  ·  Rev Port Cardiol  ·  25.08.2026  ·  PMID 42641683</w:t>
      </w:r>
    </w:p>
    <w:p>
      <w:r>
        <w:t>Querschnittstudie bei 204 portugiesischen Frauen (Alter ≥18 Jahre) zur kardiovaskulären Health Literacy: Wissensstand zu Risikofaktoren, Symptomen, Prävention und angemessenem Handeln.</w:t>
      </w:r>
    </w:p>
    <w:p>
      <w:r>
        <w:rPr>
          <w:b/>
        </w:rPr>
        <w:t xml:space="preserve">Ergebnis: </w:t>
      </w:r>
      <w:r>
        <w:t>Nur 5,6 % fühlten sich gut informiert, 15,4 % berichteten kein Wissen. Nur 27,7 % erkannten kardiovaskuläre Erkrankung als Todesursache Nr. 1 bei Frauen. Symptomerkennung unzureichend. Hauptbarrieren: finanzielle Constraints (50 %), Zeitmangel (36,7 %). Im multivariaten Modell: Alter ≥62 Jahre (OR 4,20, 95%-CI 1,57–11,22) und Grundschulbildung (OR 3,60, 95%-CI 1,43–9,09) vorhersagend für niedrige Awareness.</w:t>
      </w:r>
    </w:p>
    <w:p>
      <w:r>
        <w:rPr>
          <w:b/>
          <w:sz w:val="19"/>
        </w:rPr>
        <w:t xml:space="preserve">Übertragbarkeit: </w:t>
      </w:r>
      <w:r>
        <w:rPr>
          <w:sz w:val="19"/>
        </w:rPr>
        <w:t>Portugal, vergleichbares europäisches Gesundheitssystem; Disparitäten nach Alter und Bildung sind in Deutschland ähnlich.</w:t>
      </w:r>
    </w:p>
    <w:p>
      <w:r>
        <w:rPr>
          <w:color w:val="5A7D3A"/>
          <w:sz w:val="18"/>
        </w:rPr>
        <w:t>https://pubmed.ncbi.nlm.nih.gov/42641683/</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