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19.09.2026  |  6 Studien  |  healthliteracy.m-vf.de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Patientenedukation zur Therapieadhärenz bei Krebs in afrikanischen Ländern</w:t>
      </w:r>
    </w:p>
    <w:p>
      <w:r>
        <w:rPr>
          <w:i/>
          <w:color w:val="666666"/>
          <w:sz w:val="18"/>
        </w:rPr>
        <w:t>Alem DT et al.  ·  Support Care Cancer  ·  18.09.2026  ·  PMID 42758338</w:t>
      </w:r>
    </w:p>
    <w:p>
      <w:r>
        <w:t>Scoping Review zu Schulungsmaßnahmen, die Therapieadhärenz bei Krebspatienten in ressourcenlimitierten Ländern Afrikas verbessern.</w:t>
      </w:r>
    </w:p>
    <w:p>
      <w:r>
        <w:rPr>
          <w:b/>
        </w:rPr>
        <w:t xml:space="preserve">Ergebnis: </w:t>
      </w:r>
      <w:r>
        <w:t>11 eingeschlossene Studien zeigen: Wirksame Strategien sind technologiegestützte Bildung, direkte Vorträge, Rollenspiele und Demonstrationen in Gruppen- und Einzelsitzungen. Barrieren sind niedrige Health Literacy (53 %), finanzielle Belastung, Kulturelle Faktoren und begrenzte Gesundheitsinfrastruktur.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 mit begrenzten Ressourcen; Erkenntnisse zur Rolle von Health Literacy, Familie und interpersonalen Beziehungen sind systemübergreifend relevant.</w:t>
      </w:r>
    </w:p>
    <w:p>
      <w:r>
        <w:rPr>
          <w:color w:val="5A7D3A"/>
          <w:sz w:val="18"/>
        </w:rPr>
        <w:t>https://pubmed.ncbi.nlm.nih.gov/42758338/</w:t>
      </w:r>
    </w:p>
    <w:p>
      <w:pPr>
        <w:pStyle w:val="Heading2"/>
      </w:pPr>
      <w:r>
        <w:t>Geschlechtsunterschiede in digitaler Gesundheitskompetenz von Studierenden</w:t>
      </w:r>
    </w:p>
    <w:p>
      <w:r>
        <w:rPr>
          <w:i/>
          <w:color w:val="666666"/>
          <w:sz w:val="18"/>
        </w:rPr>
        <w:t>Song Y et al.  ·  Front Public Health  ·  03.09.2026  ·  PMID 42756360</w:t>
      </w:r>
    </w:p>
    <w:p>
      <w:r>
        <w:t>Querschnittsanalyse von 7.230 chinesischen Studierenden mit Fairlie-Dekomposition zur Quantifizierung der Beiträge einzelner Faktoren zu Geschlechtsdisparitäten in eHealth Literacy.</w:t>
      </w:r>
    </w:p>
    <w:p>
      <w:r>
        <w:rPr>
          <w:b/>
        </w:rPr>
        <w:t xml:space="preserve">Ergebnis: </w:t>
      </w:r>
      <w:r>
        <w:t>57,2 % der Studierenden unterschreiten die eHEALS-Schwelle (≥32 Punkte). Frauen haben höhere Quote inadequater eHealth Literacy (59,07 % vs. Männer 53,44 %; p&lt;0,001). Fairlie-Dekomposition: 45 % der Disparität attributierbar auf depressive Symptome (28,57 %), Haushaltstyp (14,29 %), Einkommen (10,71 %) und Bewegung (-3,57 %); 55 % auf unmessbare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psychische Gesundheit, Socioeconomic Status und Lifestyle-Faktoren sind in Gesundheitssystemen relevant; Dekompositionsmethode systemübergreifend anwendbar.</w:t>
      </w:r>
    </w:p>
    <w:p>
      <w:r>
        <w:rPr>
          <w:color w:val="5A7D3A"/>
          <w:sz w:val="18"/>
        </w:rPr>
        <w:t>https://pubmed.ncbi.nlm.nih.gov/42756360/</w:t>
      </w:r>
    </w:p>
    <w:p>
      <w:pPr>
        <w:pStyle w:val="Heading2"/>
      </w:pPr>
      <w:r>
        <w:t>Animierte Videos für Reha-Compliance nach Schulteroperationen</w:t>
      </w:r>
    </w:p>
    <w:p>
      <w:r>
        <w:rPr>
          <w:i/>
          <w:color w:val="666666"/>
          <w:sz w:val="18"/>
        </w:rPr>
        <w:t>Zhang S et al.  ·  Ann Ital Chir  ·  15.09.2026  ·  PMID 42755316</w:t>
      </w:r>
    </w:p>
    <w:p>
      <w:r>
        <w:t>Randomisierte Studie vergleicht kombinierte Video-Intervention (Animation + Praxis-Demonstration + App-Anleitung) mit Standardberatung bei postoperativer Funktionsübung nach Schultergelenkspiegelung.</w:t>
      </w:r>
    </w:p>
    <w:p>
      <w:r>
        <w:rPr>
          <w:b/>
        </w:rPr>
        <w:t xml:space="preserve">Ergebnis: </w:t>
      </w:r>
      <w:r>
        <w:t>Experimental-Gruppe zeigte signifikant höhere Übungs-Compliance nach 6 Wochen (90 % vs. 71,43 %), 3 Monaten (78,57 % vs. 57,14 %) und 6 Monaten (71,43 % vs. 41,43 %; alle p&lt;0,05). Korrekte Schiene-Nutzung nach 1 Woche 75,71 % vs. 41,43 %, nach 6 Wochen 88,57 % vs. 58,57 % (beide p&lt;0,001). Komplikationen sanken von 24,29 % auf 8,57 % (p=0,012).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Intervention (Video + App) ist sprach- und plattformgebunden; Mechanismus der Compliance-Verbesserung durch verständliche Materialien übertragbar.</w:t>
      </w:r>
    </w:p>
    <w:p>
      <w:r>
        <w:rPr>
          <w:color w:val="5A7D3A"/>
          <w:sz w:val="18"/>
        </w:rPr>
        <w:t>https://pubmed.ncbi.nlm.nih.gov/42755316/</w:t>
      </w:r>
    </w:p>
    <w:p>
      <w:pPr>
        <w:pStyle w:val="Heading2"/>
      </w:pPr>
      <w:r>
        <w:t>Messung von Shared Decision Making: Core Outcome Set für einheitliche Bewertung</w:t>
      </w:r>
    </w:p>
    <w:p>
      <w:r>
        <w:rPr>
          <w:i/>
          <w:color w:val="666666"/>
          <w:sz w:val="18"/>
        </w:rPr>
        <w:t>Hoffmann C et al.  ·  BMJ Open  ·  15.09.2026  ·  PMID 42744360</w:t>
      </w:r>
    </w:p>
    <w:p>
      <w:r>
        <w:t>Studie entwickelt standardisierte Messkriterien für die Evaluation von Shared Decision Making-Interventionen durch internationale Expertengruppen und Patientenbeteiligung.</w:t>
      </w:r>
    </w:p>
    <w:p>
      <w:r>
        <w:rPr>
          <w:b/>
        </w:rPr>
        <w:t xml:space="preserve">Ergebnis: </w:t>
      </w:r>
      <w:r>
        <w:t>Geplante Core Outcome Set mit Delphi-Befragung (≥150 internationale Teilnehmer) und Consensus Meetings; Abschluss September 2026. Ziel ist, Heterogenität bei der Bewertung von SDM-Interventionen zu reduzieren und vergleichbare Evaluationen zu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international mit deutscher Beteiligung (Universitäten Hamburg, Schleswig-Holstein, Düsseldorf); vergleichbare Gesundheitssysteme.</w:t>
      </w:r>
    </w:p>
    <w:p>
      <w:r>
        <w:rPr>
          <w:color w:val="5A7D3A"/>
          <w:sz w:val="18"/>
        </w:rPr>
        <w:t>https://pubmed.ncbi.nlm.nih.gov/42744360/</w:t>
      </w:r>
    </w:p>
    <w:p>
      <w:pPr>
        <w:pStyle w:val="Heading2"/>
      </w:pPr>
      <w:r>
        <w:t>Patientenzentrierte Retention in Langzeitkohorten: Befragte nennen Hürden</w:t>
      </w:r>
    </w:p>
    <w:p>
      <w:r>
        <w:rPr>
          <w:i/>
          <w:color w:val="666666"/>
          <w:sz w:val="18"/>
        </w:rPr>
        <w:t>Di Meglio A et al.  ·  JAMA Netw Open  ·  01.09.2026  ·  PMID 42734916</w:t>
      </w:r>
    </w:p>
    <w:p>
      <w:r>
        <w:t>Mixed-Methods-Studie in der CANTO-Kohort (11.413 Brustkrebsüberlebende) mit Fragebogen und qualitativer Analyse, um Abbruchfaktoren und Retentionsstrategien zu identifizieren.</w:t>
      </w:r>
    </w:p>
    <w:p>
      <w:r>
        <w:rPr>
          <w:b/>
        </w:rPr>
        <w:t xml:space="preserve">Ergebnis: </w:t>
      </w:r>
      <w:r>
        <w:t>Nonresponsiveness stieg von 1,3 % (Jahr 1) auf 25,8 % (Jahr 6). Risikofaktoren: niedriges Einkommen (&lt;1.500 € vs. ≥3.000 €: aOR 1,51), Rauchen (aOR 1,37), kleine Zentren (aOR 1,88). Befragte bevorzugten Remote-Questionnaires (94,8 %), digitale Completion (95,4 %), flexible Zeitpläne (67,4 %) und regelmäßige Feedback (71,4 %). Qualitativ: Burden-Reduction, dezentralisierte Teilnahme und Navigation als Facilitator.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Frankreich/Europa, vergleichbare Sozialversicherung; Erkenntnisse zu Social Inequality und Partizipationshürden hochgradig systemübertragbar.</w:t>
      </w:r>
    </w:p>
    <w:p>
      <w:r>
        <w:rPr>
          <w:color w:val="5A7D3A"/>
          <w:sz w:val="18"/>
        </w:rPr>
        <w:t>https://pubmed.ncbi.nlm.nih.gov/42734916/</w:t>
      </w:r>
    </w:p>
    <w:p>
      <w:pPr>
        <w:pStyle w:val="Heading2"/>
      </w:pPr>
      <w:r>
        <w:t>Wie Risikoperception und Informationssuche Impfbereitschaft lenken</w:t>
      </w:r>
    </w:p>
    <w:p>
      <w:r>
        <w:rPr>
          <w:i/>
          <w:color w:val="666666"/>
          <w:sz w:val="18"/>
        </w:rPr>
        <w:t>Liu RW et al.  ·  J Health Commun  ·  23.06.2026  ·  PMID 42338078</w:t>
      </w:r>
    </w:p>
    <w:p>
      <w:r>
        <w:t>Studie testet das erweiterte Integrative Behavioral Prediction Model: Wie Risikowahrnehmung über Informationssuche und kognitive Überzeugungen zu Impfintention führt, in Italien und USA.</w:t>
      </w:r>
    </w:p>
    <w:p>
      <w:r>
        <w:rPr>
          <w:b/>
        </w:rPr>
        <w:t xml:space="preserve">Ergebnis: </w:t>
      </w:r>
      <w:r>
        <w:t>Italien: Risikowahrnehmung führte zu Impfintention durch Informationssuche und SDM-Faktoren (Einstellung zu sozialer Distanz; injunktive Normen + Selbstwirksamkeit zu Masken). USA: Kein solches Muster. Einstellung, injunktive Normen und Selbstwirksamkeit vorhersagend in beiden Ländern; deskriptive Normen nur in USA relevant.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Vergleich USA-Italien zeigt, dass kulturelle/strukturelle Faktoren Informationsverarbeitung prägen; Erkenntnisse zu kognitiven Verarbeitungspfaden kultur-abhängig.</w:t>
      </w:r>
    </w:p>
    <w:p>
      <w:r>
        <w:rPr>
          <w:color w:val="5A7D3A"/>
          <w:sz w:val="18"/>
        </w:rPr>
        <w:t>https://pubmed.ncbi.nlm.nih.gov/42338078/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