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w:t>
      </w:r>
    </w:p>
    <w:p>
      <w:r>
        <w:rPr>
          <w:i/>
          <w:color w:val="666666"/>
          <w:sz w:val="18"/>
        </w:rPr>
        <w:t>Stand: 29.10.2026  |  6 Studien  |  healthliteracy.m-vf.de</w:t>
      </w:r>
    </w:p>
    <w:p>
      <w:pPr>
        <w:pStyle w:val="Heading1"/>
      </w:pPr>
      <w:r>
        <w:t>Aufgenommen am 29.10.2026</w:t>
      </w:r>
    </w:p>
    <w:p>
      <w:pPr>
        <w:pStyle w:val="Heading2"/>
      </w:pPr>
      <w:r>
        <w:t>Kulturell maßgeschneiderte Schulung erhöht Verständnis klinischer Krebsstudien bei Minderheiten</w:t>
      </w:r>
    </w:p>
    <w:p>
      <w:r>
        <w:rPr>
          <w:i/>
          <w:color w:val="666666"/>
          <w:sz w:val="18"/>
        </w:rPr>
        <w:t>Arce-Ruiz K et al.  ·  JCO Glob Oncol  ·  28.10.2026  ·  PMID 42950177</w:t>
      </w:r>
    </w:p>
    <w:p>
      <w:r>
        <w:t>USA, Florida, Pilotstudie mit 30 schwarzen und hispanischen/lateinamerikanischen Lungenkrebspatienten; drei kurze, kulturell angepasste und sprachlich entsprechende Video-Schulungen zu klinischen Studien; Wissens- und Bereitschaftsmessung vor und nach; Nachverfolgung der Studieneinschlüsse.</w:t>
      </w:r>
    </w:p>
    <w:p>
      <w:r>
        <w:rPr>
          <w:b/>
        </w:rPr>
        <w:t xml:space="preserve">Ergebnis: </w:t>
      </w:r>
      <w:r>
        <w:t>Wissensscores verbesserten sich (p &lt; 0,001), besonders zum Verständnis von Prästudien (p = 0,012), Placebos (p = 0,001) und Registrierung (p = 0,012). &gt;90% stimmten zu, dass klinische Studien wichtig sind. Bereitschaft zur Teilnahme stieg (p = 0,04). Barrieren persistierten (Angst vor Zustimmungskomplexität, Randomisierung, Kosten). 57% (17/30) hatten eine Studie verfügbar; 47% dieser Berechtigten (8/17) enrollten sich. Gesamtenrollment 27% (8/30).</w:t>
      </w:r>
    </w:p>
    <w:p>
      <w:r>
        <w:rPr>
          <w:b/>
          <w:sz w:val="19"/>
        </w:rPr>
        <w:t xml:space="preserve">Übertragbarkeit: </w:t>
      </w:r>
      <w:r>
        <w:rPr>
          <w:sz w:val="19"/>
        </w:rPr>
        <w:t>USA-Studie, aber Befund zu sprachlich-kultureller Anpassung und Videoformat universell anwendbar.</w:t>
      </w:r>
    </w:p>
    <w:p>
      <w:r>
        <w:rPr>
          <w:color w:val="5A7D3A"/>
          <w:sz w:val="18"/>
        </w:rPr>
        <w:t>https://pubmed.ncbi.nlm.nih.gov/42950177/</w:t>
      </w:r>
    </w:p>
    <w:p>
      <w:pPr>
        <w:pStyle w:val="Heading2"/>
      </w:pPr>
      <w:r>
        <w:t>Vertrauen und Beteiligung in der Psychiatrie: Patienten erleben Respekt, fordern aber mehr Mitsprache</w:t>
      </w:r>
    </w:p>
    <w:p>
      <w:r>
        <w:rPr>
          <w:i/>
          <w:color w:val="666666"/>
          <w:sz w:val="18"/>
        </w:rPr>
        <w:t>Vidaurrázaga Aras V et al.  ·  Int J Ment Health Nurs  ·  Dez. 2026  ·  PMID 42947530</w:t>
      </w:r>
    </w:p>
    <w:p>
      <w:r>
        <w:t>Landesweite schwedische Befragung von 329 Patienten in 13 forensisch-psychiatrischen Kliniken zur erlebten Patient-Zentriertheit mit standardisiertem Fragebogen.</w:t>
      </w:r>
    </w:p>
    <w:p>
      <w:r>
        <w:rPr>
          <w:b/>
        </w:rPr>
        <w:t xml:space="preserve">Ergebnis: </w:t>
      </w:r>
      <w:r>
        <w:t>Patienten berichteten positiv über Respekt und emotionale Unterstützung (Median Generic Person-Centred Care Questionnaire Score 70/95). Aber: Beteiligung an Entscheidungen, Nutzung von Patientenressourcen und Einbeziehung von Angehörigen wurden deutlich negativer bewertet. Patienten mit über 10 Jahren Aufenthalt zeigten signifikant niedriges Vertrauen in Personal gegenüber jenen mit 0–5 Jahren Aufenthalt – ein Zeichen für Erschöpfung durch lange Institutionalisierung.</w:t>
      </w:r>
    </w:p>
    <w:p>
      <w:r>
        <w:rPr>
          <w:b/>
          <w:sz w:val="19"/>
        </w:rPr>
        <w:t xml:space="preserve">Übertragbarkeit: </w:t>
      </w:r>
      <w:r>
        <w:rPr>
          <w:sz w:val="19"/>
        </w:rPr>
        <w:t>Schweden, Gatekeeping-Spitalwesen, aber Befund zu Partizipationsmängeln übertragbar.</w:t>
      </w:r>
    </w:p>
    <w:p>
      <w:r>
        <w:rPr>
          <w:color w:val="5A7D3A"/>
          <w:sz w:val="18"/>
        </w:rPr>
        <w:t>https://pubmed.ncbi.nlm.nih.gov/42947530/</w:t>
      </w:r>
    </w:p>
    <w:p>
      <w:pPr>
        <w:pStyle w:val="Heading2"/>
      </w:pPr>
      <w:r>
        <w:t>Verständliche Gesundheitsempfehlungen: Was Laien brauchen</w:t>
      </w:r>
    </w:p>
    <w:p>
      <w:r>
        <w:rPr>
          <w:i/>
          <w:color w:val="666666"/>
          <w:sz w:val="18"/>
        </w:rPr>
        <w:t>Vrbová T et al.  ·  J Eval Clin Pract  ·  Okt. 2026  ·  PMID 42947353</w:t>
      </w:r>
    </w:p>
    <w:p>
      <w:r>
        <w:t>Fünf Fokusgruppen in Tschechien erkundeten, wie Menschen Standard- und Plain-Language-Versionen von Gesundheitsempfehlungen verstehen und bewerten.</w:t>
      </w:r>
    </w:p>
    <w:p>
      <w:r>
        <w:rPr>
          <w:b/>
        </w:rPr>
        <w:t xml:space="preserve">Ergebnis: </w:t>
      </w:r>
      <w:r>
        <w:t>Vier zentrale Faktoren bestimmen das Verständnis: (1) Auffindbarkeit/Zugänglichkeit der Information, (2) verfügbare Zeit für Lektüre, (3) Attraktivität des Themas, (4) Vertrauen in die Quelle. Die meisten bevorzugten die Plain-Language-Version für konkrete Informationen, einige aber die Standardversion für komplexere Zusammenhänge. Vertrauen in die Quelle war kritisch für die Umsetzung von Empfehlungen.</w:t>
      </w:r>
    </w:p>
    <w:p>
      <w:r>
        <w:rPr>
          <w:b/>
          <w:sz w:val="19"/>
        </w:rPr>
        <w:t xml:space="preserve">Übertragbarkeit: </w:t>
      </w:r>
      <w:r>
        <w:rPr>
          <w:sz w:val="19"/>
        </w:rPr>
        <w:t>Tschechien, deutschsprachig benachbart, sprachunabhängige Befunde zu Zugang und Vertrauen.</w:t>
      </w:r>
    </w:p>
    <w:p>
      <w:r>
        <w:rPr>
          <w:color w:val="5A7D3A"/>
          <w:sz w:val="18"/>
        </w:rPr>
        <w:t>https://pubmed.ncbi.nlm.nih.gov/42947353/</w:t>
      </w:r>
    </w:p>
    <w:p>
      <w:pPr>
        <w:pStyle w:val="Heading2"/>
      </w:pPr>
      <w:r>
        <w:t>Digitale Schulungen für chronisch Kranke im Alter: Evidenz bleibt schwach</w:t>
      </w:r>
    </w:p>
    <w:p>
      <w:r>
        <w:rPr>
          <w:i/>
          <w:color w:val="666666"/>
          <w:sz w:val="18"/>
        </w:rPr>
        <w:t>Sezer E et al.  ·  Front Public Health  ·  12.10.2026  ·  PMID 42935759</w:t>
      </w:r>
    </w:p>
    <w:p>
      <w:r>
        <w:t>Umbrella Review von 11 Cochrane- und anderen systematischen Übersichten über digitale Gesundheitsschulungen für über 60-Jährige mit chronischen Erkrankungen (44 Meta-Analysen aus 199 RCTs).</w:t>
      </w:r>
    </w:p>
    <w:p>
      <w:r>
        <w:rPr>
          <w:b/>
        </w:rPr>
        <w:t xml:space="preserve">Ergebnis: </w:t>
      </w:r>
      <w:r>
        <w:t>Keine der 44 Outcomes erfüllte Kriterien für hohe Evidenz (Class I–III). 15 Outcomes (34,1%) erreichten schwache Evidenz (Class IV), 29 (65,9%) waren nicht signifikant. Nur 3 von 10 systematischen Übersichten waren hochgradig vertrauenswürdig (AMSTAR 2). Prediction Interval kreuzte Null für alle 44 Outcomes. Schlussfolgerung: Unreife Evidenzbasis – wenige Studien, kurze Nachverfolgung, hohe Heterogenität – nicht fehlende Wirksamkeit.</w:t>
      </w:r>
    </w:p>
    <w:p>
      <w:r>
        <w:rPr>
          <w:b/>
          <w:sz w:val="19"/>
        </w:rPr>
        <w:t xml:space="preserve">Übertragbarkeit: </w:t>
      </w:r>
      <w:r>
        <w:rPr>
          <w:sz w:val="19"/>
        </w:rPr>
        <w:t>Methodische Synthese aus internationalen Studien, aber Lücke gilt auch für deutschsprachige Versorgung.</w:t>
      </w:r>
    </w:p>
    <w:p>
      <w:r>
        <w:rPr>
          <w:color w:val="5A7D3A"/>
          <w:sz w:val="18"/>
        </w:rPr>
        <w:t>https://pubmed.ncbi.nlm.nih.gov/42935759/</w:t>
      </w:r>
    </w:p>
    <w:p>
      <w:pPr>
        <w:pStyle w:val="Heading2"/>
      </w:pPr>
      <w:r>
        <w:t>Mundgesundheitsschulung senkt Zahnarztangst und verbessert Zahnpflege bei älteren Menschen</w:t>
      </w:r>
    </w:p>
    <w:p>
      <w:r>
        <w:rPr>
          <w:i/>
          <w:color w:val="666666"/>
          <w:sz w:val="18"/>
        </w:rPr>
        <w:t>Gamaa ARA et al.  ·  Nurs Open  ·  Okt. 2026  ·  PMID 42934862</w:t>
      </w:r>
    </w:p>
    <w:p>
      <w:r>
        <w:t>Ägypten, 50 ältere Menschen mit Zahnerkrankungen, sieben Schulungssitzungen von Stomatherapeuten zur Mundgesundheit, Zahnhygiene, Ernährung und Angstbewältigung; Messungen vor und nach Intervention.</w:t>
      </w:r>
    </w:p>
    <w:p>
      <w:r>
        <w:rPr>
          <w:b/>
        </w:rPr>
        <w:t xml:space="preserve">Ergebnis: </w:t>
      </w:r>
      <w:r>
        <w:t>Nach Intervention signifikant niedrigere Zahnangst-Werte (Short Dental Anxiety Inventory), höhere Mundgesundheitskompetenz und bessere Mundhygieneverhalten im Vergleich zur Baseline. Positive Assoziation zwischen höherem Wissen und besserem Verhalten. Limitierung: keine Kontrollgruppe.</w:t>
      </w:r>
    </w:p>
    <w:p>
      <w:r>
        <w:rPr>
          <w:b/>
          <w:sz w:val="19"/>
        </w:rPr>
        <w:t xml:space="preserve">Übertragbarkeit: </w:t>
      </w:r>
      <w:r>
        <w:rPr>
          <w:sz w:val="19"/>
        </w:rPr>
        <w:t>Ägypten, aber universelle Schulungselemente, Zahnpflege systemunabhängig.</w:t>
      </w:r>
    </w:p>
    <w:p>
      <w:r>
        <w:rPr>
          <w:color w:val="5A7D3A"/>
          <w:sz w:val="18"/>
        </w:rPr>
        <w:t>https://pubmed.ncbi.nlm.nih.gov/42934862/</w:t>
      </w:r>
    </w:p>
    <w:p>
      <w:pPr>
        <w:pStyle w:val="Heading2"/>
      </w:pPr>
      <w:r>
        <w:t>Mental-Health-Schulung in Schulen: Empfohlene Inhaltsabfolge und Pyramidenmodell</w:t>
      </w:r>
    </w:p>
    <w:p>
      <w:r>
        <w:rPr>
          <w:i/>
          <w:color w:val="666666"/>
          <w:sz w:val="18"/>
        </w:rPr>
        <w:t>Lezcano Barbero F et al.  ·  Actas Esp Psiquiatr  ·  15.10.2026  ·  PMID 42928668</w:t>
      </w:r>
    </w:p>
    <w:p>
      <w:r>
        <w:t>Systematische Übersicht von 26 schulgestützten Interventionen zur Förderung von Mental-Health-Literacy bei Adoleszenten; Scoping-Review mit Inhaltsanalyse zur Identifikation von Kernthemen und deren sinnvolle Reihenfolge.</w:t>
      </w:r>
    </w:p>
    <w:p>
      <w:r>
        <w:rPr>
          <w:b/>
        </w:rPr>
        <w:t xml:space="preserve">Ergebnis: </w:t>
      </w:r>
      <w:r>
        <w:t>Vierzehn thematische Kategorien identifiziert. Empfohlene hierarchische Abfolge: (1) Grundwissen zu psychischen Erkrankungen, (2) Stigmaabbau durch authentische Geschichten, (3) Hilfesuche, (4) Früherkennung und Prävention, (5) Schutzfaktoren und Bewältigungsstrategien, (6) Krisenerkennung und Erste Hilfe. Wenige Programme bezogen Menschen mit Erfahrung psychischer Erkrankungen ein.</w:t>
      </w:r>
    </w:p>
    <w:p>
      <w:r>
        <w:rPr>
          <w:b/>
          <w:sz w:val="19"/>
        </w:rPr>
        <w:t xml:space="preserve">Übertragbarkeit: </w:t>
      </w:r>
      <w:r>
        <w:rPr>
          <w:sz w:val="19"/>
        </w:rPr>
        <w:t>Spanien, aber inhaltliche Pyramide sprachunabhängig, schulische Strukturen vergleichbar.</w:t>
      </w:r>
    </w:p>
    <w:p>
      <w:r>
        <w:rPr>
          <w:color w:val="5A7D3A"/>
          <w:sz w:val="18"/>
        </w:rPr>
        <w:t>https://pubmed.ncbi.nlm.nih.gov/42928668/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