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26.08.2026  |  7 Studien  |  healthliteracy.m-vf.de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Kann eine App Bewegung bei Krebsüberlebenden halten? 12-Monate Engagement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Deskriptive Analyse von Server-Log-Daten aus 378 norwegischen Gynäkologiekrebsüberlebenden, die 12 Monate lang mit Fitness-App-Komponente plus Aktivitätstracker begleitet wurden.</w:t>
      </w:r>
    </w:p>
    <w:p>
      <w:r>
        <w:rPr>
          <w:b/>
        </w:rPr>
        <w:t xml:space="preserve">Ergebnis: </w:t>
      </w:r>
      <w:r>
        <w:t>Von 378 Teilnehmern loggten 72% (n=272) mindestens zwei Wochen PA, 60% (n=225) synchronisierten objektive Schritte. Mittlerer Tageswert 5657 Schritte (SD 2799). App-Nutzer waren jünger (Δ –6,7 Jahre; p &lt; 0,001), öfter berufstätig (χ²=12,7; p &lt; 0,001) und höher gebildet (χ²=13,6; p &lt; 0,001) als Nicht-Nutzer. Engagement folgte Ebb-and-Flow-Muster (Rückgänge um Wochen 16, 32, 44, Erholung nach 3 Wochen).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öffentliches Versorgungssystem mit vergleichbarer Digitalinfrastruktur; Geschlechts-/Bildungsungleichheit universal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Trauen Krebspatienten Online-Foren oder Alternativmedizin? eHealth Literacy ist nicht der Treiber</w:t>
      </w:r>
    </w:p>
    <w:p>
      <w:r>
        <w:rPr>
          <w:i/>
          <w:color w:val="666666"/>
          <w:sz w:val="18"/>
        </w:rPr>
        <w:t>Ciarlo G et al.  ·  Support Care Cancer  ·  04.08.2026  ·  PMID 42550300</w:t>
      </w:r>
    </w:p>
    <w:p>
      <w:r>
        <w:t>Querschnittsbefragung von 458 Nutzern des größten deutschsprachigen Krebsforums zu Forumnutzung, Einstellungen zur Komplementärmedizin und eHealth Literacy; Regressionsmodelle.</w:t>
      </w:r>
    </w:p>
    <w:p>
      <w:r>
        <w:rPr>
          <w:b/>
        </w:rPr>
        <w:t xml:space="preserve">Ergebnis: </w:t>
      </w:r>
      <w:r>
        <w:t>44,3% (n=203) nutzten CAM; Nutzungsintensität moderat (Median 2, IQR 1–3). Keine Assoziation zwischen Forumnutzung, eHealth Literacy oder psychischem Stress und CAM-Anwendung. CAM-Diskussionen im Forum bewertet als signifikant weniger vertrauenswürdig als Gespräche zu konventionellen Therapien (t(383)=16,88; p &lt; 0,001), unabhängig von eHealth Literacy und Distress. Forumnutzung differenziert zwischen Vertrauensbereichen – suggeriert Forenlerner als kritisch.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(größtes deutsches Krebsforum); Befunde zu Vertrauensdifferenzierung kultur- und systemübergreifend relevant</w:t>
      </w:r>
    </w:p>
    <w:p>
      <w:r>
        <w:rPr>
          <w:color w:val="5A7D3A"/>
          <w:sz w:val="18"/>
        </w:rPr>
        <w:t>https://pubmed.ncbi.nlm.nih.gov/42550300/</w:t>
      </w:r>
    </w:p>
    <w:p>
      <w:pPr>
        <w:pStyle w:val="Heading2"/>
      </w:pPr>
      <w:r>
        <w:t>Können Jugendliche Gesundheitsinformation bewerten? Validierung eines Kurzfragebogens</w:t>
      </w:r>
    </w:p>
    <w:p>
      <w:r>
        <w:rPr>
          <w:i/>
          <w:color w:val="666666"/>
          <w:sz w:val="18"/>
        </w:rPr>
        <w:t>Haugen ALH et al.  ·  Front Public Health  ·  09.07.2026  ·  PMID 42494905</w:t>
      </w:r>
    </w:p>
    <w:p>
      <w:r>
        <w:t>Validierung eines fünf-Item-Selbstberichts-Instrumentes zur kritischen Gesundheitskompetenz (CHLA-QA) bei 522 norwegischen Schülern (13–15 Jahre); Known-Groups und konvergente Validität.</w:t>
      </w:r>
    </w:p>
    <w:p>
      <w:r>
        <w:rPr>
          <w:b/>
        </w:rPr>
        <w:t xml:space="preserve">Ergebnis: </w:t>
      </w:r>
      <w:r>
        <w:t>Fünf-Item-Lösung mit akzeptabler Passung (CFI = 0,98; RMSEA = 0,097), starker standardisierter Ladungen (0,582–0,839), zufriedenstellender Reliabilität (α = 0,79). Mädchen höher als Jungen (p &lt; 0,001; r = 0,169). Sozioökonomischer Gradient: höhere Werte bei Elternbildung (r = 0,111) und Büchern zu Hause (ε² = 0,024). HLSAC stieg stufenweise nach CHLA-QA-Gruppen (ε² = 0,132).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Schulsystem mit ähnlicher Gesundheitskompetenz-Infrastruktur</w:t>
      </w:r>
    </w:p>
    <w:p>
      <w:r>
        <w:rPr>
          <w:color w:val="5A7D3A"/>
          <w:sz w:val="18"/>
        </w:rPr>
        <w:t>https://pubmed.ncbi.nlm.nih.gov/42494905/</w:t>
      </w:r>
    </w:p>
    <w:p>
      <w:pPr>
        <w:pStyle w:val="Heading2"/>
      </w:pPr>
      <w:r>
        <w:t>Vier Gesundheitskompetenz-Profile bei Frauen zur kardiovaskulären Prävention</w:t>
      </w:r>
    </w:p>
    <w:p>
      <w:r>
        <w:rPr>
          <w:i/>
          <w:color w:val="666666"/>
          <w:sz w:val="18"/>
        </w:rPr>
        <w:t>Cosma C et al.  ·  BMJ Open  ·  16.07.2026  ·  PMID 42463207</w:t>
      </w:r>
    </w:p>
    <w:p>
      <w:r>
        <w:t>Clusteranalyse der Gesundheitskompetenz (neun HLQ-Dimensionen) bei 156 Frauen in benachteiligtem Stadtteil Florenz; vier Profile von breiter Stärke bis zu Herausforderungen in allen Bereichen.</w:t>
      </w:r>
    </w:p>
    <w:p>
      <w:r>
        <w:rPr>
          <w:b/>
        </w:rPr>
        <w:t xml:space="preserve">Ergebnis: </w:t>
      </w:r>
      <w:r>
        <w:t>Vier distinct Profile identifiziert (p &lt; 0,001): 16,7% mit breiten Stärken, 48,7% mit Stärken und selektiven Herausforderungen, 8,3% mit weit verbreiteten Herausforderungen, 26,3% mit gemischtem Profil und geringerer sozialer Unterstützung. Profile mit markanten Herausforderungen assoziiert mit niedrigerem Einkommen, schlechterer Eigengesundheitswahrnehmung und schwächerer Ernährungsliteratur. Meaningfulness-Dimension der Kohärenz höher bei stärkeren Profilen (p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Sozialversicherungssystem und Versorgungsstruktur</w:t>
      </w:r>
    </w:p>
    <w:p>
      <w:r>
        <w:rPr>
          <w:color w:val="5A7D3A"/>
          <w:sz w:val="18"/>
        </w:rPr>
        <w:t>https://pubmed.ncbi.nlm.nih.gov/42463207/</w:t>
      </w:r>
    </w:p>
    <w:p>
      <w:pPr>
        <w:pStyle w:val="Heading2"/>
      </w:pPr>
      <w:r>
        <w:t>Patientenaktivierung und Arzt-Patient-Kommunikation senken Krebsmüdigkeit</w:t>
      </w:r>
    </w:p>
    <w:p>
      <w:r>
        <w:rPr>
          <w:i/>
          <w:color w:val="666666"/>
          <w:sz w:val="18"/>
        </w:rPr>
        <w:t>Nguyen DT et al.  ·  Psychooncology  ·  Juli 2026  ·  PMID 42452905</w:t>
      </w:r>
    </w:p>
    <w:p>
      <w:r>
        <w:t>Beobachtungsstudie LIFT (Deutschland, 1175 Krebsüberlebende) mit Messungen von Patient Activation Measure (PAM-13-D) und Kommunikationsqualität (ComQ) neun Monate nach Diagnose, Outcome Müdigkeit (EORTC QLQ-FA12) nach 12 und 24 Monaten.</w:t>
      </w:r>
    </w:p>
    <w:p>
      <w:r>
        <w:rPr>
          <w:b/>
        </w:rPr>
        <w:t xml:space="preserve">Ergebnis: </w:t>
      </w:r>
      <w:r>
        <w:t>PAM bei neun Monaten negativ assoziiert mit körperlicher und Gesamt-Müdigkeit bei 12 und 24 Monaten (multivariabel mit Kovariaten). ComQ bei neun Monaten negativ mit Müdigkeit bei 12 Monaten assoziiert. Nach zusätzlicher Anpassung für Voraus-Müdigkeit (4–6 Monate) blieben PAM-Assoziationen bei 12 Monaten bestehen, wurden aber abgeschwächt.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Versorgungssystem mit vergleichbarer onkologischer Struktur</w:t>
      </w:r>
    </w:p>
    <w:p>
      <w:r>
        <w:rPr>
          <w:color w:val="5A7D3A"/>
          <w:sz w:val="18"/>
        </w:rPr>
        <w:t>https://pubmed.ncbi.nlm.nih.gov/42452905/</w:t>
      </w:r>
    </w:p>
    <w:p>
      <w:pPr>
        <w:pStyle w:val="Heading2"/>
      </w:pPr>
      <w:r>
        <w:t>Entscheidungshilfen für Bluthochdruck: Systematische Übersicht über Qualität und Design</w:t>
      </w:r>
    </w:p>
    <w:p>
      <w:r>
        <w:rPr>
          <w:i/>
          <w:color w:val="666666"/>
          <w:sz w:val="18"/>
        </w:rPr>
        <w:t>Berghold J et al.  ·  BMC Med Inform Decis Mak  ·  11.07.2026  ·  PMID 42436484</w:t>
      </w:r>
    </w:p>
    <w:p>
      <w:r>
        <w:t>Systematische Übersicht von fünf Entscheidungshilfen (PDA) für Hypertonie nach IPDAS-Kriterien; Bewertung der Qualität und Einhaltung von Standards.</w:t>
      </w:r>
    </w:p>
    <w:p>
      <w:r>
        <w:rPr>
          <w:b/>
        </w:rPr>
        <w:t xml:space="preserve">Ergebnis: </w:t>
      </w:r>
      <w:r>
        <w:t>Fünf PDAs (2019–2024) aus USA, UK, Deutschland identifiziert; alle online zugänglich, alle adressierten Medikament und Lebensstil (2–12 Optionen), mit Option-Grid-Format, Visuals, Werte-Klärung. Qualitätsbewertung nach IPDAS sehr unterschiedlich: Scores 49/116 bis 87/116. Lücken in Entwicklungsprozessen. Keine randomisierten Wirksamkeitsstudien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mit einer PDA vertreten; Hypertonie-Management in DACH-Ländern vergleichbar, aber wenig lokale Evidence</w:t>
      </w:r>
    </w:p>
    <w:p>
      <w:r>
        <w:rPr>
          <w:color w:val="5A7D3A"/>
          <w:sz w:val="18"/>
        </w:rPr>
        <w:t>https://pubmed.ncbi.nlm.nih.gov/42436484/</w:t>
      </w:r>
    </w:p>
    <w:p>
      <w:pPr>
        <w:pStyle w:val="Heading2"/>
      </w:pPr>
      <w:r>
        <w:t>Patient-Partner in Krebsforschung: Wie echte Mitgestaltung gelingt</w:t>
      </w:r>
    </w:p>
    <w:p>
      <w:r>
        <w:rPr>
          <w:i/>
          <w:color w:val="666666"/>
          <w:sz w:val="18"/>
        </w:rPr>
        <w:t>Busnel Y et al.  ·  Health Expect  ·  Aug. 2026  ·  PMID 42423243</w:t>
      </w:r>
    </w:p>
    <w:p>
      <w:r>
        <w:t>Qualitative Interviews mit sieben Patient-Partnern über ihre Erfahrungen in partizipativer Forschungsgovernance (PROOF-Projekt Frankreich); Analyse von Bedingungen für echte Beteiligung.</w:t>
      </w:r>
    </w:p>
    <w:p>
      <w:r>
        <w:rPr>
          <w:b/>
        </w:rPr>
        <w:t xml:space="preserve">Ergebnis: </w:t>
      </w:r>
      <w:r>
        <w:t>Drei Themen: (1) Persönliche Einladung als Anerkennung triggert Engagement; (2) Echte Mitgestaltung durch dedizierte Räume, Vertrauensrelation und responsive Teams möglich, aber administrative Hürden bremsen; (3) Gegenseitige Transformation – Patient-Partner sahen Beitrag zu Interventionsdesign und Team, Plus eigene Kompetenzentwicklung und Netzwerk. Barrieren primär strukturell (administrative Zwänge, Forschungsrhythmen).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europäisches Versicherungssystem mit Partizipationstraditionen</w:t>
      </w:r>
    </w:p>
    <w:p>
      <w:r>
        <w:rPr>
          <w:color w:val="5A7D3A"/>
          <w:sz w:val="18"/>
        </w:rPr>
        <w:t>https://pubmed.ncbi.nlm.nih.gov/42423243/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