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05.10.2026  |  5 Studien  |  healthliteracy.m-vf.de</w:t>
      </w:r>
    </w:p>
    <w:p>
      <w:pPr>
        <w:pStyle w:val="Heading1"/>
      </w:pPr>
      <w:r>
        <w:t>Aufgenommen am 05.10.2026</w:t>
      </w:r>
    </w:p>
    <w:p>
      <w:pPr>
        <w:pStyle w:val="Heading2"/>
      </w:pPr>
      <w:r>
        <w:t>GPT-4 liefert bessere Krebsinformationen als Google</w:t>
      </w:r>
    </w:p>
    <w:p>
      <w:r>
        <w:rPr>
          <w:i/>
          <w:color w:val="666666"/>
          <w:sz w:val="18"/>
        </w:rPr>
        <w:t>Smick AH et al.  ·  JMIR Cancer  ·  29.09.2026  ·  PMID 42809848</w:t>
      </w:r>
    </w:p>
    <w:p>
      <w:r>
        <w:t>Vergleichende Studie, die GPT-4 und Google bei der Beantwortung von 21 standardisierten Patientenfragen zu Endometrial-, Ovarial- und Zervixkarzinom evaluierte, bewertet von 4 blinden Gynäkologen.</w:t>
      </w:r>
    </w:p>
    <w:p>
      <w:r>
        <w:rPr>
          <w:b/>
        </w:rPr>
        <w:t xml:space="preserve">Ergebnis: </w:t>
      </w:r>
      <w:r>
        <w:t>GPT-4 erreichte Median-Genauigkeit 6,0/6 vs. Google 5,0/6 (p=0,04), Vollständigkeit 3,0/3 vs. 2,0/3 (p=0,009) und Referenzqualität 3,0/3 vs. 2,0/3 (p=0,009). GPT-4 überbot alle menschlichen Vergleichsgruppen in Genauigkeit und Vollständigkeit deutlich.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Fragestellung zu Informationsqualität sprach- und systemunabhängig</w:t>
      </w:r>
    </w:p>
    <w:p>
      <w:r>
        <w:rPr>
          <w:color w:val="5A7D3A"/>
          <w:sz w:val="18"/>
        </w:rPr>
        <w:t>https://pubmed.ncbi.nlm.nih.gov/42809848/</w:t>
      </w:r>
    </w:p>
    <w:p>
      <w:pPr>
        <w:pStyle w:val="Heading2"/>
      </w:pPr>
      <w:r>
        <w:t>Große Sprachmodelle antworten in Englisch und Chinesisch gleich genau</w:t>
      </w:r>
    </w:p>
    <w:p>
      <w:r>
        <w:rPr>
          <w:i/>
          <w:color w:val="666666"/>
          <w:sz w:val="18"/>
        </w:rPr>
        <w:t>Wu Z et al.  ·  J Med Internet Res  ·  29.09.2026  ·  PMID 42809827</w:t>
      </w:r>
    </w:p>
    <w:p>
      <w:r>
        <w:t>Kontrollierte Evaluation von 11 Large Language Models bei 150 binären Verbraucherfragen zu Gesundheit in Englisch und Chinesisch, unter verschiedenen Prompt-Bedingungen und Fehlerkorrekturstrategien.</w:t>
      </w:r>
    </w:p>
    <w:p>
      <w:r>
        <w:rPr>
          <w:b/>
        </w:rPr>
        <w:t xml:space="preserve">Ergebnis: </w:t>
      </w:r>
      <w:r>
        <w:t>Englisch und Chinesisch zeigten vergleichbare Gesamtgenauigkeit (95,27% vs. 93,82%, p=0,99), kein signifikanter Sprachhaupt-Effekt. DeepSeek zeigte signifikantes Englisch-Verständlichkeitsdefizit (β=-0,73, p=0,016); Fehlerattribution erreichte höchste Korrekturrate (55,56%). Keine universellen sprachgebundenen Qualitätsprobleme, aber modellspezifische Interaktionen.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China/Mehrsprachigkeit, aber Befund zur sprachlichen Gleichheit modellübergreifend relevant</w:t>
      </w:r>
    </w:p>
    <w:p>
      <w:r>
        <w:rPr>
          <w:color w:val="5A7D3A"/>
          <w:sz w:val="18"/>
        </w:rPr>
        <w:t>https://pubmed.ncbi.nlm.nih.gov/42809827/</w:t>
      </w:r>
    </w:p>
    <w:p>
      <w:pPr>
        <w:pStyle w:val="Heading2"/>
      </w:pPr>
      <w:r>
        <w:t>Digitale Gesundheitskompetenz-Schulung für ältere Erwachsene verbessert Informationsverhalten</w:t>
      </w:r>
    </w:p>
    <w:p>
      <w:r>
        <w:rPr>
          <w:i/>
          <w:color w:val="666666"/>
          <w:sz w:val="18"/>
        </w:rPr>
        <w:t>Rosle NH et al.  ·  PLoS One  ·  28.09.2026  ·  PMID 42804489</w:t>
      </w:r>
    </w:p>
    <w:p>
      <w:r>
        <w:t>Studienprotokoll einer randomisierten Cluster-kontrollierten Studie zur Evaluierung des ODDHeaL-Moduls für digitale Gesundheitskompetenz bei über 55-Jährigen in Malaysia mit Messungen zu Selbstwirksamkeit und Informationssuche.</w:t>
      </w:r>
    </w:p>
    <w:p>
      <w:r>
        <w:rPr>
          <w:b/>
        </w:rPr>
        <w:t xml:space="preserve">Ergebnis: </w:t>
      </w:r>
      <w:r>
        <w:t>Studienprotokoll beschreibt geplante Messungen an Baseline und nach 2 Monaten. Erwartet werden Verbesserungen in digitaler Gesundheitskompetenz, Wahrnehmung von Online-Gesundheitsinformationen, Selbstwirksamkeit und Informationssuchverhalten durch das systematisch entwickelte Modul basierend auf ADDIE-Modell.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Malaysia, aber Designprinzipien für ältere Zielgruppen länderübergreifend adaptierbar</w:t>
      </w:r>
    </w:p>
    <w:p>
      <w:r>
        <w:rPr>
          <w:color w:val="5A7D3A"/>
          <w:sz w:val="18"/>
        </w:rPr>
        <w:t>https://pubmed.ncbi.nlm.nih.gov/42804489/</w:t>
      </w:r>
    </w:p>
    <w:p>
      <w:pPr>
        <w:pStyle w:val="Heading2"/>
      </w:pPr>
      <w:r>
        <w:t>Vertrauensvolle Arzt-Patient-Beziehung fördert Beteiligung an Entscheidungen</w:t>
      </w:r>
    </w:p>
    <w:p>
      <w:r>
        <w:rPr>
          <w:i/>
          <w:color w:val="666666"/>
          <w:sz w:val="18"/>
        </w:rPr>
        <w:t>Toyoshima H et al.  ·  BMC Res Notes  ·  21.09.2026  ·  PMID 42768368</w:t>
      </w:r>
    </w:p>
    <w:p>
      <w:r>
        <w:t>Querschnittsstudie mit Patienten mit chronisch-entzündlichen Darmerkrankungen, die Faktoren der Patientenbeteiligung an Behandlungsentscheidungen mittels vereinfachter PTES-Skala untersucht.</w:t>
      </w:r>
    </w:p>
    <w:p>
      <w:r>
        <w:rPr>
          <w:b/>
        </w:rPr>
        <w:t xml:space="preserve">Ergebnis: </w:t>
      </w:r>
      <w:r>
        <w:t>Behandlungsoptionen (β = 0,191), Vertrauen zum behandelnden Arzt (β = 0,119), Komplikationen (β = 0,128) und Anzahl vertrauter Fachpersonen (β = 0,099) waren die stärksten Einflussfaktoren. Multiple Optionen und Vertrauensaufbau erklärten die höchste Varianz in der Patientenbeteiligung.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aber Mechanismus der Vertrauenswirkung kulturübergreifend relevant</w:t>
      </w:r>
    </w:p>
    <w:p>
      <w:r>
        <w:rPr>
          <w:color w:val="5A7D3A"/>
          <w:sz w:val="18"/>
        </w:rPr>
        <w:t>https://pubmed.ncbi.nlm.nih.gov/42768368/</w:t>
      </w:r>
    </w:p>
    <w:p>
      <w:pPr>
        <w:pStyle w:val="Heading2"/>
      </w:pPr>
      <w:r>
        <w:t>Digitale Schulung und Bewegungstherapie verbessern Lebensqualität bei Knie- und Hüftarthrose</w:t>
      </w:r>
    </w:p>
    <w:p>
      <w:r>
        <w:rPr>
          <w:i/>
          <w:color w:val="666666"/>
          <w:sz w:val="18"/>
        </w:rPr>
        <w:t>Kiadaliri A et al.  ·  Health Qual Life Outcomes  ·  19.09.2026  ·  PMID 42764365</w:t>
      </w:r>
    </w:p>
    <w:p>
      <w:r>
        <w:t>Longitudinale Registerstudie mit über 15.000 Teilnehmern eines digitalen Bildungs- und Bewegungsprogramms für Knie- und Hüftarthrose, gemessen mit EQ-5D-5L nach 3 und 12 Monaten.</w:t>
      </w:r>
    </w:p>
    <w:p>
      <w:r>
        <w:rPr>
          <w:b/>
        </w:rPr>
        <w:t xml:space="preserve">Ergebnis: </w:t>
      </w:r>
      <w:r>
        <w:t>46,9% der Teilnehmer zeigten nach 3 Monaten, 50,4% nach 12 Monaten verbesserte Lebensqualitätsprofile; 19,5% bzw. 20,1% verschlechterten sich; 19,7% bzw. 18,7% zeigten gemischte Veränderungen. Das Programm zeigte heterogene Verläufe mit erheblicher Wirkung bei etwa der Hälfte der Teilnehmer.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Versicherungssystem und Digitalisierungsgrad</w:t>
      </w:r>
    </w:p>
    <w:p>
      <w:r>
        <w:rPr>
          <w:color w:val="5A7D3A"/>
          <w:sz w:val="18"/>
        </w:rPr>
        <w:t>https://pubmed.ncbi.nlm.nih.gov/42764365/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2026-10-05T06:00:00Z</dcterms:created>
  <dcterms:modified xsi:type="dcterms:W3CDTF">2026-10-05T06:00:00Z</dcterms:modified>
  <cp:category/>
</cp:coreProperties>
</file>