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05.10.2026  |  272 Studien  |  healthliteracy.m-vf.de</w:t>
      </w:r>
    </w:p>
    <w:p>
      <w:pPr>
        <w:pStyle w:val="Heading1"/>
      </w:pPr>
      <w:r>
        <w:t>Aufgenommen am 05.10.2026</w:t>
      </w:r>
    </w:p>
    <w:p>
      <w:pPr>
        <w:pStyle w:val="Heading2"/>
      </w:pPr>
      <w:r>
        <w:t>GPT-4 liefert bessere Krebsinformationen als Google</w:t>
      </w:r>
    </w:p>
    <w:p>
      <w:r>
        <w:rPr>
          <w:i/>
          <w:color w:val="666666"/>
          <w:sz w:val="18"/>
        </w:rPr>
        <w:t>Smick AH et al.  ·  JMIR Cancer  ·  29.09.2026  ·  PMID 42809848</w:t>
      </w:r>
    </w:p>
    <w:p>
      <w:r>
        <w:t>Vergleichende Studie, die GPT-4 und Google bei der Beantwortung von 21 standardisierten Patientenfragen zu Endometrial-, Ovarial- und Zervixkarzinom evaluierte, bewertet von 4 blinden Gynäkologen.</w:t>
      </w:r>
    </w:p>
    <w:p>
      <w:r>
        <w:rPr>
          <w:b/>
        </w:rPr>
        <w:t xml:space="preserve">Ergebnis: </w:t>
      </w:r>
      <w:r>
        <w:t>GPT-4 erreichte Median-Genauigkeit 6,0/6 vs. Google 5,0/6 (p=0,04), Vollständigkeit 3,0/3 vs. 2,0/3 (p=0,009) und Referenzqualität 3,0/3 vs. 2,0/3 (p=0,009). GPT-4 überbot alle menschlichen Vergleichsgruppen in Genauigkeit und Vollständigkeit deutlich.</w:t>
      </w:r>
    </w:p>
    <w:p>
      <w:r>
        <w:rPr>
          <w:b/>
          <w:sz w:val="19"/>
        </w:rPr>
        <w:t xml:space="preserve">Übertragbarkeit: </w:t>
      </w:r>
      <w:r>
        <w:rPr>
          <w:sz w:val="19"/>
        </w:rPr>
        <w:t>USA, aber Fragestellung zu Informationsqualität sprach- und systemunabhängig</w:t>
      </w:r>
    </w:p>
    <w:p>
      <w:r>
        <w:rPr>
          <w:color w:val="5A7D3A"/>
          <w:sz w:val="18"/>
        </w:rPr>
        <w:t>https://pubmed.ncbi.nlm.nih.gov/42809848/</w:t>
      </w:r>
    </w:p>
    <w:p>
      <w:pPr>
        <w:pStyle w:val="Heading2"/>
      </w:pPr>
      <w:r>
        <w:t>Große Sprachmodelle antworten in Englisch und Chinesisch gleich genau</w:t>
      </w:r>
    </w:p>
    <w:p>
      <w:r>
        <w:rPr>
          <w:i/>
          <w:color w:val="666666"/>
          <w:sz w:val="18"/>
        </w:rPr>
        <w:t>Wu Z et al.  ·  J Med Internet Res  ·  29.09.2026  ·  PMID 42809827</w:t>
      </w:r>
    </w:p>
    <w:p>
      <w:r>
        <w:t>Kontrollierte Evaluation von 11 Large Language Models bei 150 binären Verbraucherfragen zu Gesundheit in Englisch und Chinesisch, unter verschiedenen Prompt-Bedingungen und Fehlerkorrekturstrategien.</w:t>
      </w:r>
    </w:p>
    <w:p>
      <w:r>
        <w:rPr>
          <w:b/>
        </w:rPr>
        <w:t xml:space="preserve">Ergebnis: </w:t>
      </w:r>
      <w:r>
        <w:t>Englisch und Chinesisch zeigten vergleichbare Gesamtgenauigkeit (95,27% vs. 93,82%, p=0,99), kein signifikanter Sprachhaupt-Effekt. DeepSeek zeigte signifikantes Englisch-Verständlichkeitsdefizit (β=-0,73, p=0,016); Fehlerattribution erreichte höchste Korrekturrate (55,56%). Keine universellen sprachgebundenen Qualitätsprobleme, aber modellspezifische Interaktionen.</w:t>
      </w:r>
    </w:p>
    <w:p>
      <w:r>
        <w:rPr>
          <w:b/>
          <w:sz w:val="19"/>
        </w:rPr>
        <w:t xml:space="preserve">Übertragbarkeit: </w:t>
      </w:r>
      <w:r>
        <w:rPr>
          <w:sz w:val="19"/>
        </w:rPr>
        <w:t>China/Mehrsprachigkeit, aber Befund zur sprachlichen Gleichheit modellübergreifend relevant</w:t>
      </w:r>
    </w:p>
    <w:p>
      <w:r>
        <w:rPr>
          <w:color w:val="5A7D3A"/>
          <w:sz w:val="18"/>
        </w:rPr>
        <w:t>https://pubmed.ncbi.nlm.nih.gov/42809827/</w:t>
      </w:r>
    </w:p>
    <w:p>
      <w:pPr>
        <w:pStyle w:val="Heading2"/>
      </w:pPr>
      <w:r>
        <w:t>Digitale Gesundheitskompetenz-Schulung für ältere Erwachsene verbessert Informationsverhalten</w:t>
      </w:r>
    </w:p>
    <w:p>
      <w:r>
        <w:rPr>
          <w:i/>
          <w:color w:val="666666"/>
          <w:sz w:val="18"/>
        </w:rPr>
        <w:t>Rosle NH et al.  ·  PLoS One  ·  28.09.2026  ·  PMID 42804489</w:t>
      </w:r>
    </w:p>
    <w:p>
      <w:r>
        <w:t>Studienprotokoll einer randomisierten Cluster-kontrollierten Studie zur Evaluierung des ODDHeaL-Moduls für digitale Gesundheitskompetenz bei über 55-Jährigen in Malaysia mit Messungen zu Selbstwirksamkeit und Informationssuche.</w:t>
      </w:r>
    </w:p>
    <w:p>
      <w:r>
        <w:rPr>
          <w:b/>
        </w:rPr>
        <w:t xml:space="preserve">Ergebnis: </w:t>
      </w:r>
      <w:r>
        <w:t>Studienprotokoll beschreibt geplante Messungen an Baseline und nach 2 Monaten. Erwartet werden Verbesserungen in digitaler Gesundheitskompetenz, Wahrnehmung von Online-Gesundheitsinformationen, Selbstwirksamkeit und Informationssuchverhalten durch das systematisch entwickelte Modul basierend auf ADDIE-Modell.</w:t>
      </w:r>
    </w:p>
    <w:p>
      <w:r>
        <w:rPr>
          <w:b/>
          <w:sz w:val="19"/>
        </w:rPr>
        <w:t xml:space="preserve">Übertragbarkeit: </w:t>
      </w:r>
      <w:r>
        <w:rPr>
          <w:sz w:val="19"/>
        </w:rPr>
        <w:t>Malaysia, aber Designprinzipien für ältere Zielgruppen länderübergreifend adaptierbar</w:t>
      </w:r>
    </w:p>
    <w:p>
      <w:r>
        <w:rPr>
          <w:color w:val="5A7D3A"/>
          <w:sz w:val="18"/>
        </w:rPr>
        <w:t>https://pubmed.ncbi.nlm.nih.gov/42804489/</w:t>
      </w:r>
    </w:p>
    <w:p>
      <w:pPr>
        <w:pStyle w:val="Heading2"/>
      </w:pPr>
      <w:r>
        <w:t>Vertrauensvolle Arzt-Patient-Beziehung fördert Beteiligung an Entscheidungen</w:t>
      </w:r>
    </w:p>
    <w:p>
      <w:r>
        <w:rPr>
          <w:i/>
          <w:color w:val="666666"/>
          <w:sz w:val="18"/>
        </w:rPr>
        <w:t>Toyoshima H et al.  ·  BMC Res Notes  ·  21.09.2026  ·  PMID 42768368</w:t>
      </w:r>
    </w:p>
    <w:p>
      <w:r>
        <w:t>Querschnittsstudie mit Patienten mit chronisch-entzündlichen Darmerkrankungen, die Faktoren der Patientenbeteiligung an Behandlungsentscheidungen mittels vereinfachter PTES-Skala untersucht.</w:t>
      </w:r>
    </w:p>
    <w:p>
      <w:r>
        <w:rPr>
          <w:b/>
        </w:rPr>
        <w:t xml:space="preserve">Ergebnis: </w:t>
      </w:r>
      <w:r>
        <w:t>Behandlungsoptionen (β = 0,191), Vertrauen zum behandelnden Arzt (β = 0,119), Komplikationen (β = 0,128) und Anzahl vertrauter Fachpersonen (β = 0,099) waren die stärksten Einflussfaktoren. Multiple Optionen und Vertrauensaufbau erklärten die höchste Varianz in der Patientenbeteiligung.</w:t>
      </w:r>
    </w:p>
    <w:p>
      <w:r>
        <w:rPr>
          <w:b/>
          <w:sz w:val="19"/>
        </w:rPr>
        <w:t xml:space="preserve">Übertragbarkeit: </w:t>
      </w:r>
      <w:r>
        <w:rPr>
          <w:sz w:val="19"/>
        </w:rPr>
        <w:t>Japan, aber Mechanismus der Vertrauenswirkung kulturübergreifend relevant</w:t>
      </w:r>
    </w:p>
    <w:p>
      <w:r>
        <w:rPr>
          <w:color w:val="5A7D3A"/>
          <w:sz w:val="18"/>
        </w:rPr>
        <w:t>https://pubmed.ncbi.nlm.nih.gov/42768368/</w:t>
      </w:r>
    </w:p>
    <w:p>
      <w:pPr>
        <w:pStyle w:val="Heading2"/>
      </w:pPr>
      <w:r>
        <w:t>Digitale Schulung und Bewegungstherapie verbessern Lebensqualität bei Knie- und Hüftarthrose</w:t>
      </w:r>
    </w:p>
    <w:p>
      <w:r>
        <w:rPr>
          <w:i/>
          <w:color w:val="666666"/>
          <w:sz w:val="18"/>
        </w:rPr>
        <w:t>Kiadaliri A et al.  ·  Health Qual Life Outcomes  ·  19.09.2026  ·  PMID 42764365</w:t>
      </w:r>
    </w:p>
    <w:p>
      <w:r>
        <w:t>Longitudinale Registerstudie mit über 15.000 Teilnehmern eines digitalen Bildungs- und Bewegungsprogramms für Knie- und Hüftarthrose, gemessen mit EQ-5D-5L nach 3 und 12 Monaten.</w:t>
      </w:r>
    </w:p>
    <w:p>
      <w:r>
        <w:rPr>
          <w:b/>
        </w:rPr>
        <w:t xml:space="preserve">Ergebnis: </w:t>
      </w:r>
      <w:r>
        <w:t>46,9% der Teilnehmer zeigten nach 3 Monaten, 50,4% nach 12 Monaten verbesserte Lebensqualitätsprofile; 19,5% bzw. 20,1% verschlechterten sich; 19,7% bzw. 18,7% zeigten gemischte Veränderungen. Das Programm zeigte heterogene Verläufe mit erheblicher Wirkung bei etwa der Hälfte der Teilnehmer.</w:t>
      </w:r>
    </w:p>
    <w:p>
      <w:r>
        <w:rPr>
          <w:b/>
          <w:sz w:val="19"/>
        </w:rPr>
        <w:t xml:space="preserve">Übertragbarkeit: </w:t>
      </w:r>
      <w:r>
        <w:rPr>
          <w:sz w:val="19"/>
        </w:rPr>
        <w:t>Schweden, vergleichbares Versicherungssystem und Digitalisierungsgrad</w:t>
      </w:r>
    </w:p>
    <w:p>
      <w:r>
        <w:rPr>
          <w:color w:val="5A7D3A"/>
          <w:sz w:val="18"/>
        </w:rPr>
        <w:t>https://pubmed.ncbi.nlm.nih.gov/42764365/</w:t>
      </w:r>
    </w:p>
    <w:p>
      <w:pPr>
        <w:pStyle w:val="Heading1"/>
      </w:pPr>
      <w:r>
        <w:t>Aufgenommen am 04.10.2026</w:t>
      </w:r>
    </w:p>
    <w:p>
      <w:pPr>
        <w:pStyle w:val="Heading2"/>
      </w:pPr>
      <w:r>
        <w:t>Psychoedukation für Jugendliche mit Psychose-Risiko: Verbesserung von Symptomen und Adhärenz</w:t>
      </w:r>
    </w:p>
    <w:p>
      <w:r>
        <w:rPr>
          <w:i/>
          <w:color w:val="666666"/>
          <w:sz w:val="18"/>
        </w:rPr>
        <w:t>Addington J et al.  ·  Early Interv Psychiatry  ·  Okt. 2026  ·  PMID 42827309</w:t>
      </w:r>
    </w:p>
    <w:p>
      <w:r>
        <w:t>Studie untersuchte, ob acht Sitzungen Psychoedukation für 54 Jugendliche mit erhöhtem klinischen Psychoserisiko zu klinischen Verbesserungen und zur Einhaltung der Behandlung führen.</w:t>
      </w:r>
    </w:p>
    <w:p>
      <w:r>
        <w:rPr>
          <w:b/>
        </w:rPr>
        <w:t xml:space="preserve">Ergebnis: </w:t>
      </w:r>
      <w:r>
        <w:t>Nach 2–6 Monaten zeigten sich signifikante Verbesserungen: abgeschwächte psychotische Symptome (p &lt; 0,0001, Effektgröße 0,36), Depression und Angst (p &lt; 0,001, ES 0,51), Distress (p &lt; 0,01, ES 0,36) und defaitistische Überzeugungen (p &lt; 0,01, ES 0,34). 59 % absolvierten alle Sitzungen, nur 7,4 % brachen ab. Klinisch wertvolle und leicht umsetzbare Intervention mit limitierter Dropout-Rate.</w:t>
      </w:r>
    </w:p>
    <w:p>
      <w:r>
        <w:rPr>
          <w:b/>
          <w:sz w:val="19"/>
        </w:rPr>
        <w:t xml:space="preserve">Übertragbarkeit: </w:t>
      </w:r>
      <w:r>
        <w:rPr>
          <w:sz w:val="19"/>
        </w:rPr>
        <w:t>Kanada, Psychiatrieeinrichtungen in westlichen Systemen vergleichbar</w:t>
      </w:r>
    </w:p>
    <w:p>
      <w:r>
        <w:rPr>
          <w:color w:val="5A7D3A"/>
          <w:sz w:val="18"/>
        </w:rPr>
        <w:t>https://pubmed.ncbi.nlm.nih.gov/42827309/</w:t>
      </w:r>
    </w:p>
    <w:p>
      <w:pPr>
        <w:pStyle w:val="Heading2"/>
      </w:pPr>
      <w:r>
        <w:t>Barrieren für Herzrehabilitation: Strukturelle, individuelle und Systemfaktoren</w:t>
      </w:r>
    </w:p>
    <w:p>
      <w:r>
        <w:rPr>
          <w:i/>
          <w:color w:val="666666"/>
          <w:sz w:val="18"/>
        </w:rPr>
        <w:t>Chin DC et al.  ·  Med J Malaysia  ·  Sept. 2026  ·  PMID 42813492</w:t>
      </w:r>
    </w:p>
    <w:p>
      <w:r>
        <w:t>Scoping Review identifizierte Determinanten der Teilnahme an Phase-II-Herzrehabilitationsprogrammen durch systematische Analyse von zehn Studien aus diversen Ländern.</w:t>
      </w:r>
    </w:p>
    <w:p>
      <w:r>
        <w:rPr>
          <w:b/>
        </w:rPr>
        <w:t xml:space="preserve">Ergebnis: </w:t>
      </w:r>
      <w:r>
        <w:t>Strukturelle und logistische Barrieren waren dominant: Transport, Entfernung, Zeit, Kosten. Soziodemografische Faktoren (höheres Alter, niedrigere Bildung, niedrigeres Einkommen, Migrationshintergrund) waren mit niedriger Teilnahme assoziiert. Mangelnde Aufklärung, schwache Ärztliche Empfehlungen und psychosoziale Barrieren (Angst, begrenzte soziale Unterstützung) behinderten Teilnahme. Komplex wechselwirkende Faktoren erfordern Home-Based- und Hybrid-Modelle.</w:t>
      </w:r>
    </w:p>
    <w:p>
      <w:r>
        <w:rPr>
          <w:b/>
          <w:sz w:val="19"/>
        </w:rPr>
        <w:t xml:space="preserve">Übertragbarkeit: </w:t>
      </w:r>
      <w:r>
        <w:rPr>
          <w:sz w:val="19"/>
        </w:rPr>
        <w:t>Multinationale Evidenz, vergleichbare Versorgungsstrukturen in Deutschland</w:t>
      </w:r>
    </w:p>
    <w:p>
      <w:r>
        <w:rPr>
          <w:color w:val="5A7D3A"/>
          <w:sz w:val="18"/>
        </w:rPr>
        <w:t>https://pubmed.ncbi.nlm.nih.gov/42813492/</w:t>
      </w:r>
    </w:p>
    <w:p>
      <w:pPr>
        <w:pStyle w:val="Heading2"/>
      </w:pPr>
      <w:r>
        <w:t>Textnachrichten und Ressourcenanbindung verstärken Leseförderung bei Latino-Familien</w:t>
      </w:r>
    </w:p>
    <w:p>
      <w:r>
        <w:rPr>
          <w:i/>
          <w:color w:val="666666"/>
          <w:sz w:val="18"/>
        </w:rPr>
        <w:t>Jimenez ME et al.  ·  Pediatrics  ·  01.10.2026  ·  PMID 42778186</w:t>
      </w:r>
    </w:p>
    <w:p>
      <w:r>
        <w:t>Randomisierte Studie prüfte, ob Text-Erinnerungen und Vermittlung zu Gemeindeangeboten die Effekte von Leseförderung in der Primärversorgung (Reach Out and Read) bei 630 Latino-Familien mit Kleinkindern verstärken.</w:t>
      </w:r>
    </w:p>
    <w:p>
      <w:r>
        <w:rPr>
          <w:b/>
        </w:rPr>
        <w:t xml:space="preserve">Ergebnis: </w:t>
      </w:r>
      <w:r>
        <w:t>Nach 18 Monaten: LP+Text-Gruppe zeigte höhere Sprachentwicklung (Effektgröße 0,391; p = 0,001). LP+Text+Ressourcen-Gruppe erzielte höhere sozial-emotionale Entwicklung (ES 0,300; p = 0,03) und bei 9 Monaten bessere verbale Responsivität (ES 0,400; p &lt; 0,001). Beide Strategien mit hohem Skalierungspotenzial verbesserten Effekte deutlich.</w:t>
      </w:r>
    </w:p>
    <w:p>
      <w:r>
        <w:rPr>
          <w:b/>
          <w:sz w:val="19"/>
        </w:rPr>
        <w:t xml:space="preserve">Übertragbarkeit: </w:t>
      </w:r>
      <w:r>
        <w:rPr>
          <w:sz w:val="19"/>
        </w:rPr>
        <w:t>USA-Studie, Strukturen aber auch in Deutschland umsetzbar, Sprachbarriereabbau ist zentral</w:t>
      </w:r>
    </w:p>
    <w:p>
      <w:r>
        <w:rPr>
          <w:color w:val="5A7D3A"/>
          <w:sz w:val="18"/>
        </w:rPr>
        <w:t>https://pubmed.ncbi.nlm.nih.gov/42778186/</w:t>
      </w:r>
    </w:p>
    <w:p>
      <w:pPr>
        <w:pStyle w:val="Heading2"/>
      </w:pPr>
      <w:r>
        <w:t>Digitale Gesundheitskompetenz fördert Gesundheitsinformationen-Annahme bei Studierenden</w:t>
      </w:r>
    </w:p>
    <w:p>
      <w:r>
        <w:rPr>
          <w:i/>
          <w:color w:val="666666"/>
          <w:sz w:val="18"/>
        </w:rPr>
        <w:t>Sun Y et al.  ·  Front Public Health  ·  08.09.2026  ·  PMID 42774164</w:t>
      </w:r>
    </w:p>
    <w:p>
      <w:r>
        <w:t>Querschnittstudie mit 3148 Studierenden prüfte, wie kritische und interaktive Digital-Health-Literacy mit Annahme von Gesundheitsinformationen assoziiert ist und welche Pfade (Risikoperzepton, Selbstwirksamkeit) vermittelnd wirken.</w:t>
      </w:r>
    </w:p>
    <w:p>
      <w:r>
        <w:rPr>
          <w:b/>
        </w:rPr>
        <w:t xml:space="preserve">Ergebnis: </w:t>
      </w:r>
      <w:r>
        <w:t>Digitale Health Literacy war positiv mit Informationsannahme korreliert (r = 0,416; p &lt; 0,001). Totale Assoziation: B = 0,534. Direkter Effekt 64,3 %, indirekt über Risikoperzepton 16,9 %, über Trainings-Selbstwirksamkeit 14,9 %, über serielle Pfade 3,8 %. Direkte Assoziation dominiert, serielle Route gering. Cross-sektional, daher statistische Dekomposition statt Kausalität.</w:t>
      </w:r>
    </w:p>
    <w:p>
      <w:r>
        <w:rPr>
          <w:b/>
          <w:sz w:val="19"/>
        </w:rPr>
        <w:t xml:space="preserve">Übertragbarkeit: </w:t>
      </w:r>
      <w:r>
        <w:rPr>
          <w:sz w:val="19"/>
        </w:rPr>
        <w:t>China, Hochschul- und Digitalisierungskontext ähnlich international, Befunde zu Mediationspfaden generalisierbar</w:t>
      </w:r>
    </w:p>
    <w:p>
      <w:r>
        <w:rPr>
          <w:color w:val="5A7D3A"/>
          <w:sz w:val="18"/>
        </w:rPr>
        <w:t>https://pubmed.ncbi.nlm.nih.gov/42774164/</w:t>
      </w:r>
    </w:p>
    <w:p>
      <w:pPr>
        <w:pStyle w:val="Heading2"/>
      </w:pPr>
      <w:r>
        <w:t>Lupusnephritis-Videos auf TikTok und Bilibili: Qualität, Zuverlässigkeit und Engagement</w:t>
      </w:r>
    </w:p>
    <w:p>
      <w:r>
        <w:rPr>
          <w:i/>
          <w:color w:val="666666"/>
          <w:sz w:val="18"/>
        </w:rPr>
        <w:t>Chen J et al.  ·  Lupus Sci Med  ·  22.09.2026  ·  PMID 42772804</w:t>
      </w:r>
    </w:p>
    <w:p>
      <w:r>
        <w:t>Querschnittanalyse von 250 Lupusnephritis-Videos (TikTok n=143, Bilibili n=107) beurteilte Inhaltsqualität, Zuverlässigkeit und Zusammenhang zwischen Nutzerengagement und wissenschaftlicher Qualität.</w:t>
      </w:r>
    </w:p>
    <w:p>
      <w:r>
        <w:rPr>
          <w:b/>
        </w:rPr>
        <w:t xml:space="preserve">Ergebnis: </w:t>
      </w:r>
      <w:r>
        <w:t>Nutzerengagement (Likes, Kommentare, Anteile) war auf TikTok signifikant höher (p &lt; 0,05); Anteil professioneller Uploader ebenfalls höher. TikTok hatte leicht höhere DISCERN-Scores (p &lt; 0,05). Professionelle Institutionen übertrafen nicht-professionelle Uploader in allen Qualitätsindikatoren (p &lt; 0,05). Hohe Engagement-Korrelationen untereinander, aber schwache Korrelationen mit Qualitätsscores. Popularität widerspiegelt wissenschaftliche Qualität schlecht.</w:t>
      </w:r>
    </w:p>
    <w:p>
      <w:r>
        <w:rPr>
          <w:b/>
          <w:sz w:val="19"/>
        </w:rPr>
        <w:t xml:space="preserve">Übertragbarkeit: </w:t>
      </w:r>
      <w:r>
        <w:rPr>
          <w:sz w:val="19"/>
        </w:rPr>
        <w:t>China, beide Plattformen international genutzt, Befund zu Qualitäts-Engagement-Lücke übertragbar</w:t>
      </w:r>
    </w:p>
    <w:p>
      <w:r>
        <w:rPr>
          <w:color w:val="5A7D3A"/>
          <w:sz w:val="18"/>
        </w:rPr>
        <w:t>https://pubmed.ncbi.nlm.nih.gov/42772804/</w:t>
      </w:r>
    </w:p>
    <w:p>
      <w:pPr>
        <w:pStyle w:val="Heading2"/>
      </w:pPr>
      <w:r>
        <w:t>Mundgesundheitskompetenz älterer Erwachsener: Pfade zu Wissen und Bewusstsein</w:t>
      </w:r>
    </w:p>
    <w:p>
      <w:r>
        <w:rPr>
          <w:i/>
          <w:color w:val="666666"/>
          <w:sz w:val="18"/>
        </w:rPr>
        <w:t>Jiang L et al.  ·  Clin Interv Aging  ·  31.07.2026  ·  PMID 42553712</w:t>
      </w:r>
    </w:p>
    <w:p>
      <w:r>
        <w:t>Pfadanalyse mit 423 älteren Chinesen (65–74 Jahre) untersuchte, welche Faktoren direkt und indirekt mit Mundgesundheits-Literacy verbunden sind—Bildung, Zahnbehandlung, Zahnstatus.</w:t>
      </w:r>
    </w:p>
    <w:p>
      <w:r>
        <w:rPr>
          <w:b/>
        </w:rPr>
        <w:t xml:space="preserve">Ergebnis: </w:t>
      </w:r>
      <w:r>
        <w:t>Geschlecht und Bildung beeinflussten Mundgesundheits-Literacy indirekt über Mediatorvariablen. Zahnbehandlung war direkt mit höherem Krankheitsbewusstsein assoziiert; Zahnersatznutzung mit besseren Gesundheitsüberzeugungen. Pfadanalyse identifizierte drei signifikante indirekte Effekte. Zahnkontakte bieten Chancen für Gesundheitsaufklärung.</w:t>
      </w:r>
    </w:p>
    <w:p>
      <w:r>
        <w:rPr>
          <w:b/>
          <w:sz w:val="19"/>
        </w:rPr>
        <w:t xml:space="preserve">Übertragbarkeit: </w:t>
      </w:r>
      <w:r>
        <w:rPr>
          <w:sz w:val="19"/>
        </w:rPr>
        <w:t>China, Ähnlichkeiten in Altersdemografie und Prävention, Befunde zu Behandlungskontakten übertragbar</w:t>
      </w:r>
    </w:p>
    <w:p>
      <w:r>
        <w:rPr>
          <w:color w:val="5A7D3A"/>
          <w:sz w:val="18"/>
        </w:rPr>
        <w:t>https://pubmed.ncbi.nlm.nih.gov/42553712/</w:t>
      </w:r>
    </w:p>
    <w:p>
      <w:pPr>
        <w:pStyle w:val="Heading1"/>
      </w:pPr>
      <w:r>
        <w:t>Aufgenommen am 03.10.2026</w:t>
      </w:r>
    </w:p>
    <w:p>
      <w:pPr>
        <w:pStyle w:val="Heading2"/>
      </w:pPr>
      <w:r>
        <w:t>Patienteninformation zu Hochtechtechnologien in der Krebsbehandlung: Herausforderungen und Lösungen</w:t>
      </w:r>
    </w:p>
    <w:p>
      <w:r>
        <w:rPr>
          <w:i/>
          <w:color w:val="666666"/>
          <w:sz w:val="18"/>
        </w:rPr>
        <w:t>Gehl J et al.  ·  Acta Oncol  ·  02.10.2026  ·  PMID 42825514</w:t>
      </w:r>
    </w:p>
    <w:p>
      <w:r>
        <w:t>Europäisches Expertenpanel mit Patientenbeteiligung identifizierte Barrieren bei der Vermittlung komplexer Krebstechnologien (Nuklearmedizin, Radiotherapie, Zelltherapien) und entwickelte Informationsmaterialien für Patienten.</w:t>
      </w:r>
    </w:p>
    <w:p>
      <w:r>
        <w:rPr>
          <w:b/>
        </w:rPr>
        <w:t xml:space="preserve">Ergebnis: </w:t>
      </w:r>
      <w:r>
        <w:t>Sieben Technologiedomänen wurden analysiert; Hauptproblem war Mangel an klaren Informationspfaden und zuverlässigen Informationsquellen. Daraus resultierten konkrete Patienteninformationswerkzeuge als Supplementmaterial. Komplexität und fehlende Standardisierung erschweren Zugang zu verlässlicher Information erheblich.</w:t>
      </w:r>
    </w:p>
    <w:p>
      <w:r>
        <w:rPr>
          <w:b/>
          <w:sz w:val="19"/>
        </w:rPr>
        <w:t xml:space="preserve">Übertragbarkeit: </w:t>
      </w:r>
      <w:r>
        <w:rPr>
          <w:sz w:val="19"/>
        </w:rPr>
        <w:t>Europa, multizentrisch, Beteiligung von Patientenvertretern; Materialien müssen auf nationale Systeme adaptiert werden.</w:t>
      </w:r>
    </w:p>
    <w:p>
      <w:r>
        <w:rPr>
          <w:color w:val="5A7D3A"/>
          <w:sz w:val="18"/>
        </w:rPr>
        <w:t>https://pubmed.ncbi.nlm.nih.gov/42825514/</w:t>
      </w:r>
    </w:p>
    <w:p>
      <w:pPr>
        <w:pStyle w:val="Heading2"/>
      </w:pPr>
      <w:r>
        <w:t>Nachbarschaftsbasierte Gehirngesundheitskompetenz: Mehrsprachiges Outreach-Modell für unterversorgte Gemeinden</w:t>
      </w:r>
    </w:p>
    <w:p>
      <w:r>
        <w:rPr>
          <w:i/>
          <w:color w:val="666666"/>
          <w:sz w:val="18"/>
        </w:rPr>
        <w:t>Lanata S et al.  ·  Front Public Health  ·  17.09.2026  ·  PMID 42823958</w:t>
      </w:r>
    </w:p>
    <w:p>
      <w:r>
        <w:t>Beschreibung eines fünfjährigen Community-Outreach-Programms der UCSF mit Fokus auf Gehirngesundheit, kognitives Screening und Demenzforschung in unterversorgten San-Francisco-Vierteln, durchgeführt in fünf Sprachen.</w:t>
      </w:r>
    </w:p>
    <w:p>
      <w:r>
        <w:rPr>
          <w:b/>
        </w:rPr>
        <w:t xml:space="preserve">Ergebnis: </w:t>
      </w:r>
      <w:r>
        <w:t>2019–2025: Repräsentation von Personen aus vulnerablen Vierteln in Forschung deutlich angestiegen (konkrete Steigerung gegenüber Vorjahren angegeben). Viersäulenmodell (Gehirngesundheitserziehung, Kunst-/Bewegungsprogramme, gemeindebasierte kognitive Kliniken, mehrsprachige Medien) baute haltbare Partnerschaften auf und verbesserte Zugang zu kulturell responsiver Versorgung.</w:t>
      </w:r>
    </w:p>
    <w:p>
      <w:r>
        <w:rPr>
          <w:b/>
          <w:sz w:val="19"/>
        </w:rPr>
        <w:t xml:space="preserve">Übertragbarkeit: </w:t>
      </w:r>
      <w:r>
        <w:rPr>
          <w:sz w:val="19"/>
        </w:rPr>
        <w:t>USA, aber Prinzip der mehrsprachigen, nachbarschaftsorientierten Engagement-Strategien für alle Länder mit Migranten- und Minderheitenpopulationen relevant.</w:t>
      </w:r>
    </w:p>
    <w:p>
      <w:r>
        <w:rPr>
          <w:color w:val="5A7D3A"/>
          <w:sz w:val="18"/>
        </w:rPr>
        <w:t>https://pubmed.ncbi.nlm.nih.gov/42823958/</w:t>
      </w:r>
    </w:p>
    <w:p>
      <w:pPr>
        <w:pStyle w:val="Heading2"/>
      </w:pPr>
      <w:r>
        <w:t>Patientenerfahrungen mit digitaler Physiotherapie nach Geburt: Was Frauen akzeptieren</w:t>
      </w:r>
    </w:p>
    <w:p>
      <w:r>
        <w:rPr>
          <w:i/>
          <w:color w:val="666666"/>
          <w:sz w:val="18"/>
        </w:rPr>
        <w:t>Jönsson H et al.  ·  BMC Musculoskelet Disord  ·  11.09.2026  ·  PMID 42823687</w:t>
      </w:r>
    </w:p>
    <w:p>
      <w:r>
        <w:t>Qualitative Studie mit 14 Frauen in Schweden zu ihrer Erfahrung mit Telerehabilitation bei postpartaler Beckenbodendysfunktion.</w:t>
      </w:r>
    </w:p>
    <w:p>
      <w:r>
        <w:rPr>
          <w:b/>
        </w:rPr>
        <w:t xml:space="preserve">Ergebnis: </w:t>
      </w:r>
      <w:r>
        <w:t>Telerehabilitation wurde als sinnvolle Ergänzung wahrgenommen (Kernaussage: "Telerehabilitation – ein ergänzendes Puzzleteil"). Verbesserte Zugänglichkeit und Flexibilität ermöglichten aktive Teilhabe; jedoch erforderte digitales Format fortgeschrittene Kommunikationsfähigkeiten und zuverlässige Technik. Frauen vermissten physische Untersuchung und Hands-on-Anleitung.</w:t>
      </w:r>
    </w:p>
    <w:p>
      <w:r>
        <w:rPr>
          <w:b/>
          <w:sz w:val="19"/>
        </w:rPr>
        <w:t xml:space="preserve">Übertragbarkeit: </w:t>
      </w:r>
      <w:r>
        <w:rPr>
          <w:sz w:val="19"/>
        </w:rPr>
        <w:t>Skandinavien, primärmedizinisches Versorgungssystem; Hybrid-Modelle könnten personenzentrierte Rehabilitation stärken.</w:t>
      </w:r>
    </w:p>
    <w:p>
      <w:r>
        <w:rPr>
          <w:color w:val="5A7D3A"/>
          <w:sz w:val="18"/>
        </w:rPr>
        <w:t>https://pubmed.ncbi.nlm.nih.gov/42823687/</w:t>
      </w:r>
    </w:p>
    <w:p>
      <w:pPr>
        <w:pStyle w:val="Heading2"/>
      </w:pPr>
      <w:r>
        <w:t>Traditionelle Chinesische Medizin Gesundheitskompetenz senkt postpartale Depression: Mediationsmechanismen</w:t>
      </w:r>
    </w:p>
    <w:p>
      <w:r>
        <w:rPr>
          <w:i/>
          <w:color w:val="666666"/>
          <w:sz w:val="18"/>
        </w:rPr>
        <w:t>Liu D et al.  ·  Front Public Health  ·  16.09.2026  ·  PMID 42819904</w:t>
      </w:r>
    </w:p>
    <w:p>
      <w:r>
        <w:t>Querschnittsstudie mit 501 Frauen in China zur Beziehung zwischen Gesundheitskompetenz zu TCM und postpartalen depressiven Symptomen; Analyse der vermittelten Effekte durch soziale Unterstützung und Selbstwirksamkeit.</w:t>
      </w:r>
    </w:p>
    <w:p>
      <w:r>
        <w:rPr>
          <w:b/>
        </w:rPr>
        <w:t xml:space="preserve">Ergebnis: </w:t>
      </w:r>
      <w:r>
        <w:t>TCM-Gesundheitskompetenz hatte direkten negativen Effekt auf depressive Symptome (β=-0,206, 95%-KI: -0,299 bis -0,112). Drei signifikante indirekte Pfade: soziale Unterstützung (β=-0,102), Selbstwirksamkeit (β=-0,102) und sequenzieller Effekt über beide (β=-0,033). Indirekte Effekte machten 53,6 % des Gesamteffekts aus.</w:t>
      </w:r>
    </w:p>
    <w:p>
      <w:r>
        <w:rPr>
          <w:b/>
          <w:sz w:val="19"/>
        </w:rPr>
        <w:t xml:space="preserve">Übertragbarkeit: </w:t>
      </w:r>
      <w:r>
        <w:rPr>
          <w:sz w:val="19"/>
        </w:rPr>
        <w:t>China; Konzept der TCM-Kompetenz kulturspezifisch; Mechanismus (soziale Unterstützung + Selbstwirksamkeit) aber international anwendbar.</w:t>
      </w:r>
    </w:p>
    <w:p>
      <w:r>
        <w:rPr>
          <w:color w:val="5A7D3A"/>
          <w:sz w:val="18"/>
        </w:rPr>
        <w:t>https://pubmed.ncbi.nlm.nih.gov/42819904/</w:t>
      </w:r>
    </w:p>
    <w:p>
      <w:pPr>
        <w:pStyle w:val="Heading2"/>
      </w:pPr>
      <w:r>
        <w:t>Verständliche Patienteninformation zu Regelschmerzen: Spanische Broschüre validiert</w:t>
      </w:r>
    </w:p>
    <w:p>
      <w:r>
        <w:rPr>
          <w:i/>
          <w:color w:val="666666"/>
          <w:sz w:val="18"/>
        </w:rPr>
        <w:t>Cruz-Lara F et al.  ·  Womens Health (Lond)  ·  28.09.2026  ·  PMID 42803363</w:t>
      </w:r>
    </w:p>
    <w:p>
      <w:r>
        <w:t>Übersetzung und kulturelle Adaptation einer brasilianischen Patientenbroschüre zu Dysmenorrhoe für spanische Frauen mit Validierung durch Physiotherapeuten und Patientinnen.</w:t>
      </w:r>
    </w:p>
    <w:p>
      <w:r>
        <w:rPr>
          <w:b/>
        </w:rPr>
        <w:t xml:space="preserve">Ergebnis: </w:t>
      </w:r>
      <w:r>
        <w:t>Inhaltsvalidität (CVI ≥0,90 bei allen Bereichen); Patientinnen erreichten 100 % Zustimmung zur Sprachklarheit (PAA=100%) und 92,3 % zur Präsentation (PAA=92,3%). Material wurde als klar, nützlich und visuell gut organisiert bewertet.</w:t>
      </w:r>
    </w:p>
    <w:p>
      <w:r>
        <w:rPr>
          <w:b/>
          <w:sz w:val="19"/>
        </w:rPr>
        <w:t xml:space="preserve">Übertragbarkeit: </w:t>
      </w:r>
      <w:r>
        <w:rPr>
          <w:sz w:val="19"/>
        </w:rPr>
        <w:t>Spanien, Spanisch-Sprachraum; Sprach- und Kulturanpassung essentiell für Verständlichkeit.</w:t>
      </w:r>
    </w:p>
    <w:p>
      <w:r>
        <w:rPr>
          <w:color w:val="5A7D3A"/>
          <w:sz w:val="18"/>
        </w:rPr>
        <w:t>https://pubmed.ncbi.nlm.nih.gov/42803363/</w:t>
      </w:r>
    </w:p>
    <w:p>
      <w:pPr>
        <w:pStyle w:val="Heading2"/>
      </w:pPr>
      <w:r>
        <w:t>Patientensteuerung in der GKV: Systemdesign statt moralischer Appell</w:t>
      </w:r>
    </w:p>
    <w:p>
      <w:r>
        <w:rPr>
          <w:i/>
          <w:color w:val="666666"/>
          <w:sz w:val="18"/>
        </w:rPr>
        <w:t>Beivers A et al.  ·  Bundesgesundheitsblatt Gesundheitsforschung Gesundheitsschutz  ·  08.09.2026  ·  PMID 42709071</w:t>
      </w:r>
    </w:p>
    <w:p>
      <w:r>
        <w:t>Deutsches Diskussionspapier zur Frage, wie ein Primärarztsystem durch Patientenmanagement und redefinierte Eigenverantwortung die GKV-Effizienz stärken könnte.</w:t>
      </w:r>
    </w:p>
    <w:p>
      <w:r>
        <w:rPr>
          <w:b/>
        </w:rPr>
        <w:t xml:space="preserve">Ergebnis: </w:t>
      </w:r>
      <w:r>
        <w:t>Empfehlung: Bonusprogramme nach Loyalitätsmuster können Patientensteuerung wirksam, akzeptiert und sozial ausgewogen gestalten. Kernaussage: Patientensteuerung ist Systemdesign, nicht Disziplin – moderne Eigenverantwortung stärkt Wirtschaftlichkeit und Solidarität gleichermaßen.</w:t>
      </w:r>
    </w:p>
    <w:p>
      <w:r>
        <w:rPr>
          <w:b/>
          <w:sz w:val="19"/>
        </w:rPr>
        <w:t xml:space="preserve">Übertragbarkeit: </w:t>
      </w:r>
      <w:r>
        <w:rPr>
          <w:sz w:val="19"/>
        </w:rPr>
        <w:t>Deutschland, GKV-System; direkt auf deutsche Krankenversicherungsreform übertragbar.</w:t>
      </w:r>
    </w:p>
    <w:p>
      <w:r>
        <w:rPr>
          <w:color w:val="5A7D3A"/>
          <w:sz w:val="18"/>
        </w:rPr>
        <w:t>https://pubmed.ncbi.nlm.nih.gov/42709071/</w:t>
      </w:r>
    </w:p>
    <w:p>
      <w:pPr>
        <w:pStyle w:val="Heading1"/>
      </w:pPr>
      <w:r>
        <w:t>Aufgenommen am 02.10.2026</w:t>
      </w:r>
    </w:p>
    <w:p>
      <w:pPr>
        <w:pStyle w:val="Heading2"/>
      </w:pPr>
      <w:r>
        <w:t>Gesundheitskompetenz fördert aktives Altern bei älteren Erwachsenen</w:t>
      </w:r>
    </w:p>
    <w:p>
      <w:r>
        <w:rPr>
          <w:i/>
          <w:color w:val="666666"/>
          <w:sz w:val="18"/>
        </w:rPr>
        <w:t>Akdeniz Ş et al.  ·  BMC Geriatr  ·  29.09.2026  ·  PMID 42816844</w:t>
      </w:r>
    </w:p>
    <w:p>
      <w:r>
        <w:t>Querschnittstudie an 306 älteren Erwachsenen (≥65 Jahre), die die Beziehung zwischen Health Literacy, aktivem Altern und erfolgreichem Altern untersuchte.</w:t>
      </w:r>
    </w:p>
    <w:p>
      <w:r>
        <w:rPr>
          <w:b/>
        </w:rPr>
        <w:t xml:space="preserve">Ergebnis: </w:t>
      </w:r>
      <w:r>
        <w:t>Health Literacy erklärte 56,4 % der Varianz aktiven Alterns (R² = 0,564, p &lt; 0,05). Signifikante positive Korrelationen zwischen Health Literacy und beiden Aging-Dimensionen (p &lt; 0,01). Prädiktoren: Alter, mentale Aktivität und Gesundheitskompetenz (p &lt; 0,05).</w:t>
      </w:r>
    </w:p>
    <w:p>
      <w:r>
        <w:rPr>
          <w:b/>
          <w:sz w:val="19"/>
        </w:rPr>
        <w:t xml:space="preserve">Übertragbarkeit: </w:t>
      </w:r>
      <w:r>
        <w:rPr>
          <w:sz w:val="19"/>
        </w:rPr>
        <w:t>Türkei, aber Messmodell übertragbar auf deutsches Gesundheitswesen</w:t>
      </w:r>
    </w:p>
    <w:p>
      <w:r>
        <w:rPr>
          <w:color w:val="5A7D3A"/>
          <w:sz w:val="18"/>
        </w:rPr>
        <w:t>https://pubmed.ncbi.nlm.nih.gov/42816844/</w:t>
      </w:r>
    </w:p>
    <w:p>
      <w:pPr>
        <w:pStyle w:val="Heading2"/>
      </w:pPr>
      <w:r>
        <w:t>Ernährungskompetenz bei Grundschülern niedrig: Handlungsbedarf in der Schulgesundheit</w:t>
      </w:r>
    </w:p>
    <w:p>
      <w:r>
        <w:rPr>
          <w:i/>
          <w:color w:val="666666"/>
          <w:sz w:val="18"/>
        </w:rPr>
        <w:t>Lan Y et al.  ·  Front Public Health  ·  15.09.2026  ·  PMID 42812397</w:t>
      </w:r>
    </w:p>
    <w:p>
      <w:r>
        <w:t>Querschnittstudie an 1.420 Viertklässlern und Fünftklässlern in Chongqing zu Ernährungskompetenz (Nutrition Literacy) und assoziierten Faktoren.</w:t>
      </w:r>
    </w:p>
    <w:p>
      <w:r>
        <w:rPr>
          <w:b/>
        </w:rPr>
        <w:t xml:space="preserve">Ergebnis: </w:t>
      </w:r>
      <w:r>
        <w:t>Durchschnittliche Ernährungskompetenz-Score: 65,47 ± 9,79 (insgesamt niedrig). Signifikant höhere Scores bei: höherem Alter, weiblichem Geschlecht, städtischem Wohnort, höherer Bildung der Bezugsperson (alle p &lt; 0,05). Mahlzeitendokumentation (+4,18 Punkte; 95%-KI: 2,84–5,51) und Essenzubereitung (+2,07 Punkte) positiv assoziiert.</w:t>
      </w:r>
    </w:p>
    <w:p>
      <w:r>
        <w:rPr>
          <w:b/>
          <w:sz w:val="19"/>
        </w:rPr>
        <w:t xml:space="preserve">Übertragbarkeit: </w:t>
      </w:r>
      <w:r>
        <w:rPr>
          <w:sz w:val="19"/>
        </w:rPr>
        <w:t>China, aber Befund zu sozioökonomischen Unterschieden in Gesundheitskompetenz übertragbar</w:t>
      </w:r>
    </w:p>
    <w:p>
      <w:r>
        <w:rPr>
          <w:color w:val="5A7D3A"/>
          <w:sz w:val="18"/>
        </w:rPr>
        <w:t>https://pubmed.ncbi.nlm.nih.gov/42812397/</w:t>
      </w:r>
    </w:p>
    <w:p>
      <w:pPr>
        <w:pStyle w:val="Heading2"/>
      </w:pPr>
      <w:r>
        <w:t>Polnische Validierung eines mehrdimensionalen Health-Literacy-Fragebogens</w:t>
      </w:r>
    </w:p>
    <w:p>
      <w:r>
        <w:rPr>
          <w:i/>
          <w:color w:val="666666"/>
          <w:sz w:val="18"/>
        </w:rPr>
        <w:t>Lipiak A et al.  ·  Medicina (Kaunas)  ·  18.09.2026  ·  PMID 42796406</w:t>
      </w:r>
    </w:p>
    <w:p>
      <w:r>
        <w:t>Psychometrische Validierung der neun-faktoriellen Health Literacy Questionnaire (HLQ) an 918 Gesundheitsfachstudierenden in Polen mit konfirmatorischer Faktorenanalyse.</w:t>
      </w:r>
    </w:p>
    <w:p>
      <w:r>
        <w:rPr>
          <w:b/>
        </w:rPr>
        <w:t xml:space="preserve">Ergebnis: </w:t>
      </w:r>
      <w:r>
        <w:t>Neun-Faktor-Modell zeigte gute Anpassungsgüte (CFI = 0,973; TLI = 0,970; RMSEA = 0,035). Interne Konsistenz: 8 von 9 Skalen gut bis akzeptabel (Cronbach's α ≥ 0,70); eine Skala unter Schwelle (Cronbach's α = 0,69).</w:t>
      </w:r>
    </w:p>
    <w:p>
      <w:r>
        <w:rPr>
          <w:b/>
          <w:sz w:val="19"/>
        </w:rPr>
        <w:t xml:space="preserve">Übertragbarkeit: </w:t>
      </w:r>
      <w:r>
        <w:rPr>
          <w:sz w:val="19"/>
        </w:rPr>
        <w:t>Polen/Osteuropa, HLQ wird mehrsprachig validiert, Instrument selbst systemunabhängig</w:t>
      </w:r>
    </w:p>
    <w:p>
      <w:r>
        <w:rPr>
          <w:color w:val="5A7D3A"/>
          <w:sz w:val="18"/>
        </w:rPr>
        <w:t>https://pubmed.ncbi.nlm.nih.gov/42796406/</w:t>
      </w:r>
    </w:p>
    <w:p>
      <w:pPr>
        <w:pStyle w:val="Heading2"/>
      </w:pPr>
      <w:r>
        <w:t>Ernährungskompetenz in der Onkologie bessert Verhalten und Lebensqualität</w:t>
      </w:r>
    </w:p>
    <w:p>
      <w:r>
        <w:rPr>
          <w:i/>
          <w:color w:val="666666"/>
          <w:sz w:val="18"/>
        </w:rPr>
        <w:t>Monaci M et al.  ·  Nutr Cancer  ·  24.09.2026  ·  PMID 42784715</w:t>
      </w:r>
    </w:p>
    <w:p>
      <w:r>
        <w:t>Systematischer Review: 19 Studien (2013–2025) zu Ernährungs- und Lebensmittelkompetenz bei krebskranken Erwachsenen und Assoziation mit klinischen und Verhaltensergebnissen.</w:t>
      </w:r>
    </w:p>
    <w:p>
      <w:r>
        <w:rPr>
          <w:b/>
        </w:rPr>
        <w:t xml:space="preserve">Ergebnis: </w:t>
      </w:r>
      <w:r>
        <w:t>Höhere Ernährungskompetenz konsistent assoziiert mit: besseren Ernährungsverhalten, verbesserter Diätqualität, besserer Ernährungsstatus und höherer Lebensqualität sowie gestärktem Selbstmanagement. Interventionsstudien: Alphabetisierungs-fokussierte Ernährungsedukation reduzierte therapiebezogene Symptome und psychosoziale Belastung; begrenzte Evidenz für reduzierte Inanspruchnahme.</w:t>
      </w:r>
    </w:p>
    <w:p>
      <w:r>
        <w:rPr>
          <w:b/>
          <w:sz w:val="19"/>
        </w:rPr>
        <w:t xml:space="preserve">Übertragbarkeit: </w:t>
      </w:r>
      <w:r>
        <w:rPr>
          <w:sz w:val="19"/>
        </w:rPr>
        <w:t>Mehrheitlich europäische und nordamerikanische Studien, Konzept direkt auf deutsche Krebszentren übertragbar</w:t>
      </w:r>
    </w:p>
    <w:p>
      <w:r>
        <w:rPr>
          <w:color w:val="5A7D3A"/>
          <w:sz w:val="18"/>
        </w:rPr>
        <w:t>https://pubmed.ncbi.nlm.nih.gov/42784715/</w:t>
      </w:r>
    </w:p>
    <w:p>
      <w:pPr>
        <w:pStyle w:val="Heading2"/>
      </w:pPr>
      <w:r>
        <w:t>Patienten als Forschungspartner: Kokreation in der Entzündungsmyopathie-Forschung</w:t>
      </w:r>
    </w:p>
    <w:p>
      <w:r>
        <w:rPr>
          <w:i/>
          <w:color w:val="666666"/>
          <w:sz w:val="18"/>
        </w:rPr>
        <w:t>Cheng K et al.  ·  Curr Opin Rheumatol  ·  01.11.2026  ·  PMID 42682164</w:t>
      </w:r>
    </w:p>
    <w:p>
      <w:r>
        <w:t>Narrative Review zum Stand der Patient Research Partner (PRP) Integration in Myositis-Forschung und kritische Analyse bestehender Beteiligungsmodelle.</w:t>
      </w:r>
    </w:p>
    <w:p>
      <w:r>
        <w:rPr>
          <w:b/>
        </w:rPr>
        <w:t xml:space="preserve">Ergebnis: </w:t>
      </w:r>
      <w:r>
        <w:t>Kernbefund: Frühe Integration von Patienten als Co-Leader verbessert Relevanz, Machbarkeit und Impact von Forschung; aktuelle Integration bleibt weltweit inkonsistent. Bestehende Ressourcen vorhanden, aber wirkliche PRP-Integration erfordert kulturellen Wandel und dedizierte Ressourcen.</w:t>
      </w:r>
    </w:p>
    <w:p>
      <w:r>
        <w:rPr>
          <w:b/>
          <w:sz w:val="19"/>
        </w:rPr>
        <w:t xml:space="preserve">Übertragbarkeit: </w:t>
      </w:r>
      <w:r>
        <w:rPr>
          <w:sz w:val="19"/>
        </w:rPr>
        <w:t>Europäische Patient-Advocacy-Strukturen, EULAR-Rahmen direkt anwendbar</w:t>
      </w:r>
    </w:p>
    <w:p>
      <w:r>
        <w:rPr>
          <w:color w:val="5A7D3A"/>
          <w:sz w:val="18"/>
        </w:rPr>
        <w:t>https://pubmed.ncbi.nlm.nih.gov/42682164/</w:t>
      </w:r>
    </w:p>
    <w:p>
      <w:pPr>
        <w:pStyle w:val="Heading2"/>
      </w:pPr>
      <w:r>
        <w:t>eHealth-Kompetenz in Amharisch validiert: Erster Test in subsaharischem Afrika</w:t>
      </w:r>
    </w:p>
    <w:p>
      <w:r>
        <w:rPr>
          <w:i/>
          <w:color w:val="666666"/>
          <w:sz w:val="18"/>
        </w:rPr>
        <w:t>Meng G et al.  ·  J Med Internet Res  ·  16.07.2026  ·  PMID 42462181</w:t>
      </w:r>
    </w:p>
    <w:p>
      <w:r>
        <w:t>Psychometrische Validierung der sieben-faktoriellen eHealth Literacy Questionnaire (eHLQ) ins Amharische an 300 Patienten in Äthiopien mit Internetmobilität.</w:t>
      </w:r>
    </w:p>
    <w:p>
      <w:r>
        <w:rPr>
          <w:b/>
        </w:rPr>
        <w:t xml:space="preserve">Ergebnis: </w:t>
      </w:r>
      <w:r>
        <w:t>Akzeptable bis gute interne Konsistenz (Cronbach's α = 0,72–0,91, außer Skala 4: α = 0,62). Sieben-Faktor-Modell gutes Fit (CFI = 0,97; TLI = 0,97; SRMR = 0,07). Konvergente Validität: starke Korrelationen Skalen 1–3 mit eHEALS (r = 0,69–0,74).</w:t>
      </w:r>
    </w:p>
    <w:p>
      <w:r>
        <w:rPr>
          <w:b/>
          <w:sz w:val="19"/>
        </w:rPr>
        <w:t xml:space="preserve">Übertragbarkeit: </w:t>
      </w:r>
      <w:r>
        <w:rPr>
          <w:sz w:val="19"/>
        </w:rPr>
        <w:t>Äthiopien, Low-Income-Setting, eHLQ-Instrument kulturübergreifend, aber Internetprävalenz-Voraussetzung relevant</w:t>
      </w:r>
    </w:p>
    <w:p>
      <w:r>
        <w:rPr>
          <w:color w:val="5A7D3A"/>
          <w:sz w:val="18"/>
        </w:rPr>
        <w:t>https://pubmed.ncbi.nlm.nih.gov/42462181/</w:t>
      </w:r>
    </w:p>
    <w:p>
      <w:pPr>
        <w:pStyle w:val="Heading1"/>
      </w:pPr>
      <w:r>
        <w:t>Aufgenommen am 01.10.2026</w:t>
      </w:r>
    </w:p>
    <w:p>
      <w:pPr>
        <w:pStyle w:val="Heading2"/>
      </w:pPr>
      <w:r>
        <w:t>Digitale Glukose-Überwachung: Höheres Engagement senkt HbA1c stärker ab</w:t>
      </w:r>
    </w:p>
    <w:p>
      <w:r>
        <w:rPr>
          <w:i/>
          <w:color w:val="666666"/>
          <w:sz w:val="18"/>
        </w:rPr>
        <w:t>Huang Y et al.  ·  JMIR Form Res  ·  30.09.2026  ·  PMID 42814765</w:t>
      </w:r>
    </w:p>
    <w:p>
      <w:r>
        <w:t>Retrospektive Kohortenstudie mit 1.436 Patienten mit Typ-2-Diabetes in einem integrierten Telemedizin-Programm zur Dosis-Wirkungs-Beziehung zwischen Monitoring-Häufigkeit und Blutzuckerkontrolle.</w:t>
      </w:r>
    </w:p>
    <w:p>
      <w:r>
        <w:rPr>
          <w:b/>
        </w:rPr>
        <w:t xml:space="preserve">Ergebnis: </w:t>
      </w:r>
      <w:r>
        <w:t>Dosisabhängiger Effekt: Für jede zusätzliche wöchentliche Messung sank HbA1c um 0,05 Prozentpunkte (95% KI 0,03–0,07, p&lt;0,001). Bei hohem Engagement (12,59 Messungen/Woche) reduzierte sich HbA1c um 1,01 Punkte vs. 0,38 bei niedrigem Engagement (2,55 Messungen/Woche).</w:t>
      </w:r>
    </w:p>
    <w:p>
      <w:r>
        <w:rPr>
          <w:b/>
          <w:sz w:val="19"/>
        </w:rPr>
        <w:t xml:space="preserve">Übertragbarkeit: </w:t>
      </w:r>
      <w:r>
        <w:rPr>
          <w:sz w:val="19"/>
        </w:rPr>
        <w:t>USA-Studie, Engagement-Effekt unabhängig von Gesundheitssystem übertragbar</w:t>
      </w:r>
    </w:p>
    <w:p>
      <w:r>
        <w:rPr>
          <w:color w:val="5A7D3A"/>
          <w:sz w:val="18"/>
        </w:rPr>
        <w:t>https://pubmed.ncbi.nlm.nih.gov/42814765/</w:t>
      </w:r>
    </w:p>
    <w:p>
      <w:pPr>
        <w:pStyle w:val="Heading2"/>
      </w:pPr>
      <w:r>
        <w:t>Strukturierte Fragen erhöhen Patientenerinnerung im Operationsgespräch deutlich</w:t>
      </w:r>
    </w:p>
    <w:p>
      <w:r>
        <w:rPr>
          <w:i/>
          <w:color w:val="666666"/>
          <w:sz w:val="18"/>
        </w:rPr>
        <w:t>Herath M et al.  ·  BJS Open  ·  04.09.2026  ·  PMID 42814592</w:t>
      </w:r>
    </w:p>
    <w:p>
      <w:r>
        <w:t>Randomisierte kontrollierte Studie mit 143 Patienten zur Wirkung eines Arbeitsblatts mit vorbereiteten Fragen auf das Verständnis und die Erinnerung an Informationen in der chirurgischen Sprechstunde.</w:t>
      </w:r>
    </w:p>
    <w:p>
      <w:r>
        <w:rPr>
          <w:b/>
        </w:rPr>
        <w:t xml:space="preserve">Ergebnis: </w:t>
      </w:r>
      <w:r>
        <w:t>Patienten mit POWER-Formular erreichten 88% Erinnerungsquote (95% KI 83–92) vs. 31% (26–35) in der Kontrolle (p&lt;0,001). Diese einfache Maßnahme zur strukturierten Patientenbeteiligung verdreifachte nachweislich die Informationsverarbeitung.</w:t>
      </w:r>
    </w:p>
    <w:p>
      <w:r>
        <w:rPr>
          <w:b/>
          <w:sz w:val="19"/>
        </w:rPr>
        <w:t xml:space="preserve">Übertragbarkeit: </w:t>
      </w:r>
      <w:r>
        <w:rPr>
          <w:sz w:val="19"/>
        </w:rPr>
        <w:t>Australien, übertragbar auf deutsches Krankenhaus- und Praxissystem ohne Sprachbarrieren</w:t>
      </w:r>
    </w:p>
    <w:p>
      <w:r>
        <w:rPr>
          <w:color w:val="5A7D3A"/>
          <w:sz w:val="18"/>
        </w:rPr>
        <w:t>https://pubmed.ncbi.nlm.nih.gov/42814592/</w:t>
      </w:r>
    </w:p>
    <w:p>
      <w:pPr>
        <w:pStyle w:val="Heading2"/>
      </w:pPr>
      <w:r>
        <w:t>Fast die Hälfte der Krebspfleger haben zu niedrige Gesundheitskompetenz</w:t>
      </w:r>
    </w:p>
    <w:p>
      <w:r>
        <w:rPr>
          <w:i/>
          <w:color w:val="666666"/>
          <w:sz w:val="18"/>
        </w:rPr>
        <w:t>Meng F et al.  ·  Front Public Health  ·  15.09.2026  ·  PMID 42812369</w:t>
      </w:r>
    </w:p>
    <w:p>
      <w:r>
        <w:t>Querschnittstudie mit 287 Angehörigen von Krebspatienten zur Gesundheitskompetenz von Familien-Pflegepersonen und ihren Einflussfaktoren mittels latenter Profilanalyse.</w:t>
      </w:r>
    </w:p>
    <w:p>
      <w:r>
        <w:rPr>
          <w:b/>
        </w:rPr>
        <w:t xml:space="preserve">Ergebnis: </w:t>
      </w:r>
      <w:r>
        <w:t>49,8% der Pfleger zeigten niedrige, 25,4% mittlere und 24,7% hohe Gesundheitskompetenz. Schwächste Dimension: "Verarbeitung von Gesundheitsinformation" (Median 12 von max. Punktzahl). Prädiktoren: höheres Alter (OR 9,4), höhere Bildung (OR 0,50) und Berufstätigkeit (OR 0,12) waren signifikant assoziiert.</w:t>
      </w:r>
    </w:p>
    <w:p>
      <w:r>
        <w:rPr>
          <w:b/>
          <w:sz w:val="19"/>
        </w:rPr>
        <w:t xml:space="preserve">Übertragbarkeit: </w:t>
      </w:r>
      <w:r>
        <w:rPr>
          <w:sz w:val="19"/>
        </w:rPr>
        <w:t>China-Studie, Befunde zu Pflegerkompetenz-Defiziten international relevant</w:t>
      </w:r>
    </w:p>
    <w:p>
      <w:r>
        <w:rPr>
          <w:color w:val="5A7D3A"/>
          <w:sz w:val="18"/>
        </w:rPr>
        <w:t>https://pubmed.ncbi.nlm.nih.gov/42812369/</w:t>
      </w:r>
    </w:p>
    <w:p>
      <w:pPr>
        <w:pStyle w:val="Heading2"/>
      </w:pPr>
      <w:r>
        <w:t>Junge Erwachsene verstehen Zusammenhang zwischen STI und Fertilität nicht</w:t>
      </w:r>
    </w:p>
    <w:p>
      <w:r>
        <w:rPr>
          <w:i/>
          <w:color w:val="666666"/>
          <w:sz w:val="18"/>
        </w:rPr>
        <w:t>Romane N et al.  ·  SAHARA J  ·  28.09.2026  ·  PMID 42802983</w:t>
      </w:r>
    </w:p>
    <w:p>
      <w:r>
        <w:t>Qualitative Studie mit 17 Interviews junger Erwachsener (18–24 Jahre) zur Gesundheitskompetenz bei sexuellen Infektionen und deren Folgen für Fortpflanzung in Südafrika.</w:t>
      </w:r>
    </w:p>
    <w:p>
      <w:r>
        <w:rPr>
          <w:b/>
        </w:rPr>
        <w:t xml:space="preserve">Ergebnis: </w:t>
      </w:r>
      <w:r>
        <w:t>Zentrale Befunde: Große Wissenslücken zur Verbindung zwischen STI und Unfruchtbarkeit; fehlende Krankheitsbewusstsein; eingeschränkte Nutzung von Gesundheitsdiensten wegen mangelndem Verständnis von Risiken. Empfehlung: Maßgeschneiderte Gesundheitserziehung mit lokalem Bezug zu sexuellem und reproduktivem Verhalten.</w:t>
      </w:r>
    </w:p>
    <w:p>
      <w:r>
        <w:rPr>
          <w:b/>
          <w:sz w:val="19"/>
        </w:rPr>
        <w:t xml:space="preserve">Übertragbarkeit: </w:t>
      </w:r>
      <w:r>
        <w:rPr>
          <w:sz w:val="19"/>
        </w:rPr>
        <w:t>Südafrika, Evidenz für Ungleichheit in der Gesundheitskompetenz bei jungen Menschen</w:t>
      </w:r>
    </w:p>
    <w:p>
      <w:r>
        <w:rPr>
          <w:color w:val="5A7D3A"/>
          <w:sz w:val="18"/>
        </w:rPr>
        <w:t>https://pubmed.ncbi.nlm.nih.gov/42802983/</w:t>
      </w:r>
    </w:p>
    <w:p>
      <w:pPr>
        <w:pStyle w:val="Heading2"/>
      </w:pPr>
      <w:r>
        <w:t>Glaukom-Patienten in Deutschland fühlen sich unzureichend aufgeklärt</w:t>
      </w:r>
    </w:p>
    <w:p>
      <w:r>
        <w:rPr>
          <w:i/>
          <w:color w:val="666666"/>
          <w:sz w:val="18"/>
        </w:rPr>
        <w:t>Joachim SC et al.  ·  Ophthalmologie  ·  15.07.2026  ·  PMID 42455350</w:t>
      </w:r>
    </w:p>
    <w:p>
      <w:r>
        <w:t>Querschnittsumfrage mit 334 Glaukom-Patienten zur Aufklärungsqualität über Erkrankung, Therapieoptionen und Nebenwirkungen durch Augenfachleute.</w:t>
      </w:r>
    </w:p>
    <w:p>
      <w:r>
        <w:rPr>
          <w:b/>
        </w:rPr>
        <w:t xml:space="preserve">Ergebnis: </w:t>
      </w:r>
      <w:r>
        <w:t>Nur 15,5% der Patienten fühlten sich sehr gut aufgeklärt, 40,1% unzureichend. Informationslücken zu Tropfen, Nebenwirkungen und Behandlungsoptionen waren verbreitet; 89,5% wussten aber wie man Tropfen anwendet, nur ca. 50% konnten Therapieänderungen mit dem Arzt besprechen.</w:t>
      </w:r>
    </w:p>
    <w:p>
      <w:r>
        <w:rPr>
          <w:b/>
          <w:sz w:val="19"/>
        </w:rPr>
        <w:t xml:space="preserve">Übertragbarkeit: </w:t>
      </w:r>
      <w:r>
        <w:rPr>
          <w:sz w:val="19"/>
        </w:rPr>
        <w:t>Deutsche Klinikdaten mit direkter Relevanz für Patientenedukation vor Ort</w:t>
      </w:r>
    </w:p>
    <w:p>
      <w:r>
        <w:rPr>
          <w:color w:val="5A7D3A"/>
          <w:sz w:val="18"/>
        </w:rPr>
        <w:t>https://pubmed.ncbi.nlm.nih.gov/42455350/</w:t>
      </w:r>
    </w:p>
    <w:p>
      <w:pPr>
        <w:pStyle w:val="Heading1"/>
      </w:pPr>
      <w:r>
        <w:t>Aufgenommen am 30.09.2026</w:t>
      </w:r>
    </w:p>
    <w:p>
      <w:pPr>
        <w:pStyle w:val="Heading2"/>
      </w:pPr>
      <w:r>
        <w:t>Digitale Unterstützung für Herzinsuffizienz-Selbstmanagement: Evidenzsynthese</w:t>
      </w:r>
    </w:p>
    <w:p>
      <w:r>
        <w:rPr>
          <w:i/>
          <w:color w:val="666666"/>
          <w:sz w:val="18"/>
        </w:rPr>
        <w:t>Dong H et al.  ·  Front Public Health  ·  14.09.2026  ·  PMID 42807594</w:t>
      </w:r>
    </w:p>
    <w:p>
      <w:r>
        <w:t>Narrative Best-Evidence-Synthese von 27 Review-Quellen zur Wirksamkeit digital gestützter Edukation und Selbstmanagement bei Herzinsuffizienz-Patienten.</w:t>
      </w:r>
    </w:p>
    <w:p>
      <w:r>
        <w:rPr>
          <w:b/>
        </w:rPr>
        <w:t xml:space="preserve">Ergebnis: </w:t>
      </w:r>
      <w:r>
        <w:t>Digitale Edukation und Selbstmanagement können routinemäßige Herzinsuffizienz-Versorgung ergänzen, besonders wenn mit strukturiertem klinischem Feedback, klarer Verantwortungszuordnung und Eskalationspfaden verbunden. 27 praxisorientierte Statements in drei Ebenen entwickelt (essenzielle Kernkomponenten, bedingte Implementierungskomponenten, aufkommende Aussagen). Evidenz variiert erheblich in Qualität, Direktheit und Interventionstyp; methodische Limitationen und Heterogenität erfordern bedingte Interpretation.</w:t>
      </w:r>
    </w:p>
    <w:p>
      <w:r>
        <w:rPr>
          <w:b/>
          <w:sz w:val="19"/>
        </w:rPr>
        <w:t xml:space="preserve">Übertragbarkeit: </w:t>
      </w:r>
      <w:r>
        <w:rPr>
          <w:sz w:val="19"/>
        </w:rPr>
        <w:t>Synthese mit internationaler Evidenz, Konzepte auf deutsches Versorgungssystem übertragbar.</w:t>
      </w:r>
    </w:p>
    <w:p>
      <w:r>
        <w:rPr>
          <w:color w:val="5A7D3A"/>
          <w:sz w:val="18"/>
        </w:rPr>
        <w:t>https://pubmed.ncbi.nlm.nih.gov/42807594/</w:t>
      </w:r>
    </w:p>
    <w:p>
      <w:pPr>
        <w:pStyle w:val="Heading2"/>
      </w:pPr>
      <w:r>
        <w:t>Ernährungskompetenz und Gesundheitsverhalten bei Magengeschwüren</w:t>
      </w:r>
    </w:p>
    <w:p>
      <w:r>
        <w:rPr>
          <w:i/>
          <w:color w:val="666666"/>
          <w:sz w:val="18"/>
        </w:rPr>
        <w:t>Wu Z et al.  ·  Front Public Health  ·  14.09.2026  ·  PMID 42807539</w:t>
      </w:r>
    </w:p>
    <w:p>
      <w:r>
        <w:t>Querschnittstudie mit 418 Patienten mit Magengeschwüren zu Assoziationen zwischen Food and Nutrition Literacy, Ernährungsbewusstsein und proaktivem Gesundheitsverhalten; latente Klassenanalyse identifizierte vier Literatur-Subgruppen.</w:t>
      </w:r>
    </w:p>
    <w:p>
      <w:r>
        <w:rPr>
          <w:b/>
        </w:rPr>
        <w:t xml:space="preserve">Ergebnis: </w:t>
      </w:r>
      <w:r>
        <w:t>Food and Nutrition Literacy, Ernährungsbewusstsein und proaktives Gesundheitsverhalten waren signifikant und positiv korreliert (r &gt; 0,30, p &lt; 0,001). Bootstrap-Analyse zeigte, dass Ernährungsbewusstsein eine signifikante teilmediierende Rolle spielte (indirekter Effekt nachweisbar). Latente Klassenanalyse identifizierte vier Gruppen (niedrig bis hoch nach Ernährungskompetenz) mit signifikanten Unterschieden im Gesundheitsverhalten (ANOVA, p &lt; 0,05).</w:t>
      </w:r>
    </w:p>
    <w:p>
      <w:r>
        <w:rPr>
          <w:b/>
          <w:sz w:val="19"/>
        </w:rPr>
        <w:t xml:space="preserve">Übertragbarkeit: </w:t>
      </w:r>
      <w:r>
        <w:rPr>
          <w:sz w:val="19"/>
        </w:rPr>
        <w:t>China, aber Konzept der schichtbasierten Interventionen übertragbar.</w:t>
      </w:r>
    </w:p>
    <w:p>
      <w:r>
        <w:rPr>
          <w:color w:val="5A7D3A"/>
          <w:sz w:val="18"/>
        </w:rPr>
        <w:t>https://pubmed.ncbi.nlm.nih.gov/42807539/</w:t>
      </w:r>
    </w:p>
    <w:p>
      <w:pPr>
        <w:pStyle w:val="Heading2"/>
      </w:pPr>
      <w:r>
        <w:t>Navigational Health Literacy und soziale Ungleichheit bei Inanspruchnahme von Versorgung</w:t>
      </w:r>
    </w:p>
    <w:p>
      <w:r>
        <w:rPr>
          <w:i/>
          <w:color w:val="666666"/>
          <w:sz w:val="18"/>
        </w:rPr>
        <w:t>Ulrich TW et al.  ·  Int J Public Health  ·  14.09.2026  ·  PMID 42807278</w:t>
      </w:r>
    </w:p>
    <w:p>
      <w:r>
        <w:t>Bevölkerungsumfrage unter 2.201 erwachsenen Deutschen zur Assoziation von Navigational Health Literacy mit unerfüllten Versorgungsbedarfen und sozialen Disparitäten.</w:t>
      </w:r>
    </w:p>
    <w:p>
      <w:r>
        <w:rPr>
          <w:b/>
        </w:rPr>
        <w:t xml:space="preserve">Ergebnis: </w:t>
      </w:r>
      <w:r>
        <w:t>70 % der Teilnehmenden zeigten unzureichende navigational health literacy. Bessere Navigational Health Literacy war mit niedrigerer Prävalenz unerfüllter Bedarfe assoziiert (Poisson-Regression), aber diese Assoziation reduzierte die Disparitäten zwischen Einkommens- und Versichertengruppen nicht wesentlich. Unerfüllte Bedarfe blieben nach Hinzunahme der Navigational-Health-Literacy-Variable in der Analyse bei sozial benachteiligten Gruppen überrepräsentiert.</w:t>
      </w:r>
    </w:p>
    <w:p>
      <w:r>
        <w:rPr>
          <w:b/>
          <w:sz w:val="19"/>
        </w:rPr>
        <w:t xml:space="preserve">Übertragbarkeit: </w:t>
      </w:r>
      <w:r>
        <w:rPr>
          <w:sz w:val="19"/>
        </w:rPr>
        <w:t>Deutsche Stichprobe mit gesetzlicher Krankenversicherung, direkt anwendbar.</w:t>
      </w:r>
    </w:p>
    <w:p>
      <w:r>
        <w:rPr>
          <w:color w:val="5A7D3A"/>
          <w:sz w:val="18"/>
        </w:rPr>
        <w:t>https://pubmed.ncbi.nlm.nih.gov/42807278/</w:t>
      </w:r>
    </w:p>
    <w:p>
      <w:pPr>
        <w:pStyle w:val="Heading2"/>
      </w:pPr>
      <w:r>
        <w:t>Schnelles Messinstrument für Gesundheitskompetenz von Schülern</w:t>
      </w:r>
    </w:p>
    <w:p>
      <w:r>
        <w:rPr>
          <w:i/>
          <w:color w:val="666666"/>
          <w:sz w:val="18"/>
        </w:rPr>
        <w:t>Guo J et al.  ·  Health Promot Int  ·  01.09.2026  ·  PMID 42802103</w:t>
      </w:r>
    </w:p>
    <w:p>
      <w:r>
        <w:t>Entwicklung und psychometrische Validierung eines altersgerechten, theoriegestützten Fragebogens (CRHLQ-PS) zur Erfassung von Health Literacy bei 7.113 Schülern in vier chinesischen Regionen.</w:t>
      </w:r>
    </w:p>
    <w:p>
      <w:r>
        <w:rPr>
          <w:b/>
        </w:rPr>
        <w:t xml:space="preserve">Ergebnis: </w:t>
      </w:r>
      <w:r>
        <w:t>Vier altersgerechte Fassungen (Klassen 1–2: 39 Items; 3–4: 40 Items; 5–6: 52 Items; Klassenstufe 7–9: 58 Items) mit sieben Domänen (Hygiene, Ernährung, Bewegung, Sicherheit, Prävention, psychosoziale Anpassung, digitale Gesundheit). Rasch-Analyse zeigte gute Modell-Daten-Anpassung, hohe Item-Reliabilität. Instrument zeigt stark unidimensionale Struktur mit angemessener Zielgenauigkeit, wirkt auf aktuelle Stichprobe aber relativ leicht.</w:t>
      </w:r>
    </w:p>
    <w:p>
      <w:r>
        <w:rPr>
          <w:b/>
          <w:sz w:val="19"/>
        </w:rPr>
        <w:t xml:space="preserve">Übertragbarkeit: </w:t>
      </w:r>
      <w:r>
        <w:rPr>
          <w:sz w:val="19"/>
        </w:rPr>
        <w:t>Neue Länder benötigen Validierung; Konzept des altersgerechten Aufbaus übertragbar.</w:t>
      </w:r>
    </w:p>
    <w:p>
      <w:r>
        <w:rPr>
          <w:color w:val="5A7D3A"/>
          <w:sz w:val="18"/>
        </w:rPr>
        <w:t>https://pubmed.ncbi.nlm.nih.gov/42802103/</w:t>
      </w:r>
    </w:p>
    <w:p>
      <w:pPr>
        <w:pStyle w:val="Heading2"/>
      </w:pPr>
      <w:r>
        <w:t>Patientenautonomie durch Steuerungsmechanismen – kein Widerspruch</w:t>
      </w:r>
    </w:p>
    <w:p>
      <w:r>
        <w:rPr>
          <w:i/>
          <w:color w:val="666666"/>
          <w:sz w:val="18"/>
        </w:rPr>
        <w:t>Weis A et al.  ·  Bundesgesundheitsblatt Gesundheitsforschung Gesundheitsschutz  ·  21.09.2026  ·  PMID 42766153</w:t>
      </w:r>
    </w:p>
    <w:p>
      <w:r>
        <w:t>Ethische Analyse, ob Patient Management in Konflikt mit Patientenautonomie steht, mit Überprüfung anhand empirischer Befunde und Formulierung von Bewertungskriterien.</w:t>
      </w:r>
    </w:p>
    <w:p>
      <w:r>
        <w:rPr>
          <w:b/>
        </w:rPr>
        <w:t xml:space="preserve">Ergebnis: </w:t>
      </w:r>
      <w:r>
        <w:t>Kernbefund: Steuerungsmechanismen widersprechen nicht zwangsläufig dem Autonomieprinzip. Empirische Evidenz zeigt, dass formale Wahlfreiheit allein nicht garantiert, dass Patienten informiert und selbstbestimmt entscheiden; strukturierende Instrumente werden häufig als hilfreich wahrgenommen. Drei ethische Bewertungskriterien formuliert: (1) Ermöglichung wertbasierter Entscheidungen, (2) Beitrag zur Versorgungsqualität ohne Verschlechterung, (3) Beitrag zu Gerechtigkeit und fairer Ressourcenverteilung.</w:t>
      </w:r>
    </w:p>
    <w:p>
      <w:r>
        <w:rPr>
          <w:b/>
          <w:sz w:val="19"/>
        </w:rPr>
        <w:t xml:space="preserve">Übertragbarkeit: </w:t>
      </w:r>
      <w:r>
        <w:rPr>
          <w:sz w:val="19"/>
        </w:rPr>
        <w:t>Deutsche Kliniken und Gesundheitspolitik; Analyse deutschsprachiger Debatte.</w:t>
      </w:r>
    </w:p>
    <w:p>
      <w:r>
        <w:rPr>
          <w:color w:val="5A7D3A"/>
          <w:sz w:val="18"/>
        </w:rPr>
        <w:t>https://pubmed.ncbi.nlm.nih.gov/42766153/</w:t>
      </w:r>
    </w:p>
    <w:p>
      <w:pPr>
        <w:pStyle w:val="Heading2"/>
      </w:pPr>
      <w:r>
        <w:t>Zuzahlungen und Patientensteuerung: Evidenz aus Europäischem Vergleich</w:t>
      </w:r>
    </w:p>
    <w:p>
      <w:r>
        <w:rPr>
          <w:i/>
          <w:color w:val="666666"/>
          <w:sz w:val="18"/>
        </w:rPr>
        <w:t>Böhme S et al.  ·  Bundesgesundheitsblatt Gesundheitsforschung Gesundheitsschutz  ·  21.09.2026  ·  PMID 42766152</w:t>
      </w:r>
    </w:p>
    <w:p>
      <w:r>
        <w:t>Analyse der institutionellen Ausgestaltung und empirischen Evidenz finanzieller Steuerungsinstrumente in vier europäischen Gesundheitssystemen (Deutschland, Niederlande, Frankreich, Dänemark).</w:t>
      </w:r>
    </w:p>
    <w:p>
      <w:r>
        <w:rPr>
          <w:b/>
        </w:rPr>
        <w:t xml:space="preserve">Ergebnis: </w:t>
      </w:r>
      <w:r>
        <w:t>Uniforme Zuzahlungen wirken regressiv und belasten niedrigeinkommen Versicherte überproportional. Wiedereinführung der früheren Praxisgebühr wird nicht empfohlen. Sinnvoller ist gezielte Ausgestaltung an Punkten empirisch identifizierter Fehlinanspruchnahme (z. B. unangemessenes Verlassen koordinierter Versorgungspfade) mit verhaltensökonomischen Effekten und einkommensbezogenen Unterschieden. So gestaltet, können Zuzahlungen Patientensteuerung verbessern ohne Regelversorgungszugang zu gefährden.</w:t>
      </w:r>
    </w:p>
    <w:p>
      <w:r>
        <w:rPr>
          <w:b/>
          <w:sz w:val="19"/>
        </w:rPr>
        <w:t xml:space="preserve">Übertragbarkeit: </w:t>
      </w:r>
      <w:r>
        <w:rPr>
          <w:sz w:val="19"/>
        </w:rPr>
        <w:t>Direkter Vergleich deutscher und europäischer Systeme mit evidenter Relevanz.</w:t>
      </w:r>
    </w:p>
    <w:p>
      <w:r>
        <w:rPr>
          <w:color w:val="5A7D3A"/>
          <w:sz w:val="18"/>
        </w:rPr>
        <w:t>https://pubmed.ncbi.nlm.nih.gov/42766152/</w:t>
      </w:r>
    </w:p>
    <w:p>
      <w:pPr>
        <w:pStyle w:val="Heading1"/>
      </w:pPr>
      <w:r>
        <w:t>Aufgenommen am 29.09.2026</w:t>
      </w:r>
    </w:p>
    <w:p>
      <w:pPr>
        <w:pStyle w:val="Heading2"/>
      </w:pPr>
      <w:r>
        <w:t>KI-Chatbot verbessert HPV-Impf-Verständnis gegenüber Regierungsbroschüre</w:t>
      </w:r>
    </w:p>
    <w:p>
      <w:r>
        <w:rPr>
          <w:i/>
          <w:color w:val="666666"/>
          <w:sz w:val="18"/>
        </w:rPr>
        <w:t>Kobayashi K et al.  ·  JAMA Netw Open  ·  01.09.2026  ·  PMID 42804696</w:t>
      </w:r>
    </w:p>
    <w:p>
      <w:r>
        <w:t>Randomisierte Studie mit 848 weiblichen Betreuerinnen in Japan (Endauswertung: 704 unmittelbar, 477 nach 2 Wochen), die Impf-Verständnis nach AI-Chatbot oder Regierungsbroschüre zur HPV-Prävention bei Töchtern maßen.</w:t>
      </w:r>
    </w:p>
    <w:p>
      <w:r>
        <w:rPr>
          <w:b/>
        </w:rPr>
        <w:t xml:space="preserve">Ergebnis: </w:t>
      </w:r>
      <w:r>
        <w:t>Chatbot-Gruppe zeigte höhere Impf-Verständniswerte unmittelbar nach Intervention (adjustierte Mittelwertdifferenz 0,30 Punkte auf 0–7-Skala, KI 0,18–0,43, p &lt; 0,001) und nach 2 Wochen (0,30 Punkte, KI 0,13–0,47, p &lt; 0,001); Impfentscheidungen unterschieden sich nicht (40,3% vs. 39,6%, p = 0,31). Verständnis war messbar höher, führte aber kurzfristig nicht zu mehr Impfungen.</w:t>
      </w:r>
    </w:p>
    <w:p>
      <w:r>
        <w:rPr>
          <w:b/>
          <w:sz w:val="19"/>
        </w:rPr>
        <w:t xml:space="preserve">Übertragbarkeit: </w:t>
      </w:r>
      <w:r>
        <w:rPr>
          <w:sz w:val="19"/>
        </w:rPr>
        <w:t>Japan, Frage sprachabhängig; Chatbot-Effekt auf Verständnis nicht systemgebunden.</w:t>
      </w:r>
    </w:p>
    <w:p>
      <w:r>
        <w:rPr>
          <w:color w:val="5A7D3A"/>
          <w:sz w:val="18"/>
        </w:rPr>
        <w:t>https://pubmed.ncbi.nlm.nih.gov/42804696/</w:t>
      </w:r>
    </w:p>
    <w:p>
      <w:pPr>
        <w:pStyle w:val="Heading2"/>
      </w:pPr>
      <w:r>
        <w:t>Teach-Back-Methode mit Ernährungsberatung senkt Blutzucker und verbessert Schwangerschaftsergebnisse</w:t>
      </w:r>
    </w:p>
    <w:p>
      <w:r>
        <w:rPr>
          <w:i/>
          <w:color w:val="666666"/>
          <w:sz w:val="18"/>
        </w:rPr>
        <w:t>Li H  ·  Endocrine  ·  28.09.2026  ·  PMID 42804033</w:t>
      </w:r>
    </w:p>
    <w:p>
      <w:r>
        <w:t>Retrospektive Analyse von 120 Schwangeren mit Gestationsdiabetes, die entweder Routineaufklärung oder Teach-Back-Methode mit umfassender Ernährungsintervention erhielten, um Auswirkungen auf mütterliche und neonatale Gesundheitsergebnisse zu untersuchen.</w:t>
      </w:r>
    </w:p>
    <w:p>
      <w:r>
        <w:rPr>
          <w:b/>
        </w:rPr>
        <w:t xml:space="preserve">Ergebnis: </w:t>
      </w:r>
      <w:r>
        <w:t>Die Teach-Back-Gruppe zeigte niedrigere Nüchternblutzuckerwerte, höhere Selbstwirksamkeitswerte und weniger postpartale Blutungen, Frühgeburten, Makrosomie und neonatale Asphyxie (alle p &lt; 0,05); spontane vaginale Entbindungsrate höher, Pflegezufriedenheit höher. Ein Maß für das Verständnis der Aufklärung (Teach-Back) führte nachweislich zu besseren klinischen Ergebnissen.</w:t>
      </w:r>
    </w:p>
    <w:p>
      <w:r>
        <w:rPr>
          <w:b/>
          <w:sz w:val="19"/>
        </w:rPr>
        <w:t xml:space="preserve">Übertragbarkeit: </w:t>
      </w:r>
      <w:r>
        <w:rPr>
          <w:sz w:val="19"/>
        </w:rPr>
        <w:t>China, aber Teach-Back-Effektivität nicht sprachgebunden.</w:t>
      </w:r>
    </w:p>
    <w:p>
      <w:r>
        <w:rPr>
          <w:color w:val="5A7D3A"/>
          <w:sz w:val="18"/>
        </w:rPr>
        <w:t>https://pubmed.ncbi.nlm.nih.gov/42804033/</w:t>
      </w:r>
    </w:p>
    <w:p>
      <w:pPr>
        <w:pStyle w:val="Heading2"/>
      </w:pPr>
      <w:r>
        <w:t>Dolmetscher mit Gehörlosenerfahrung verbessern Shared Decision Making bei Krebsvorsorge</w:t>
      </w:r>
    </w:p>
    <w:p>
      <w:r>
        <w:rPr>
          <w:i/>
          <w:color w:val="666666"/>
          <w:sz w:val="18"/>
        </w:rPr>
        <w:t>Perrodin-Njoku E et al.  ·  Cancer Control  ·  28.09.2026  ·  PMID 42803113</w:t>
      </w:r>
    </w:p>
    <w:p>
      <w:r>
        <w:t>Qualitative nested study mit 15 gehörlosen und schwerhörigen Erwachsenen, die an einem Programm mit Gebärdensprachdolmetscher-Navigatoren teilnahmen, zu deren Erfahrungen bei Krebsvorsorgescreening.</w:t>
      </w:r>
    </w:p>
    <w:p>
      <w:r>
        <w:rPr>
          <w:b/>
        </w:rPr>
        <w:t xml:space="preserve">Ergebnis: </w:t>
      </w:r>
      <w:r>
        <w:t>Interventions-Teilnehmer beschrieben selbstgeleitete Entscheidungsfindung und höheres Vertrauen, während Standardversorgung-Teilnehmer häufiger Anbieterempfehlungen befolgten ohne Deliberation. Dolmetscher mit geteilter Gehörlosenerfahrung wurden als entscheidend für Vertrauensaufbau und Screening-Engagement genannt. Videoferndolmetschzugang war universelle Barriere für echte Shared Decision Making.</w:t>
      </w:r>
    </w:p>
    <w:p>
      <w:r>
        <w:rPr>
          <w:b/>
          <w:sz w:val="19"/>
        </w:rPr>
        <w:t xml:space="preserve">Übertragbarkeit: </w:t>
      </w:r>
      <w:r>
        <w:rPr>
          <w:sz w:val="19"/>
        </w:rPr>
        <w:t>USA, Befund zur Identifikation und Vertrauenseffekt übertragbar.</w:t>
      </w:r>
    </w:p>
    <w:p>
      <w:r>
        <w:rPr>
          <w:color w:val="5A7D3A"/>
          <w:sz w:val="18"/>
        </w:rPr>
        <w:t>https://pubmed.ncbi.nlm.nih.gov/42803113/</w:t>
      </w:r>
    </w:p>
    <w:p>
      <w:pPr>
        <w:pStyle w:val="Heading2"/>
      </w:pPr>
      <w:r>
        <w:t>Was fördert und hemmt Patientenbeteiligung in Forschungsgremien</w:t>
      </w:r>
    </w:p>
    <w:p>
      <w:r>
        <w:rPr>
          <w:i/>
          <w:color w:val="666666"/>
          <w:sz w:val="18"/>
        </w:rPr>
        <w:t>Jawanda S et al.  ·  Health Expect  ·  Okt. 2026  ·  PMID 42802662</w:t>
      </w:r>
    </w:p>
    <w:p>
      <w:r>
        <w:t>Qualitative Studie mit 11 Panelmitgliedern (Jugendliche, Betreuer, Gesundheitsanbieter, Systemführer) zu Erfahrungen und Barrieren der Teilnahme an einem integrierten Knowledge-Translation-Panel für Konsensbildung.</w:t>
      </w:r>
    </w:p>
    <w:p>
      <w:r>
        <w:rPr>
          <w:b/>
        </w:rPr>
        <w:t xml:space="preserve">Ergebnis: </w:t>
      </w:r>
      <w:r>
        <w:t>Mittlere PEIRS-22-Bewertung 88,3 (SD 10,5), 70% berichteten sehr oder extrem sinnvolle Beteiligung. Förderfaktoren: klare Kommunikation, Vertrauen, inklusives Umfeld, flexible Teilnahmeoptionen. Hemmnisse: Kommunikationsbelastung, Machtdynamiken, konkurrierende Verpflichtungen, Technologieprobleme, unerfüllte Erwartungen.</w:t>
      </w:r>
    </w:p>
    <w:p>
      <w:r>
        <w:rPr>
          <w:b/>
          <w:sz w:val="19"/>
        </w:rPr>
        <w:t xml:space="preserve">Übertragbarkeit: </w:t>
      </w:r>
      <w:r>
        <w:rPr>
          <w:sz w:val="19"/>
        </w:rPr>
        <w:t>Kanada, übertragbar auf deutschsprachige Beteiligungsgremien.</w:t>
      </w:r>
    </w:p>
    <w:p>
      <w:r>
        <w:rPr>
          <w:color w:val="5A7D3A"/>
          <w:sz w:val="18"/>
        </w:rPr>
        <w:t>https://pubmed.ncbi.nlm.nih.gov/42802662/</w:t>
      </w:r>
    </w:p>
    <w:p>
      <w:pPr>
        <w:pStyle w:val="Heading2"/>
      </w:pPr>
      <w:r>
        <w:t>Gesundheitskompetenz älterer Menschen mit Multimorbidität zeigt drei heterogene Profile</w:t>
      </w:r>
    </w:p>
    <w:p>
      <w:r>
        <w:rPr>
          <w:i/>
          <w:color w:val="666666"/>
          <w:sz w:val="18"/>
        </w:rPr>
        <w:t>Guo J et al.  ·  Front Public Health  ·  11.09.2026  ·  PMID 42798461</w:t>
      </w:r>
    </w:p>
    <w:p>
      <w:r>
        <w:t>Latent-Profile-Analyse mit 302 älteren multimorbiden Patienten aus China zur Identifikation von Gesundheitskompetenz-Klassen und deren Assoziation mit Selbstmanagement-Verhalten.</w:t>
      </w:r>
    </w:p>
    <w:p>
      <w:r>
        <w:rPr>
          <w:b/>
        </w:rPr>
        <w:t xml:space="preserve">Ergebnis: </w:t>
      </w:r>
      <w:r>
        <w:t>Drei Profile identifiziert: 18,5% niedrige Kompetenz mit begrenzter Informationsverarbeitung, 42,6% moderate Kompetenz mit Arztabhängigkeit, 38,9% hohe Kompetenz mit autonomer Entscheidung. Geschlecht, Alter, Wohnort, Bildung, Alkoholkonsum und Krankheitsdauer signifikant assoziiert. Selbstmanagement unterschied sich markant zwischen Profilen. Heterogenität erfordert gestaffelte, profilspezifische Interventionen.</w:t>
      </w:r>
    </w:p>
    <w:p>
      <w:r>
        <w:rPr>
          <w:b/>
          <w:sz w:val="19"/>
        </w:rPr>
        <w:t xml:space="preserve">Übertragbarkeit: </w:t>
      </w:r>
      <w:r>
        <w:rPr>
          <w:sz w:val="19"/>
        </w:rPr>
        <w:t>China, aber Profile-Struktur und Bildungseffekt auf deutsches Alter 65+ übertragbar.</w:t>
      </w:r>
    </w:p>
    <w:p>
      <w:r>
        <w:rPr>
          <w:color w:val="5A7D3A"/>
          <w:sz w:val="18"/>
        </w:rPr>
        <w:t>https://pubmed.ncbi.nlm.nih.gov/42798461/</w:t>
      </w:r>
    </w:p>
    <w:p>
      <w:pPr>
        <w:pStyle w:val="Heading1"/>
      </w:pPr>
      <w:r>
        <w:t>Aufgenommen am 28.09.2026</w:t>
      </w:r>
    </w:p>
    <w:p>
      <w:pPr>
        <w:pStyle w:val="Heading2"/>
      </w:pPr>
      <w:r>
        <w:t>Patient-Aktivierung und eHealth Literacy beeinflussen Selbstmanagement bei koronarer Herzerkrankung</w:t>
      </w:r>
    </w:p>
    <w:p>
      <w:r>
        <w:rPr>
          <w:i/>
          <w:color w:val="666666"/>
          <w:sz w:val="18"/>
        </w:rPr>
        <w:t>Tan J et al.  ·  Front Public Health  ·  11.09.2026  ·  PMID 42798483</w:t>
      </w:r>
    </w:p>
    <w:p>
      <w:r>
        <w:t>Querschnittstudie mit 433 Patienten mit koronarer Herzerkrankung, die den Zusammenhang zwischen Patient-Aktivierung, eHealth Literacy und Selbstmanagement untersuchte.</w:t>
      </w:r>
    </w:p>
    <w:p>
      <w:r>
        <w:rPr>
          <w:b/>
        </w:rPr>
        <w:t xml:space="preserve">Ergebnis: </w:t>
      </w:r>
      <w:r>
        <w:t>Patient-Aktivierung korrelierte moderat positiv mit eHealth Literacy (r = 0,51; p &lt; 0,001) und stärker mit kombiniertem Selbstmanagement (r = 0,59; p &lt; 0,001). eHealth Literacy mediierte die Assoziation teilweise (indirekter Effekt = 0,043, 95%-CI [0,002; 0,088]; 9% des Gesamteffekts). Der direkte Pfad war substantiell wichtiger als der indirekte Pfad.</w:t>
      </w:r>
    </w:p>
    <w:p>
      <w:r>
        <w:rPr>
          <w:b/>
          <w:sz w:val="19"/>
        </w:rPr>
        <w:t xml:space="preserve">Übertragbarkeit: </w:t>
      </w:r>
      <w:r>
        <w:rPr>
          <w:sz w:val="19"/>
        </w:rPr>
        <w:t>China, vergleichbare Erkrankungslast, Messinstrumente international etabliert</w:t>
      </w:r>
    </w:p>
    <w:p>
      <w:r>
        <w:rPr>
          <w:color w:val="5A7D3A"/>
          <w:sz w:val="18"/>
        </w:rPr>
        <w:t>https://pubmed.ncbi.nlm.nih.gov/42798483/</w:t>
      </w:r>
    </w:p>
    <w:p>
      <w:pPr>
        <w:pStyle w:val="Heading2"/>
      </w:pPr>
      <w:r>
        <w:t>Sprachmodelle für öffentliche Gesundheitsinformation zum Myokardinfarkt: Qualität und Verständlichkeit</w:t>
      </w:r>
    </w:p>
    <w:p>
      <w:r>
        <w:rPr>
          <w:i/>
          <w:color w:val="666666"/>
          <w:sz w:val="18"/>
        </w:rPr>
        <w:t>Lv T et al.  ·  Front Public Health  ·  10.09.2026  ·  PMID 42787455</w:t>
      </w:r>
    </w:p>
    <w:p>
      <w:r>
        <w:t>Vergleichende Bewertung von Antworten dreier Sprachmodelle (Gemini, Claude, ChatGPT) auf 25 Laienfragen zum Myokardinfarkt durch zwei Kardiologen mit validierten Qualitätsinstrumenten und Lesbarkeitsmetriken.</w:t>
      </w:r>
    </w:p>
    <w:p>
      <w:r>
        <w:rPr>
          <w:b/>
        </w:rPr>
        <w:t xml:space="preserve">Ergebnis: </w:t>
      </w:r>
      <w:r>
        <w:t>Signifikante Unterschiede in DISCERN (p &lt; 0,001) und EQIP (p &lt; 0,001) zwischen Modellen. Claude erzielte höhere DISCERN-Werte als Gemini und ChatGPT; alle zeigten schwache JAMA-Leistung (mangelnde Transparenz). Alle Modelle unterschritten die angestrebte Lesbarkeit (Klasse 6), erzeugten teilweise unvollständige oder potenziell schädliche Informationen. Sprachmodelle sind als eigenständige Patientenbildungs-Tools nicht geeignet.</w:t>
      </w:r>
    </w:p>
    <w:p>
      <w:r>
        <w:rPr>
          <w:b/>
          <w:sz w:val="19"/>
        </w:rPr>
        <w:t xml:space="preserve">Übertragbarkeit: </w:t>
      </w:r>
      <w:r>
        <w:rPr>
          <w:sz w:val="19"/>
        </w:rPr>
        <w:t>China, aber Befunde zu Lesbarkeit und Transparenz für deutschsprachige Zielgruppen relevant; Sprachgebundenheit beachten</w:t>
      </w:r>
    </w:p>
    <w:p>
      <w:r>
        <w:rPr>
          <w:color w:val="5A7D3A"/>
          <w:sz w:val="18"/>
        </w:rPr>
        <w:t>https://pubmed.ncbi.nlm.nih.gov/42787455/</w:t>
      </w:r>
    </w:p>
    <w:p>
      <w:pPr>
        <w:pStyle w:val="Heading2"/>
      </w:pPr>
      <w:r>
        <w:t>Klimawandelbildung erhöht Awareness, Angst und Hoffnung bei Schwangeren</w:t>
      </w:r>
    </w:p>
    <w:p>
      <w:r>
        <w:rPr>
          <w:i/>
          <w:color w:val="666666"/>
          <w:sz w:val="18"/>
        </w:rPr>
        <w:t>Aydın Çeli̇k S et al.  ·  BMC Pregnancy Childbirth  ·  25.07.2026  ·  PMID 42778888</w:t>
      </w:r>
    </w:p>
    <w:p>
      <w:r>
        <w:t>Randomisierte kontrollierte Studie mit 154 schwangeren Frauen (Interventionsgruppe n = 77, Kontrollgruppe n = 77) zu Effekten einer 60-minütigen Klimawandelschulung auf Bewusstsein, Angst und Hoffnung.</w:t>
      </w:r>
    </w:p>
    <w:p>
      <w:r>
        <w:rPr>
          <w:b/>
        </w:rPr>
        <w:t xml:space="preserve">Ergebnis: </w:t>
      </w:r>
      <w:r>
        <w:t>Interventionsgruppe zeigte signifikante Anstiege in Klimawandelangst, Awareness und Hoffnung nach der Schulung (p &lt; 0,001) mit großen Effektstärken (d = 1,30–2,20). Kontrollgruppe zeigte Angst- und Hoffnungsabnahme (p &lt; 0,05), nur marginale Awareness-Steigerung. Zwischen-Gruppen-Vergleiche zeigten signifikant höhere Posttest-Werte in der Interventionsgruppe (p &lt; 0,05). Wiederholte ANOVA: signifikante Gruppe-Zeit-Wechselwirkung (p &lt; 0,001).</w:t>
      </w:r>
    </w:p>
    <w:p>
      <w:r>
        <w:rPr>
          <w:b/>
          <w:sz w:val="19"/>
        </w:rPr>
        <w:t xml:space="preserve">Übertragbarkeit: </w:t>
      </w:r>
      <w:r>
        <w:rPr>
          <w:sz w:val="19"/>
        </w:rPr>
        <w:t>Türkei, generalisierbar auf deutschsprachige Schwangerschaftsbetreuung; Schulungsformat systemübergreifend adaptierbar</w:t>
      </w:r>
    </w:p>
    <w:p>
      <w:r>
        <w:rPr>
          <w:color w:val="5A7D3A"/>
          <w:sz w:val="18"/>
        </w:rPr>
        <w:t>https://pubmed.ncbi.nlm.nih.gov/42778888/</w:t>
      </w:r>
    </w:p>
    <w:p>
      <w:pPr>
        <w:pStyle w:val="Heading2"/>
      </w:pPr>
      <w:r>
        <w:t>Shared Decision-Making bei Schlaganfall: Umsetzungsformate und Barrieren</w:t>
      </w:r>
    </w:p>
    <w:p>
      <w:r>
        <w:rPr>
          <w:i/>
          <w:color w:val="666666"/>
          <w:sz w:val="18"/>
        </w:rPr>
        <w:t>Wang S et al.  ·  BMJ Open  ·  23.09.2026  ·  PMID 42778243</w:t>
      </w:r>
    </w:p>
    <w:p>
      <w:r>
        <w:t>Scoping Review von 17 Studien zu Shared Decision-Making (SDM) in der Schlaganfall-Akutbehandlung, Sekundärprävention und Entlassungsplanung.</w:t>
      </w:r>
    </w:p>
    <w:p>
      <w:r>
        <w:rPr>
          <w:b/>
        </w:rPr>
        <w:t xml:space="preserve">Ergebnis: </w:t>
      </w:r>
      <w:r>
        <w:t>SDM wurde über mehrere Schlaganfall-Prozesse hinweg angewendet mit variablen Umsetzungsformaten (papiergestützte Entscheidungshilfen, visuell, webbasiert, computergestützt). Einflussfaktoren identifiziert auf Patient-, Professionellen-, Werkzeug- und Organisations-Ebene. Evidenz zeigt potenziellen Nutzen, bleibt aber heterogen und begrenzt. Standardisierte Definitionen und Evaluationen fehlen.</w:t>
      </w:r>
    </w:p>
    <w:p>
      <w:r>
        <w:rPr>
          <w:b/>
          <w:sz w:val="19"/>
        </w:rPr>
        <w:t xml:space="preserve">Übertragbarkeit: </w:t>
      </w:r>
      <w:r>
        <w:rPr>
          <w:sz w:val="19"/>
        </w:rPr>
        <w:t>International, aber USA-Studien eingeschlossen; Empfehlungen zu Definitionen und Messung systemübergreifend relevant</w:t>
      </w:r>
    </w:p>
    <w:p>
      <w:r>
        <w:rPr>
          <w:color w:val="5A7D3A"/>
          <w:sz w:val="18"/>
        </w:rPr>
        <w:t>https://pubmed.ncbi.nlm.nih.gov/42778243/</w:t>
      </w:r>
    </w:p>
    <w:p>
      <w:pPr>
        <w:pStyle w:val="Heading2"/>
      </w:pPr>
      <w:r>
        <w:t>Kulturelle Anpassung von Shared Decision-Making und Navigation für hispanische Lungenkrebsscreening-Teilnehmer</w:t>
      </w:r>
    </w:p>
    <w:p>
      <w:r>
        <w:rPr>
          <w:i/>
          <w:color w:val="666666"/>
          <w:sz w:val="18"/>
        </w:rPr>
        <w:t>Arana-Chicas E et al.  ·  Cancer Causes Control  ·  23.09.2026  ·  PMID 42776309</w:t>
      </w:r>
    </w:p>
    <w:p>
      <w:r>
        <w:t>Qualitative Studie mit 19 hispanischen Erwachsenen (50–77 Jahre, 68 % spanischsprachig) zu Wahrnehmungen von Lungenkrebsscreening und Shared Decision-Making für die kulturelle Adaption der TELESCOPE-Intervention.</w:t>
      </w:r>
    </w:p>
    <w:p>
      <w:r>
        <w:rPr>
          <w:b/>
        </w:rPr>
        <w:t xml:space="preserve">Ergebnis: </w:t>
      </w:r>
      <w:r>
        <w:t>Vier Themen identifiziert: (1) begrenzte Kenntnis von Lungenkrebsscreening; (2) Präferenz für klare und freundliche Kommunikation; (3) Besorgnis um Angst und Fatalismus; (4) Bedeutung kulturell relevanter Gestaltung. Diese Befunde sollen Kulturanpassung einer telemedizingestützten SDM-Intervention leiten.</w:t>
      </w:r>
    </w:p>
    <w:p>
      <w:r>
        <w:rPr>
          <w:b/>
          <w:sz w:val="19"/>
        </w:rPr>
        <w:t xml:space="preserve">Übertragbarkeit: </w:t>
      </w:r>
      <w:r>
        <w:rPr>
          <w:sz w:val="19"/>
        </w:rPr>
        <w:t>USA, aber Befunde zur Kommunikationsgestaltung und Angstabbau gelten systemübergreifend; Sprachkompetenz systemgebunden</w:t>
      </w:r>
    </w:p>
    <w:p>
      <w:r>
        <w:rPr>
          <w:color w:val="5A7D3A"/>
          <w:sz w:val="18"/>
        </w:rPr>
        <w:t>https://pubmed.ncbi.nlm.nih.gov/42776309/</w:t>
      </w:r>
    </w:p>
    <w:p>
      <w:pPr>
        <w:pStyle w:val="Heading2"/>
      </w:pPr>
      <w:r>
        <w:t>Selbsteingeschätzte Gesundheit und eHealth Literacy bei Pflegestudierenden korrelieren</w:t>
      </w:r>
    </w:p>
    <w:p>
      <w:r>
        <w:rPr>
          <w:i/>
          <w:color w:val="666666"/>
          <w:sz w:val="18"/>
        </w:rPr>
        <w:t>Huang L et al.  ·  Nurs Open  ·  Sept. 2026  ·  PMID 42768417</w:t>
      </w:r>
    </w:p>
    <w:p>
      <w:r>
        <w:t>Querschnittsstudie mit 727 Pflegestudierenden aus einer chinesischen Fachschule zur Assoziation zwischen Selbstbewertung der Gesundheit und eHealth Literacy, adjustiert für Alter, Geschlecht, familiärer Sozioökonomie und akademischen Stress.</w:t>
      </w:r>
    </w:p>
    <w:p>
      <w:r>
        <w:rPr>
          <w:b/>
        </w:rPr>
        <w:t xml:space="preserve">Ergebnis: </w:t>
      </w:r>
      <w:r>
        <w:t>Nach Adjustierung für Kovariaten: Studierende mit schlechter Selbsteinschätzung der Gesundheit zeigten signifikant niedrigere eHealth-Literacy-Scores als solche mit guter Gesundheit. Auch Studierende mit fairer Selbstbewertung hatten niedrigere Scores, der Unterschied war aber erheblich kleiner. Assoziation statistisch signifikant, kausale Richtung ungeklärt.</w:t>
      </w:r>
    </w:p>
    <w:p>
      <w:r>
        <w:rPr>
          <w:b/>
          <w:sz w:val="19"/>
        </w:rPr>
        <w:t xml:space="preserve">Übertragbarkeit: </w:t>
      </w:r>
      <w:r>
        <w:rPr>
          <w:sz w:val="19"/>
        </w:rPr>
        <w:t>China, aber Befund zur Bedeutung von Gesundheitswahrnehmung für digitale Kompetenz in Pflegeausbildung EU-weit relevant</w:t>
      </w:r>
    </w:p>
    <w:p>
      <w:r>
        <w:rPr>
          <w:color w:val="5A7D3A"/>
          <w:sz w:val="18"/>
        </w:rPr>
        <w:t>https://pubmed.ncbi.nlm.nih.gov/42768417/</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Gesundheitskompetenz bei älteren Patienten mit Herz-Kreislauf-Erkrankungen: Latente Profilanalyse</w:t>
      </w:r>
    </w:p>
    <w:p>
      <w:r>
        <w:rPr>
          <w:i/>
          <w:color w:val="666666"/>
          <w:sz w:val="18"/>
        </w:rPr>
        <w:t>Mestl H  ·  Tidsskr Nor Laegeforen  ·  23.06.2026  ·  PMID 42343611</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https://pubmed.ncbi.nlm.nih.gov/42343611/</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2026-10-05T06:00:00Z</dcterms:created>
  <dcterms:modified xsi:type="dcterms:W3CDTF">2026-10-05T06:00:00Z</dcterms:modified>
  <cp:category/>
</cp:coreProperties>
</file>