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20.08.2026  |  1 Studien  |  healthliteracy.m-vf.de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Professionelle Gesundheitskompetenz von Hebammen: Identifizierung von Kompetenzlücken in digitalen und evidenzbasierten Fähigkeiten</w:t>
      </w:r>
    </w:p>
    <w:p>
      <w:r>
        <w:rPr>
          <w:i/>
          <w:color w:val="666666"/>
          <w:sz w:val="18"/>
        </w:rPr>
        <w:t>Sponsel S et al.  ·  Gesundheitswesen  ·  19.08.2026  ·  PMID 42617637</w:t>
      </w:r>
    </w:p>
    <w:p>
      <w:r>
        <w:t>Querschnittstudie zur professionellen Gesundheitskompetenz von 668 bayerischen Hebammen mit standardisierter Online-Befragung mittels PROF-HL-Q-Instrument.</w:t>
      </w:r>
    </w:p>
    <w:p>
      <w:r>
        <w:rPr>
          <w:b/>
        </w:rPr>
        <w:t xml:space="preserve">Ergebnis: </w:t>
      </w:r>
      <w:r>
        <w:t>Hebammen erreichten in vier Kompetenzdomänen Mittelwerte zwischen 48,6 und 78,0 von 100 Punkten; patientenzentrierte Kommunikation zeigte höchste Werte (78,0), digitale Gesundheitskompetenz niedrigste (48,6). Deutliche Förderbedarfe in Digitalisierung, Evidenzbasierung und fortgeschrittener Kommunikation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Klinikdaten zu Hebammenprofession im DACH-System</w:t>
      </w:r>
    </w:p>
    <w:p>
      <w:r>
        <w:rPr>
          <w:color w:val="5A7D3A"/>
          <w:sz w:val="18"/>
        </w:rPr>
        <w:t>https://pubmed.ncbi.nlm.nih.gov/42617637/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