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Gesundheitskompetenz und Health Literacy</w:t>
      </w:r>
    </w:p>
    <w:p>
      <w:r>
        <w:rPr>
          <w:i/>
          <w:color w:val="666666"/>
          <w:sz w:val="18"/>
        </w:rPr>
        <w:t>Stand: 31.08.2026  |  7 Studien  |  healthliteracy.m-vf.de</w:t>
      </w:r>
    </w:p>
    <w:p>
      <w:pPr>
        <w:pStyle w:val="Heading1"/>
      </w:pPr>
      <w:r>
        <w:t>Aufgenommen am 31.08.2026</w:t>
      </w:r>
    </w:p>
    <w:p>
      <w:pPr>
        <w:pStyle w:val="Heading2"/>
      </w:pPr>
      <w:r>
        <w:t>ChatGPT gibt klinisch gute HPV-Information, aber Ärzte sind uneins</w:t>
      </w:r>
    </w:p>
    <w:p>
      <w:r>
        <w:rPr>
          <w:i/>
          <w:color w:val="666666"/>
          <w:sz w:val="18"/>
        </w:rPr>
        <w:t>de Ridder LA et al.  ·  Int J Med Inform  ·  01.11.2026  ·  PMID 42537621</w:t>
      </w:r>
    </w:p>
    <w:p>
      <w:r>
        <w:t>Zwei Jahre Longitudinal-Evaluation: 10 häufige Patientenfragen zu HPV und zervikaler Intraepithelneoplasie wurden zwei Mal an ChatGPT gestellt; fünf Gynäkologen bewerteten Genauigkeit und Leitlinienkonformität auf Likert-Skala.</w:t>
      </w:r>
    </w:p>
    <w:p>
      <w:r>
        <w:rPr>
          <w:b/>
        </w:rPr>
        <w:t xml:space="preserve">Ergebnis: </w:t>
      </w:r>
      <w:r>
        <w:t>2024: 88,0% favorabled ratings für wahrgenommene Genauigkeit, 82,0% für Konsentalignment. 2025: 92,0% und 76,0%. Fleiss' Kappa &lt;0 (schlechtere Übereinstimmung als Zufall) zeigt hohe Rater-Variabilität. Keine objektive Leitlinien-Benchmarkierung durchgeführt.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KI-Hub; Chatbot auf Verständlichkeit geprüft, nicht reine Technik</w:t>
      </w:r>
    </w:p>
    <w:p>
      <w:r>
        <w:rPr>
          <w:color w:val="5A7D3A"/>
          <w:sz w:val="18"/>
        </w:rPr>
        <w:t>https://pubmed.ncbi.nlm.nih.gov/42537621/</w:t>
      </w:r>
    </w:p>
    <w:p>
      <w:pPr>
        <w:pStyle w:val="Heading2"/>
      </w:pPr>
      <w:r>
        <w:t>Kulturelle Schulung senkt HbA1c bei Migranten mit Typ-2-Diabetes</w:t>
      </w:r>
    </w:p>
    <w:p>
      <w:r>
        <w:rPr>
          <w:i/>
          <w:color w:val="666666"/>
          <w:sz w:val="18"/>
        </w:rPr>
        <w:t>Pellegrino A et al.  ·  Diabetes Res Clin Pract  ·  28.07.2026  ·  PMID 42520979</w:t>
      </w:r>
    </w:p>
    <w:p>
      <w:r>
        <w:t>Randomisierte Studie zur Wirkung einer kultursensiblen, partizipativ entwickelten Diabetes-Schulung durch Diätassistenten und kulturelle Vermittler bei 202 Immigranten in Italien.</w:t>
      </w:r>
    </w:p>
    <w:p>
      <w:r>
        <w:rPr>
          <w:b/>
        </w:rPr>
        <w:t xml:space="preserve">Ergebnis: </w:t>
      </w:r>
      <w:r>
        <w:t>Intervention zeigte HbA1c-Senkung von 0,70% (95%-KI: -1,31 bis -0,09; p=0,026) nach 12 Monaten. Mediation durch erhöhte Vollkornzufuhr und Taillenumfangreduktion erklärt 40% des Effekts. Signifikante Verbesserungen auch bei Triglyzeriden, Gesamtcholesterin und Therapieadhärenz.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Italien, vergleichbares Sozialsystem; sprachgebunden: braucht kulturelle Vermittler</w:t>
      </w:r>
    </w:p>
    <w:p>
      <w:r>
        <w:rPr>
          <w:color w:val="5A7D3A"/>
          <w:sz w:val="18"/>
        </w:rPr>
        <w:t>https://pubmed.ncbi.nlm.nih.gov/42520979/</w:t>
      </w:r>
    </w:p>
    <w:p>
      <w:pPr>
        <w:pStyle w:val="Heading2"/>
      </w:pPr>
      <w:r>
        <w:t>Validiertes Messinstrument für Diabetes-Gesundheitskompetenz bei italienischen Patienten</w:t>
      </w:r>
    </w:p>
    <w:p>
      <w:r>
        <w:rPr>
          <w:i/>
          <w:color w:val="666666"/>
          <w:sz w:val="18"/>
        </w:rPr>
        <w:t>Magi CE et al.  ·  Diabetes Res Clin Pract  ·  24.07.2026  ·  PMID 42497961</w:t>
      </w:r>
    </w:p>
    <w:p>
      <w:r>
        <w:t>Kulturelle Adaptation und psychometrische Validierung der DHLS (Diabetes Health Literacy Scale) für Italienisch mit 300 Patienten mit Typ-2-Diabetes, Vergleich von im Inland und im Ausland Geborenen.</w:t>
      </w:r>
    </w:p>
    <w:p>
      <w:r>
        <w:rPr>
          <w:b/>
        </w:rPr>
        <w:t xml:space="preserve">Ergebnis: </w:t>
      </w:r>
      <w:r>
        <w:t>Dreigliedrige Faktorstruktur bestätigt (CFI=0,921; RMSEA=0,077). Innere Konsistenz ω=0,759-0,868, insgesamt ω=0,940. Partielle metrische Invarianz zwischen Geburtsgruppen: direkte latente Vergleiche problematisch. Konvergenz mit vergleichbaren Instrumenten nachgewiesen.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Italien; nur Messinstrument, keine Wirkungsmessung – grenzwertig für Auswahl</w:t>
      </w:r>
    </w:p>
    <w:p>
      <w:r>
        <w:rPr>
          <w:color w:val="5A7D3A"/>
          <w:sz w:val="18"/>
        </w:rPr>
        <w:t>https://pubmed.ncbi.nlm.nih.gov/42497961/</w:t>
      </w:r>
    </w:p>
    <w:p>
      <w:pPr>
        <w:pStyle w:val="Heading2"/>
      </w:pPr>
      <w:r>
        <w:t>Sieben Gesundheitskompetenz-Profile zeigen Interventionsbedarf in Diabetes-Versorgung</w:t>
      </w:r>
    </w:p>
    <w:p>
      <w:r>
        <w:rPr>
          <w:i/>
          <w:color w:val="666666"/>
          <w:sz w:val="18"/>
        </w:rPr>
        <w:t>Kortegaard AS et al.  ·  Health Lit Res Pract  ·  14.07.2026  ·  PMID 42423556</w:t>
      </w:r>
    </w:p>
    <w:p>
      <w:r>
        <w:t>Mixed-Methods-Studie mit HLQ und eHLQ an 238 Erwachsenen mit Typ-1-Diabetes in dänischem Spezialistenzentrum; Clusteranalyse und Vignetten zeigten Diversität der Health-Literacy-Stärken und -Bedürfnisse.</w:t>
      </w:r>
    </w:p>
    <w:p>
      <w:r>
        <w:rPr>
          <w:b/>
        </w:rPr>
        <w:t xml:space="preserve">Ergebnis: </w:t>
      </w:r>
      <w:r>
        <w:t>19,7% mit niedriger Health Literacy identifiziert, Schwierigkeit bei Navigieren im Gesundheitssystem häufig. Sieben unterschiedliche Profile von aktiver Selbstversorgung bis zu niedriger Beteiligung und Familienabhängigkeit. Vignetten verdeutlichen konkrete Patientenerfahrungen und Herausforderungen.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vergleichbar; zeigt Diversität in Zielgruppe</w:t>
      </w:r>
    </w:p>
    <w:p>
      <w:r>
        <w:rPr>
          <w:color w:val="5A7D3A"/>
          <w:sz w:val="18"/>
        </w:rPr>
        <w:t>https://pubmed.ncbi.nlm.nih.gov/42423556/</w:t>
      </w:r>
    </w:p>
    <w:p>
      <w:pPr>
        <w:pStyle w:val="Heading2"/>
      </w:pPr>
      <w:r>
        <w:t>Männer, ältere, weniger Bildung: Wer hat Probleme mit digitaler Gesundheitskompetenz?</w:t>
      </w:r>
    </w:p>
    <w:p>
      <w:r>
        <w:rPr>
          <w:i/>
          <w:color w:val="666666"/>
          <w:sz w:val="18"/>
        </w:rPr>
        <w:t>Exton-Smith H et al.  ·  J Med Internet Res  ·  08.07.2026  ·  PMID 42418731</w:t>
      </w:r>
    </w:p>
    <w:p>
      <w:r>
        <w:t>Querschnittsbefragung mit 1.525 UK-Internetnutzern zu digitaler Health Literacy (eHEALS) und soziodemografischen, wirtschaftlichen sowie sozialen Faktoren.</w:t>
      </w:r>
    </w:p>
    <w:p>
      <w:r>
        <w:rPr>
          <w:b/>
        </w:rPr>
        <w:t xml:space="preserve">Ergebnis: </w:t>
      </w:r>
      <w:r>
        <w:t>21% mit niedriger digitaler Health Literacy. Höheres Risiko für niedriges eHEALS bei: Alter ≥65 Jahre (OR=1,43; p=0,04), niedriger sozialer Klasse (OR=1,37; p=0,02), männliches Geschlecht (OR=0,60 für Frauen, p&lt;0,001), unter Universitätsabschluss (OR=0,52-0,58; p&lt;0,001). Modell erklärt nur modest Varianz; Dunkelziffer in Gesamtbevölkerung höher.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NHS-System; ähnlich Deutschland; Basis nur Internetnutzer</w:t>
      </w:r>
    </w:p>
    <w:p>
      <w:r>
        <w:rPr>
          <w:color w:val="5A7D3A"/>
          <w:sz w:val="18"/>
        </w:rPr>
        <w:t>https://pubmed.ncbi.nlm.nih.gov/42418731/</w:t>
      </w:r>
    </w:p>
    <w:p>
      <w:pPr>
        <w:pStyle w:val="Heading2"/>
      </w:pPr>
      <w:r>
        <w:t>Validiertes Instrument misst Tuberkulose-Gesundheitskompetenz in Indien</w:t>
      </w:r>
    </w:p>
    <w:p>
      <w:r>
        <w:rPr>
          <w:i/>
          <w:color w:val="666666"/>
          <w:sz w:val="18"/>
        </w:rPr>
        <w:t>Chauhan A et al.  ·  PLoS One  ·  30.06.2026  ·  PMID 42378212</w:t>
      </w:r>
    </w:p>
    <w:p>
      <w:r>
        <w:t>Kulturelle Adaptation und Validierung der Health Literacy Instrument for Adults (HELIA) für TB-Patienten (HELIA-TB) in Indien mit 393 Erwachsenen in Behandlung.</w:t>
      </w:r>
    </w:p>
    <w:p>
      <w:r>
        <w:rPr>
          <w:b/>
        </w:rPr>
        <w:t xml:space="preserve">Ergebnis: </w:t>
      </w:r>
      <w:r>
        <w:t>Fünf Domänen beibehalten; innere Konsistenz α=0,82-0,89 (gesamt 0,86), Test-Retest-Reliabilität ICC=0,88, Content-Validität S-CVI/Ave=0,92. Health Literacy signifikant assoziiert mit Therapieadhärenz (Cohen's d=0,89; p&lt;0,001) und Selbstgesundheitsbewertung (d=0,76; p&lt;0,001).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Indien; kulturelle und sprachliche Adaptation nötig</w:t>
      </w:r>
    </w:p>
    <w:p>
      <w:r>
        <w:rPr>
          <w:color w:val="5A7D3A"/>
          <w:sz w:val="18"/>
        </w:rPr>
        <w:t>https://pubmed.ncbi.nlm.nih.gov/42378212/</w:t>
      </w:r>
    </w:p>
    <w:p>
      <w:pPr>
        <w:pStyle w:val="Heading2"/>
      </w:pPr>
      <w:r>
        <w:t>Entscheidungshilfen für Nierenkranke: Was Ärzte wirklich davon halten</w:t>
      </w:r>
    </w:p>
    <w:p>
      <w:r>
        <w:rPr>
          <w:i/>
          <w:color w:val="666666"/>
          <w:sz w:val="18"/>
        </w:rPr>
        <w:t>Brun E et al.  ·  Nephrol Ther  ·  21.07.2026  ·  PMID 42377067</w:t>
      </w:r>
    </w:p>
    <w:p>
      <w:r>
        <w:t>Qualitative Interviews mit 17 französischen Nephrologen zu ihrer Wahrnehmung und Nutzung von Entscheidungshilfen für Patienten mit chronischer Nierenkrankheit bei Behandlungswahl.</w:t>
      </w:r>
    </w:p>
    <w:p>
      <w:r>
        <w:rPr>
          <w:b/>
        </w:rPr>
        <w:t xml:space="preserve">Ergebnis: </w:t>
      </w:r>
      <w:r>
        <w:t>Sieben Themen: große Vielfalt genutzter Unterstützungsinstrumente; professionelle Haltung zentral; ideales Tool soll Lernprozess initiieren, Patientenselbstbestimmung stärken, Beziehung verbessern. Ambivalenz über Einbeziehung von Angehörigen. Technik sollte Interaktion nicht ersetzen.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SAMU; Entscheidungshilfen systemabhängig</w:t>
      </w:r>
    </w:p>
    <w:p>
      <w:r>
        <w:rPr>
          <w:color w:val="5A7D3A"/>
          <w:sz w:val="18"/>
        </w:rPr>
        <w:t>https://pubmed.ncbi.nlm.nih.gov/42377067/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Gesundheitskompetenz und Health Literacy</dc:title>
  <dc:subject/>
  <dc:creator>Monitor Versorgungsforschung</dc:creator>
  <cp:keywords/>
  <dc:description>generated by python-docx</dc:description>
  <cp:lastModifiedBy/>
  <cp:revision>1</cp:revision>
  <dcterms:created xsi:type="dcterms:W3CDTF">2026-08-31T06:00:00Z</dcterms:created>
  <dcterms:modified xsi:type="dcterms:W3CDTF">2026-08-31T06:00:00Z</dcterms:modified>
  <cp:category/>
</cp:coreProperties>
</file>