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07.10.2026  |  284 Studien  |  healthliteracy.m-vf.de</w:t>
      </w:r>
    </w:p>
    <w:p>
      <w:pPr>
        <w:pStyle w:val="Heading1"/>
      </w:pPr>
      <w:r>
        <w:t>Aufgenommen am 07.10.2026</w:t>
      </w:r>
    </w:p>
    <w:p>
      <w:pPr>
        <w:pStyle w:val="Heading2"/>
      </w:pPr>
      <w:r>
        <w:t>Digitale Gesundheitskompetenz und proaktives Verhalten bei Diabetes: Indirekte Wirkung durch Selbstmanagement</w:t>
      </w:r>
    </w:p>
    <w:p>
      <w:r>
        <w:rPr>
          <w:i/>
          <w:color w:val="666666"/>
          <w:sz w:val="18"/>
        </w:rPr>
        <w:t>Chen C et al.  ·  BMJ Open  ·  06.10.2026  ·  PMID 42838584</w:t>
      </w:r>
    </w:p>
    <w:p>
      <w:r>
        <w:t>Eine chinesische Querschnittsstudie von 1053 älteren Diabetikern prüfte die Assoziation zwischen digitaler Health Literacy und gesundheitsbezogener Lebensqualität, vermittelt durch proaktive Gesundheitsverhalten.</w:t>
      </w:r>
    </w:p>
    <w:p>
      <w:r>
        <w:rPr>
          <w:b/>
        </w:rPr>
        <w:t xml:space="preserve">Ergebnis: </w:t>
      </w:r>
      <w:r>
        <w:t>Mittlere digitale Health-Literacy: 21,24±10,43; proaktives Verhalten: 76,75±9,88; EQ-5D-3L-Nutzen: 0,968±0,069. Die adjustierte Gesamtassoziation zwischen digitaler Health Literacy und Lebensqualität war signifikant (B=0,000569, 95%-KI 0,000228–0,000910), die direkte Assoziation hingegen nicht (B=0,000152, p=0,338). Die indirekte Assoziation durch proaktive Verhalten war signifikant (B=0,000418, 95%-KI 0,000260–0,000619) und erklärte 73,5 % der Gesamtassoziation.</w:t>
      </w:r>
    </w:p>
    <w:p>
      <w:r>
        <w:rPr>
          <w:b/>
          <w:sz w:val="19"/>
        </w:rPr>
        <w:t xml:space="preserve">Übertragbarkeit: </w:t>
      </w:r>
      <w:r>
        <w:rPr>
          <w:sz w:val="19"/>
        </w:rPr>
        <w:t>China, Vergleichbarkeit begrenzt auf digitale Kompetenzeffekte, weniger auf Organisationsstrukturen</w:t>
      </w:r>
    </w:p>
    <w:p>
      <w:r>
        <w:rPr>
          <w:color w:val="5A7D3A"/>
          <w:sz w:val="18"/>
        </w:rPr>
        <w:t>https://pubmed.ncbi.nlm.nih.gov/42838584/</w:t>
      </w:r>
    </w:p>
    <w:p>
      <w:pPr>
        <w:pStyle w:val="Heading2"/>
      </w:pPr>
      <w:r>
        <w:t>Shared Decision-Making für Hüftfraktur-Behandlung: Zufriedenheit und Informationsbedarf</w:t>
      </w:r>
    </w:p>
    <w:p>
      <w:r>
        <w:rPr>
          <w:i/>
          <w:color w:val="666666"/>
          <w:sz w:val="18"/>
        </w:rPr>
        <w:t>Oosterwijk PC et al.  ·  BMJ Open  ·  06.10.2026  ·  PMID 42838576</w:t>
      </w:r>
    </w:p>
    <w:p>
      <w:r>
        <w:t>Eine niederländische Mixed-Methods-Studie untersuchte die Zufriedenheit von Patienten und Angehörigen mit der gemeinsamen Entscheidungsfindung (SDM) bei älteren, gebrechlichen Patienten mit Hüftfraktur und identifizierte Verbesserungsmöglichkeiten für den SDM-Prozess.</w:t>
      </w:r>
    </w:p>
    <w:p>
      <w:r>
        <w:rPr>
          <w:b/>
        </w:rPr>
        <w:t xml:space="preserve">Ergebnis: </w:t>
      </w:r>
      <w:r>
        <w:t>Von 79 befragten Stellvertretern betrug die mediane Zufriedenheit mit der getroffenen Behandlungsentscheidung 8 von 10 Punkten (P25-P75 7–9). Bei 30 % der Teilnehmer fehlten Informationen zu technischen Details und Nachsorge. Schlüsselfaktoren für Zufriedenheit waren die Anerkennung der Gebrechlichkeit, konsistente Behandlung, verständliche Informationen und ausreichend Zeit.</w:t>
      </w:r>
    </w:p>
    <w:p>
      <w:r>
        <w:rPr>
          <w:b/>
          <w:sz w:val="19"/>
        </w:rPr>
        <w:t xml:space="preserve">Übertragbarkeit: </w:t>
      </w:r>
      <w:r>
        <w:rPr>
          <w:sz w:val="19"/>
        </w:rPr>
        <w:t>Niederlande, vergleichbares Versicherungssystem und Klinikstrukturen</w:t>
      </w:r>
    </w:p>
    <w:p>
      <w:r>
        <w:rPr>
          <w:color w:val="5A7D3A"/>
          <w:sz w:val="18"/>
        </w:rPr>
        <w:t>https://pubmed.ncbi.nlm.nih.gov/42838576/</w:t>
      </w:r>
    </w:p>
    <w:p>
      <w:pPr>
        <w:pStyle w:val="Heading2"/>
      </w:pPr>
      <w:r>
        <w:t>Shared-Decision-Making-Training für Ärzte: Umsetzungsbarrieren in der Routineversorgung</w:t>
      </w:r>
    </w:p>
    <w:p>
      <w:r>
        <w:rPr>
          <w:i/>
          <w:color w:val="666666"/>
          <w:sz w:val="18"/>
        </w:rPr>
        <w:t>Kraun L et al.  ·  Fam Pract  ·  06.10.2026  ·  PMID 42837109</w:t>
      </w:r>
    </w:p>
    <w:p>
      <w:r>
        <w:t>Eine qualitative US-Studie analysierte die Erfahrungen von 43 Hausärzten mit einem SDM-Training und klinischen Erinnerungen aus einer randomisierten Studie zur Darmkrebs-Screening-Entscheidung bei älteren Patienten und identifizierte Implementierungshindernisse und Systemvoraussetzungen.</w:t>
      </w:r>
    </w:p>
    <w:p>
      <w:r>
        <w:rPr>
          <w:b/>
        </w:rPr>
        <w:t xml:space="preserve">Ergebnis: </w:t>
      </w:r>
      <w:r>
        <w:t>Ärzte bewerteten Training und Erinnerungen als unterstützend für nuanciertere Entscheidungsgespräche. Zentrale Barrieren waren Zeitmangel, konkurrierendes Fallaufkommen, Workflow-Integration und COVID-19-Unterbrechungen. Empfehlungen der Ärzte: automatisierte Erinnerungen, Patient Decision Aids, kürzeres Training, interprofessionelle Zusammenarbeit und minimale Zusatzbelastung.</w:t>
      </w:r>
    </w:p>
    <w:p>
      <w:r>
        <w:rPr>
          <w:b/>
          <w:sz w:val="19"/>
        </w:rPr>
        <w:t xml:space="preserve">Übertragbarkeit: </w:t>
      </w:r>
      <w:r>
        <w:rPr>
          <w:sz w:val="19"/>
        </w:rPr>
        <w:t>USA, Gatekeeping-System nur teilweise auf deutsche freie Arztwahl übertragbar</w:t>
      </w:r>
    </w:p>
    <w:p>
      <w:r>
        <w:rPr>
          <w:color w:val="5A7D3A"/>
          <w:sz w:val="18"/>
        </w:rPr>
        <w:t>https://pubmed.ncbi.nlm.nih.gov/42837109/</w:t>
      </w:r>
    </w:p>
    <w:p>
      <w:pPr>
        <w:pStyle w:val="Heading2"/>
      </w:pPr>
      <w:r>
        <w:t>Multidisziplinäre Schmerzbehandlung verbessert Gesundheitskompetenz messbar</w:t>
      </w:r>
    </w:p>
    <w:p>
      <w:r>
        <w:rPr>
          <w:i/>
          <w:color w:val="666666"/>
          <w:sz w:val="18"/>
        </w:rPr>
        <w:t>Gjesdal K et al.  ·  Scand J Pain  ·  01.01.2026  ·  PMID 42836695</w:t>
      </w:r>
    </w:p>
    <w:p>
      <w:r>
        <w:t>Eine norwegische Längsschnittstudie prüfte Veränderungen der Health Literacy bei 43 Patienten mit chronischen Schmerzstörungen nach Teilnahme an einem individualisierten, multidisziplinären primärärztlichen Behandlungsprogramm.</w:t>
      </w:r>
    </w:p>
    <w:p>
      <w:r>
        <w:rPr>
          <w:b/>
        </w:rPr>
        <w:t xml:space="preserve">Ergebnis: </w:t>
      </w:r>
      <w:r>
        <w:t>Statistisch signifikante Verbesserungen in fünf von neun Health-Literacy-Questionnaire-Domänen vom Ausgangswert zur Halbzeiterhebung und in acht Domänen bis zur Abschlussuntersuchung. Die stärkste Steigerung zeigte die Domäne "ausreichend Informationen zur Gesundheitskontrolle", die Domäne "Navigation im Gesundheitssystem" verbesserte sich über alle Zeitpunkte.</w:t>
      </w:r>
    </w:p>
    <w:p>
      <w:r>
        <w:rPr>
          <w:b/>
          <w:sz w:val="19"/>
        </w:rPr>
        <w:t xml:space="preserve">Übertragbarkeit: </w:t>
      </w:r>
      <w:r>
        <w:rPr>
          <w:sz w:val="19"/>
        </w:rPr>
        <w:t>Skandinavien, vergleichbare Primärversorgungsstrukturen</w:t>
      </w:r>
    </w:p>
    <w:p>
      <w:r>
        <w:rPr>
          <w:color w:val="5A7D3A"/>
          <w:sz w:val="18"/>
        </w:rPr>
        <w:t>https://pubmed.ncbi.nlm.nih.gov/42836695/</w:t>
      </w:r>
    </w:p>
    <w:p>
      <w:pPr>
        <w:pStyle w:val="Heading2"/>
      </w:pPr>
      <w:r>
        <w:t>Patientenbeteiligung in Schlaganfall-Forschung: Struktur schließt Betroffene systematisch aus</w:t>
      </w:r>
    </w:p>
    <w:p>
      <w:r>
        <w:rPr>
          <w:i/>
          <w:color w:val="666666"/>
          <w:sz w:val="18"/>
        </w:rPr>
        <w:t>Wyatt D et al.  ·  Health Expect  ·  Okt. 2026  ·  PMID 42834742</w:t>
      </w:r>
    </w:p>
    <w:p>
      <w:r>
        <w:t>Eine britische qualitative Studie untersuchte Praxis und Barrieren der Patient and Public Involvement (PPI) in 104 Schlaganfall-Forschungsprojekten durch eine nationale Befragung von 31 Forschungsteams.</w:t>
      </w:r>
    </w:p>
    <w:p>
      <w:r>
        <w:rPr>
          <w:b/>
        </w:rPr>
        <w:t xml:space="preserve">Ergebnis: </w:t>
      </w:r>
      <w:r>
        <w:t>Gruppentreffen dominierten die PPI-Praxis und wirkten als "selbstverständliche Infrastruktur"; sie systematisch aus Schlaganfallüberlebende aus, deren Beeinträchtigungen die Teilnahme erschwerten. Mangelnde Mittel für Koordination (insbesondere unbezahlte Zeit) und fehlende spezialisierte Kommunikationsunterstützung limitierten die Machbarkeit. PPI-Gruppen blieben überwiegend "weiß, mittelschichtig mit leichteren Schlaganfallfolgen"; Innovation führte nicht zu inklusiverer Teilhabe.</w:t>
      </w:r>
    </w:p>
    <w:p>
      <w:r>
        <w:rPr>
          <w:b/>
          <w:sz w:val="19"/>
        </w:rPr>
        <w:t xml:space="preserve">Übertragbarkeit: </w:t>
      </w:r>
      <w:r>
        <w:rPr>
          <w:sz w:val="19"/>
        </w:rPr>
        <w:t>Vereinigtes Königreich, NHSForschungsinfrastruktur übertragbar auf deutsches System</w:t>
      </w:r>
    </w:p>
    <w:p>
      <w:r>
        <w:rPr>
          <w:color w:val="5A7D3A"/>
          <w:sz w:val="18"/>
        </w:rPr>
        <w:t>https://pubmed.ncbi.nlm.nih.gov/42834742/</w:t>
      </w:r>
    </w:p>
    <w:p>
      <w:pPr>
        <w:pStyle w:val="Heading2"/>
      </w:pPr>
      <w:r>
        <w:t>Gemeindebeteiligung und Health Literacy stärken integrierte Primärversorgung</w:t>
      </w:r>
    </w:p>
    <w:p>
      <w:r>
        <w:rPr>
          <w:i/>
          <w:color w:val="666666"/>
          <w:sz w:val="18"/>
        </w:rPr>
        <w:t>De Witte NAJ et al.  ·  BMC Prim Care  ·  08.07.2026  ·  PMID 42420849</w:t>
      </w:r>
    </w:p>
    <w:p>
      <w:r>
        <w:t>Eine belgische Mixed-Methods-Studie kombinierte eine Bevölkerungsbefragung (n=1078) mit partizipativen Co-Creation-Sessions, um Gesundheitskompetenz, Bedarf und Prioritäten für integrierte Primärversorgung und Prävention vor Ort zu erfassen.</w:t>
      </w:r>
    </w:p>
    <w:p>
      <w:r>
        <w:rPr>
          <w:b/>
        </w:rPr>
        <w:t xml:space="preserve">Ergebnis: </w:t>
      </w:r>
      <w:r>
        <w:t>Wahrgenommene Gesundheit, Einsamkeit und demografische Faktoren korreliert signifikant. Health Literacy war assoziiert mit Alter, Bildung, wahrgenommener Gesundheit und Einsamkeit. Teilnehmer forderten multidisziplinäre Dienste und wünschten sich Beteiligung von Kommunalpolitikern. Der mehrstufige Prozess mit Bewohnern, vulnerable Gruppen und Gesundheitsfachpersonen führte zu maßgeschneiderten Erkenntnissen für lokal verankerte, zukunftsfähige Versorgungsinitiativen.</w:t>
      </w:r>
    </w:p>
    <w:p>
      <w:r>
        <w:rPr>
          <w:b/>
          <w:sz w:val="19"/>
        </w:rPr>
        <w:t xml:space="preserve">Übertragbarkeit: </w:t>
      </w:r>
      <w:r>
        <w:rPr>
          <w:sz w:val="19"/>
        </w:rPr>
        <w:t>Belgien, vergleichbares europäisches Versicherungssystem, ähnliche Governance-Strukturen</w:t>
      </w:r>
    </w:p>
    <w:p>
      <w:r>
        <w:rPr>
          <w:color w:val="5A7D3A"/>
          <w:sz w:val="18"/>
        </w:rPr>
        <w:t>https://pubmed.ncbi.nlm.nih.gov/42420849/</w:t>
      </w:r>
    </w:p>
    <w:p>
      <w:pPr>
        <w:pStyle w:val="Heading1"/>
      </w:pPr>
      <w:r>
        <w:t>Aufgenommen am 06.10.2026</w:t>
      </w:r>
    </w:p>
    <w:p>
      <w:pPr>
        <w:pStyle w:val="Heading2"/>
      </w:pPr>
      <w:r>
        <w:t>Angst vor Unterzuckerung bei Typ-2-Diabetes: Wirkung von Schulung und Verhaltensmaßnahmen</w:t>
      </w:r>
    </w:p>
    <w:p>
      <w:r>
        <w:rPr>
          <w:i/>
          <w:color w:val="666666"/>
          <w:sz w:val="18"/>
        </w:rPr>
        <w:t>Tang Y et al.  ·  PLoS One  ·  05.10.2026  ·  PMID 42832512</w:t>
      </w:r>
    </w:p>
    <w:p>
      <w:r>
        <w:t>Systematisches Review und Metaanalyse von 11 randomisierten kontrollierten Studien (1.096 Teilnehmer) zu strukturierten Schulungs- und Verhaltensmaßnahmen gegen Hypoglykämiefurcht bei Erwachsenen mit Typ-2-Diabetes.</w:t>
      </w:r>
    </w:p>
    <w:p>
      <w:r>
        <w:rPr>
          <w:b/>
        </w:rPr>
        <w:t xml:space="preserve">Ergebnis: </w:t>
      </w:r>
      <w:r>
        <w:t>Gepoolte explorative Effektgröße für Reduktion von Hypoglykämiefurcht: SMD = −1,89 (95%-KI −2,54 bis −1,25; p &lt; 0,00001). Heterogenität substanziell (Tau² = 1,10; I² = 95 %); 95%-Vorhersageintervall kreuzte Nulllinie (−4,34 bis 0,56), deutet auf unterschiedliche Effekte in künftigen Studien. Kleiner-Studie-Effekte möglich. Evidenzsicherheit sehr niedrig wegen Bias, Heterogenität, Indirektheit. Strukturierte Maßnahmen können Hypoglykämiefurcht senken, Ausmaß und Generalisierbarkeit bleiben unsicher.</w:t>
      </w:r>
    </w:p>
    <w:p>
      <w:r>
        <w:rPr>
          <w:b/>
          <w:sz w:val="19"/>
        </w:rPr>
        <w:t xml:space="preserve">Übertragbarkeit: </w:t>
      </w:r>
      <w:r>
        <w:rPr>
          <w:sz w:val="19"/>
        </w:rPr>
        <w:t>Internationale Evidenz, klinisch relevant; sehr niedrige Evidenzsicherheit begrenzt Handlungsanleitung</w:t>
      </w:r>
    </w:p>
    <w:p>
      <w:r>
        <w:rPr>
          <w:color w:val="5A7D3A"/>
          <w:sz w:val="18"/>
        </w:rPr>
        <w:t>https://pubmed.ncbi.nlm.nih.gov/42832512/</w:t>
      </w:r>
    </w:p>
    <w:p>
      <w:pPr>
        <w:pStyle w:val="Heading2"/>
      </w:pPr>
      <w:r>
        <w:t>Patientengerechte Entscheidungshilfen für Brustkrebs: Was Patienten und Ärzte wirklich brauchen</w:t>
      </w:r>
    </w:p>
    <w:p>
      <w:r>
        <w:rPr>
          <w:i/>
          <w:color w:val="666666"/>
          <w:sz w:val="18"/>
        </w:rPr>
        <w:t>Sdinami S et al.  ·  Psychooncology  ·  Okt. 2026  ·  PMID 42831611</w:t>
      </w:r>
    </w:p>
    <w:p>
      <w:r>
        <w:t>Qualitative Studie mit 52 halbstrukturierten Interviews (20 Patienten, 32 Gesundheitsfachkräfte) zur Identifikation von Anforderungen für eine Entscheidungshilfe (Patient Decision Aid) bei frühem Brustkrebs, geleitet vom Patientenerleben und der klinischen Realität.</w:t>
      </w:r>
    </w:p>
    <w:p>
      <w:r>
        <w:rPr>
          <w:b/>
        </w:rPr>
        <w:t xml:space="preserve">Ergebnis: </w:t>
      </w:r>
      <w:r>
        <w:t>Ärzte berichteten: Heterogene Informationsbedürfnisse, Fehlvorstellungen zu Chemotherapie und Radiotherapie, multifaktorische Entscheidungen. Patienten betonten: Vertrauen zu Ärzten, praktische Infos zu Nebenwirkungen und Bewältigung, Peer-Support (oft über soziale Medien). Kernforderungen für eine PDA: Adaptive Informationstife und -timing, verständliche Antworten zu häufigen Fehlvorstellungen, strukturierte Werteklärung, praktische Vorbereitung auf Nebenwirkungen, Signposting zu geprüften psychosozialen Ressourcen. Kommunikationslücken und ungedeckte psychosoziale Bedarfe in Standardkonsultationen dokumentiert.</w:t>
      </w:r>
    </w:p>
    <w:p>
      <w:r>
        <w:rPr>
          <w:b/>
          <w:sz w:val="19"/>
        </w:rPr>
        <w:t xml:space="preserve">Übertragbarkeit: </w:t>
      </w:r>
      <w:r>
        <w:rPr>
          <w:sz w:val="19"/>
        </w:rPr>
        <w:t>Italien (Mailand), europäisches Gesundheitssystem, klinisch sehr relevant für Design von Entscheidungshilfen</w:t>
      </w:r>
    </w:p>
    <w:p>
      <w:r>
        <w:rPr>
          <w:color w:val="5A7D3A"/>
          <w:sz w:val="18"/>
        </w:rPr>
        <w:t>https://pubmed.ncbi.nlm.nih.gov/42831611/</w:t>
      </w:r>
    </w:p>
    <w:p>
      <w:pPr>
        <w:pStyle w:val="Heading2"/>
      </w:pPr>
      <w:r>
        <w:t>Verständlichkeit und Sicherheit von Leitlinien-basierten LLM-Chatbots zur Patientenbildung in der Rheumatologie</w:t>
      </w:r>
    </w:p>
    <w:p>
      <w:r>
        <w:rPr>
          <w:i/>
          <w:color w:val="666666"/>
          <w:sz w:val="18"/>
        </w:rPr>
        <w:t>Wilhelmi T et al.  ·  J Med Syst  ·  05.10.2026  ·  PMID 42830368</w:t>
      </w:r>
    </w:p>
    <w:p>
      <w:r>
        <w:t>Deutschlandweite multizentrische Evaluation von zehn krankheitsspezifischen Chatbots basierend auf deutschen Rheuma-Leitlinien; 6.291 Patientenfragen wurden erfasst und bewertet, 2.671 Antworten von Nutzern beurteilt, 602 Fragebogen erhoben.</w:t>
      </w:r>
    </w:p>
    <w:p>
      <w:r>
        <w:rPr>
          <w:b/>
        </w:rPr>
        <w:t xml:space="preserve">Ergebnis: </w:t>
      </w:r>
      <w:r>
        <w:t>92,9 % der von Nutzern bewerteten Antworten (2.481 von 2.671) erhielten positive Bewertung. 84,6 % berichteten, der Chatbot sei leicht zu bedienen, 84,1 % fanden Antworten verständlich, 80,2 % hielten ihn nützlich für Patientenbildung. 4,2 % der Interaktionen (263) konnten nicht beantwortet werden. LLM-Bewertung: 95,3 % der Antworten vollständig sicher, 79,1 % vollständig korrekt, aber nur 45,0 % vollständig leitlinienkonform. Schwache Übereinstimmung mit Arztbeurteilung. Anwender bewerteten Chatbots überwiegend positiv; unabhängige Validierung der Qualität bleibt notwendig.</w:t>
      </w:r>
    </w:p>
    <w:p>
      <w:r>
        <w:rPr>
          <w:b/>
          <w:sz w:val="19"/>
        </w:rPr>
        <w:t xml:space="preserve">Übertragbarkeit: </w:t>
      </w:r>
      <w:r>
        <w:rPr>
          <w:sz w:val="19"/>
        </w:rPr>
        <w:t>Deutschland, deutsche Leitlinien und Kliniken, direkt anwendbar</w:t>
      </w:r>
    </w:p>
    <w:p>
      <w:r>
        <w:rPr>
          <w:color w:val="5A7D3A"/>
          <w:sz w:val="18"/>
        </w:rPr>
        <w:t>https://pubmed.ncbi.nlm.nih.gov/42830368/</w:t>
      </w:r>
    </w:p>
    <w:p>
      <w:pPr>
        <w:pStyle w:val="Heading2"/>
      </w:pPr>
      <w:r>
        <w:t>Patientenbeteiligung für Spanischsprachige messbar machen: Validierung eines Instruments</w:t>
      </w:r>
    </w:p>
    <w:p>
      <w:r>
        <w:rPr>
          <w:i/>
          <w:color w:val="666666"/>
          <w:sz w:val="18"/>
        </w:rPr>
        <w:t>Romero CL et al.  ·  Patient Educ Couns  ·  19.09.2026  ·  PMID 42785114</w:t>
      </w:r>
    </w:p>
    <w:p>
      <w:r>
        <w:t>Sprachvalidierungsstudie: Spanische Übersetzung des Patient Engagement Capacity Survey (PECS) mit 18 Items (Subskalen Engagement-Verhalten und Engagement-Kapazität); 253 spanischsprachige und 1.172 englischsprachige Respondenten; Überprüfung metrischer und skalarer Invarianz über Sprachen.</w:t>
      </w:r>
    </w:p>
    <w:p>
      <w:r>
        <w:rPr>
          <w:b/>
        </w:rPr>
        <w:t xml:space="preserve">Ergebnis: </w:t>
      </w:r>
      <w:r>
        <w:t>Konfirmatorische Faktorenanalyse stützte hypothetisierte Struktur in beiden Sprachen. Engagement-Kapazität in Spanisch: RMSEA = 0,103 (überschreitet Benchmark), CFI = 0,989, TLI = 0,984; Engagement-Verhalten in Spanisch: CFI = 0,992, TLI = 0,987, RMSEA = 0,055, SRMR = 0,062. Konfigurale, metrische und skalare Invarianz für beide Subskalen gestützt (90%-RMSEA-KI überlappend, CFI-Abnahmen ≤ 0,01). Spanische Version zeigt Messequivalenz zur englischen Fassung, erleichtert Erfassung von Beteiligungsbarrieredbedarfen bei spanischsprachigen Patienten.</w:t>
      </w:r>
    </w:p>
    <w:p>
      <w:r>
        <w:rPr>
          <w:b/>
          <w:sz w:val="19"/>
        </w:rPr>
        <w:t xml:space="preserve">Übertragbarkeit: </w:t>
      </w:r>
      <w:r>
        <w:rPr>
          <w:sz w:val="19"/>
        </w:rPr>
        <w:t>USA-basiert, aber Sprachvalidierung direkt auf deutschsprachige Kontexte übertragbar für ähnliche Migranten-Instrumente</w:t>
      </w:r>
    </w:p>
    <w:p>
      <w:r>
        <w:rPr>
          <w:color w:val="5A7D3A"/>
          <w:sz w:val="18"/>
        </w:rPr>
        <w:t>https://pubmed.ncbi.nlm.nih.gov/42785114/</w:t>
      </w:r>
    </w:p>
    <w:p>
      <w:pPr>
        <w:pStyle w:val="Heading2"/>
      </w:pPr>
      <w:r>
        <w:t>Unterschiedliche Verständigungen von Patientenbeteiligung in der Krebsversorgung</w:t>
      </w:r>
    </w:p>
    <w:p>
      <w:r>
        <w:rPr>
          <w:i/>
          <w:color w:val="666666"/>
          <w:sz w:val="18"/>
        </w:rPr>
        <w:t>Hult A et al.  ·  Patient Educ Couns  ·  09.09.2026  ·  PMID 42731199</w:t>
      </w:r>
    </w:p>
    <w:p>
      <w:r>
        <w:t>Qualitative Phänomenografiestudie mit 16 Ärzten und Pflegekräften aus schwedischen Kliniken, die deren Verständnis von Patientenbeteiligung bei Krebsbehandlung untersucht.</w:t>
      </w:r>
    </w:p>
    <w:p>
      <w:r>
        <w:rPr>
          <w:b/>
        </w:rPr>
        <w:t xml:space="preserve">Ergebnis: </w:t>
      </w:r>
      <w:r>
        <w:t>Fünf kategorial unterschiedliche Verständigungen identifiziert: von bedingter Beteiligung (unter Vorbehalt ärztlicher Genehmigung) bis zu ganzheitlicher Sicht des Patienten mit Selbstverantwortung. Die Spanne zeigt, dass Patientenbeteiligung in der Praxis stark vom Verständnis der Fachpersonen abhängt und Organisationen gezielt arbeiten müssen, um eine Kultur der echten Beteiligung zu etablieren.</w:t>
      </w:r>
    </w:p>
    <w:p>
      <w:r>
        <w:rPr>
          <w:b/>
          <w:sz w:val="19"/>
        </w:rPr>
        <w:t xml:space="preserve">Übertragbarkeit: </w:t>
      </w:r>
      <w:r>
        <w:rPr>
          <w:sz w:val="19"/>
        </w:rPr>
        <w:t>Schweden, vergleichbares Universitätsklinikumsystem wie DACH</w:t>
      </w:r>
    </w:p>
    <w:p>
      <w:r>
        <w:rPr>
          <w:color w:val="5A7D3A"/>
          <w:sz w:val="18"/>
        </w:rPr>
        <w:t>https://pubmed.ncbi.nlm.nih.gov/42731199/</w:t>
      </w:r>
    </w:p>
    <w:p>
      <w:pPr>
        <w:pStyle w:val="Heading2"/>
      </w:pPr>
      <w:r>
        <w:t>Qualität französischsprachiger Internetinformationen zu Rückenschmerz und Lumbalgie</w:t>
      </w:r>
    </w:p>
    <w:p>
      <w:r>
        <w:rPr>
          <w:i/>
          <w:color w:val="666666"/>
          <w:sz w:val="18"/>
        </w:rPr>
        <w:t>Homs AF et al.  ·  Patient Educ Couns  ·  04.09.2026  ·  PMID 42710331</w:t>
      </w:r>
    </w:p>
    <w:p>
      <w:r>
        <w:t>Systematische Bewertung von 88 französischsprachigen nichtkommerziellen Webseiten zu Diagnose und Behandlung von Rückenschmerz und radikulären Schmerzen nach Glaubwürdigkeit, Lesbarkeit und Genauigkeit gegen klinische Leitlinien.</w:t>
      </w:r>
    </w:p>
    <w:p>
      <w:r>
        <w:rPr>
          <w:b/>
        </w:rPr>
        <w:t xml:space="preserve">Ergebnis: </w:t>
      </w:r>
      <w:r>
        <w:t>Nur 22 % der Webseitenempfehlungen waren vollständig genau (institutionelle Seiten 28 %, andere 15 %, p &lt; 0,001). Lediglich 41 % der Lumbalgieempfehlungen und 26 % der radikulären Schmerzempfehlungen waren umfassend. Nur 19 % offenbarten Interessenskonflikte, 60 % zitierten Quellen. Pharmacologische Therapien wurden oft unangemessen beworben. Patienten finden überwiegend unvollständige und häufig fehlerhafte Online-Information.</w:t>
      </w:r>
    </w:p>
    <w:p>
      <w:r>
        <w:rPr>
          <w:b/>
          <w:sz w:val="19"/>
        </w:rPr>
        <w:t xml:space="preserve">Übertragbarkeit: </w:t>
      </w:r>
      <w:r>
        <w:rPr>
          <w:sz w:val="19"/>
        </w:rPr>
        <w:t>Frankreich/Belgien/Schweiz, französischsprachig; Qualitätsprobleme dürften deutschsprachigen Raum ähneln</w:t>
      </w:r>
    </w:p>
    <w:p>
      <w:r>
        <w:rPr>
          <w:color w:val="5A7D3A"/>
          <w:sz w:val="18"/>
        </w:rPr>
        <w:t>https://pubmed.ncbi.nlm.nih.gov/42710331/</w:t>
      </w:r>
    </w:p>
    <w:p>
      <w:pPr>
        <w:pStyle w:val="Heading1"/>
      </w:pPr>
      <w:r>
        <w:t>Aufgenommen am 05.10.2026</w:t>
      </w:r>
    </w:p>
    <w:p>
      <w:pPr>
        <w:pStyle w:val="Heading2"/>
      </w:pPr>
      <w:r>
        <w:t>GPT-4 liefert bessere Krebsinformationen als Google</w:t>
      </w:r>
    </w:p>
    <w:p>
      <w:r>
        <w:rPr>
          <w:i/>
          <w:color w:val="666666"/>
          <w:sz w:val="18"/>
        </w:rPr>
        <w:t>Smick AH et al.  ·  JMIR Cancer  ·  29.09.2026  ·  PMID 42809848</w:t>
      </w:r>
    </w:p>
    <w:p>
      <w:r>
        <w:t>Vergleichende Studie, die GPT-4 und Google bei der Beantwortung von 21 standardisierten Patientenfragen zu Endometrial-, Ovarial- und Zervixkarzinom evaluierte, bewertet von 4 blinden Gynäkologen.</w:t>
      </w:r>
    </w:p>
    <w:p>
      <w:r>
        <w:rPr>
          <w:b/>
        </w:rPr>
        <w:t xml:space="preserve">Ergebnis: </w:t>
      </w:r>
      <w:r>
        <w:t>GPT-4 erreichte Median-Genauigkeit 6,0/6 vs. Google 5,0/6 (p=0,04), Vollständigkeit 3,0/3 vs. 2,0/3 (p=0,009) und Referenzqualität 3,0/3 vs. 2,0/3 (p=0,009). GPT-4 überbot alle menschlichen Vergleichsgruppen in Genauigkeit und Vollständigkeit deutlich.</w:t>
      </w:r>
    </w:p>
    <w:p>
      <w:r>
        <w:rPr>
          <w:b/>
          <w:sz w:val="19"/>
        </w:rPr>
        <w:t xml:space="preserve">Übertragbarkeit: </w:t>
      </w:r>
      <w:r>
        <w:rPr>
          <w:sz w:val="19"/>
        </w:rPr>
        <w:t>USA, aber Fragestellung zu Informationsqualität sprach- und systemunabhängig</w:t>
      </w:r>
    </w:p>
    <w:p>
      <w:r>
        <w:rPr>
          <w:color w:val="5A7D3A"/>
          <w:sz w:val="18"/>
        </w:rPr>
        <w:t>https://pubmed.ncbi.nlm.nih.gov/42809848/</w:t>
      </w:r>
    </w:p>
    <w:p>
      <w:pPr>
        <w:pStyle w:val="Heading2"/>
      </w:pPr>
      <w:r>
        <w:t>Große Sprachmodelle antworten in Englisch und Chinesisch gleich genau</w:t>
      </w:r>
    </w:p>
    <w:p>
      <w:r>
        <w:rPr>
          <w:i/>
          <w:color w:val="666666"/>
          <w:sz w:val="18"/>
        </w:rPr>
        <w:t>Wu Z et al.  ·  J Med Internet Res  ·  29.09.2026  ·  PMID 42809827</w:t>
      </w:r>
    </w:p>
    <w:p>
      <w:r>
        <w:t>Kontrollierte Evaluation von 11 Large Language Models bei 150 binären Verbraucherfragen zu Gesundheit in Englisch und Chinesisch, unter verschiedenen Prompt-Bedingungen und Fehlerkorrekturstrategien.</w:t>
      </w:r>
    </w:p>
    <w:p>
      <w:r>
        <w:rPr>
          <w:b/>
        </w:rPr>
        <w:t xml:space="preserve">Ergebnis: </w:t>
      </w:r>
      <w:r>
        <w:t>Englisch und Chinesisch zeigten vergleichbare Gesamtgenauigkeit (95,27% vs. 93,82%, p=0,99), kein signifikanter Sprachhaupt-Effekt. DeepSeek zeigte signifikantes Englisch-Verständlichkeitsdefizit (β=-0,73, p=0,016); Fehlerattribution erreichte höchste Korrekturrate (55,56%). Keine universellen sprachgebundenen Qualitätsprobleme, aber modellspezifische Interaktionen.</w:t>
      </w:r>
    </w:p>
    <w:p>
      <w:r>
        <w:rPr>
          <w:b/>
          <w:sz w:val="19"/>
        </w:rPr>
        <w:t xml:space="preserve">Übertragbarkeit: </w:t>
      </w:r>
      <w:r>
        <w:rPr>
          <w:sz w:val="19"/>
        </w:rPr>
        <w:t>China/Mehrsprachigkeit, aber Befund zur sprachlichen Gleichheit modellübergreifend relevant</w:t>
      </w:r>
    </w:p>
    <w:p>
      <w:r>
        <w:rPr>
          <w:color w:val="5A7D3A"/>
          <w:sz w:val="18"/>
        </w:rPr>
        <w:t>https://pubmed.ncbi.nlm.nih.gov/42809827/</w:t>
      </w:r>
    </w:p>
    <w:p>
      <w:pPr>
        <w:pStyle w:val="Heading2"/>
      </w:pPr>
      <w:r>
        <w:t>Digitale Gesundheitskompetenz-Schulung für ältere Erwachsene verbessert Informationsverhalten</w:t>
      </w:r>
    </w:p>
    <w:p>
      <w:r>
        <w:rPr>
          <w:i/>
          <w:color w:val="666666"/>
          <w:sz w:val="18"/>
        </w:rPr>
        <w:t>Rosle NH et al.  ·  PLoS One  ·  28.09.2026  ·  PMID 42804489</w:t>
      </w:r>
    </w:p>
    <w:p>
      <w:r>
        <w:t>Studienprotokoll einer randomisierten Cluster-kontrollierten Studie zur Evaluierung des ODDHeaL-Moduls für digitale Gesundheitskompetenz bei über 55-Jährigen in Malaysia mit Messungen zu Selbstwirksamkeit und Informationssuche.</w:t>
      </w:r>
    </w:p>
    <w:p>
      <w:r>
        <w:rPr>
          <w:b/>
        </w:rPr>
        <w:t xml:space="preserve">Ergebnis: </w:t>
      </w:r>
      <w:r>
        <w:t>Studienprotokoll beschreibt geplante Messungen an Baseline und nach 2 Monaten. Erwartet werden Verbesserungen in digitaler Gesundheitskompetenz, Wahrnehmung von Online-Gesundheitsinformationen, Selbstwirksamkeit und Informationssuchverhalten durch das systematisch entwickelte Modul basierend auf ADDIE-Modell.</w:t>
      </w:r>
    </w:p>
    <w:p>
      <w:r>
        <w:rPr>
          <w:b/>
          <w:sz w:val="19"/>
        </w:rPr>
        <w:t xml:space="preserve">Übertragbarkeit: </w:t>
      </w:r>
      <w:r>
        <w:rPr>
          <w:sz w:val="19"/>
        </w:rPr>
        <w:t>Malaysia, aber Designprinzipien für ältere Zielgruppen länderübergreifend adaptierbar</w:t>
      </w:r>
    </w:p>
    <w:p>
      <w:r>
        <w:rPr>
          <w:color w:val="5A7D3A"/>
          <w:sz w:val="18"/>
        </w:rPr>
        <w:t>https://pubmed.ncbi.nlm.nih.gov/42804489/</w:t>
      </w:r>
    </w:p>
    <w:p>
      <w:pPr>
        <w:pStyle w:val="Heading2"/>
      </w:pPr>
      <w:r>
        <w:t>Vertrauensvolle Arzt-Patient-Beziehung fördert Beteiligung an Entscheidungen</w:t>
      </w:r>
    </w:p>
    <w:p>
      <w:r>
        <w:rPr>
          <w:i/>
          <w:color w:val="666666"/>
          <w:sz w:val="18"/>
        </w:rPr>
        <w:t>Toyoshima H et al.  ·  BMC Res Notes  ·  21.09.2026  ·  PMID 42768368</w:t>
      </w:r>
    </w:p>
    <w:p>
      <w:r>
        <w:t>Querschnittsstudie mit Patienten mit chronisch-entzündlichen Darmerkrankungen, die Faktoren der Patientenbeteiligung an Behandlungsentscheidungen mittels vereinfachter PTES-Skala untersucht.</w:t>
      </w:r>
    </w:p>
    <w:p>
      <w:r>
        <w:rPr>
          <w:b/>
        </w:rPr>
        <w:t xml:space="preserve">Ergebnis: </w:t>
      </w:r>
      <w:r>
        <w:t>Behandlungsoptionen (β = 0,191), Vertrauen zum behandelnden Arzt (β = 0,119), Komplikationen (β = 0,128) und Anzahl vertrauter Fachpersonen (β = 0,099) waren die stärksten Einflussfaktoren. Multiple Optionen und Vertrauensaufbau erklärten die höchste Varianz in der Patientenbeteiligung.</w:t>
      </w:r>
    </w:p>
    <w:p>
      <w:r>
        <w:rPr>
          <w:b/>
          <w:sz w:val="19"/>
        </w:rPr>
        <w:t xml:space="preserve">Übertragbarkeit: </w:t>
      </w:r>
      <w:r>
        <w:rPr>
          <w:sz w:val="19"/>
        </w:rPr>
        <w:t>Japan, aber Mechanismus der Vertrauenswirkung kulturübergreifend relevant</w:t>
      </w:r>
    </w:p>
    <w:p>
      <w:r>
        <w:rPr>
          <w:color w:val="5A7D3A"/>
          <w:sz w:val="18"/>
        </w:rPr>
        <w:t>https://pubmed.ncbi.nlm.nih.gov/42768368/</w:t>
      </w:r>
    </w:p>
    <w:p>
      <w:pPr>
        <w:pStyle w:val="Heading2"/>
      </w:pPr>
      <w:r>
        <w:t>Digitale Schulung und Bewegungstherapie verbessern Lebensqualität bei Knie- und Hüftarthrose</w:t>
      </w:r>
    </w:p>
    <w:p>
      <w:r>
        <w:rPr>
          <w:i/>
          <w:color w:val="666666"/>
          <w:sz w:val="18"/>
        </w:rPr>
        <w:t>Kiadaliri A et al.  ·  Health Qual Life Outcomes  ·  19.09.2026  ·  PMID 42764365</w:t>
      </w:r>
    </w:p>
    <w:p>
      <w:r>
        <w:t>Longitudinale Registerstudie mit über 15.000 Teilnehmern eines digitalen Bildungs- und Bewegungsprogramms für Knie- und Hüftarthrose, gemessen mit EQ-5D-5L nach 3 und 12 Monaten.</w:t>
      </w:r>
    </w:p>
    <w:p>
      <w:r>
        <w:rPr>
          <w:b/>
        </w:rPr>
        <w:t xml:space="preserve">Ergebnis: </w:t>
      </w:r>
      <w:r>
        <w:t>46,9% der Teilnehmer zeigten nach 3 Monaten, 50,4% nach 12 Monaten verbesserte Lebensqualitätsprofile; 19,5% bzw. 20,1% verschlechterten sich; 19,7% bzw. 18,7% zeigten gemischte Veränderungen. Das Programm zeigte heterogene Verläufe mit erheblicher Wirkung bei etwa der Hälfte der Teilnehmer.</w:t>
      </w:r>
    </w:p>
    <w:p>
      <w:r>
        <w:rPr>
          <w:b/>
          <w:sz w:val="19"/>
        </w:rPr>
        <w:t xml:space="preserve">Übertragbarkeit: </w:t>
      </w:r>
      <w:r>
        <w:rPr>
          <w:sz w:val="19"/>
        </w:rPr>
        <w:t>Schweden, vergleichbares Versicherungssystem und Digitalisierungsgrad</w:t>
      </w:r>
    </w:p>
    <w:p>
      <w:r>
        <w:rPr>
          <w:color w:val="5A7D3A"/>
          <w:sz w:val="18"/>
        </w:rPr>
        <w:t>https://pubmed.ncbi.nlm.nih.gov/42764365/</w:t>
      </w:r>
    </w:p>
    <w:p>
      <w:pPr>
        <w:pStyle w:val="Heading1"/>
      </w:pPr>
      <w:r>
        <w:t>Aufgenommen am 04.10.2026</w:t>
      </w:r>
    </w:p>
    <w:p>
      <w:pPr>
        <w:pStyle w:val="Heading2"/>
      </w:pPr>
      <w:r>
        <w:t>Psychoedukation für Jugendliche mit Psychose-Risiko: Verbesserung von Symptomen und Adhärenz</w:t>
      </w:r>
    </w:p>
    <w:p>
      <w:r>
        <w:rPr>
          <w:i/>
          <w:color w:val="666666"/>
          <w:sz w:val="18"/>
        </w:rPr>
        <w:t>Addington J et al.  ·  Early Interv Psychiatry  ·  Okt. 2026  ·  PMID 42827309</w:t>
      </w:r>
    </w:p>
    <w:p>
      <w:r>
        <w:t>Studie untersuchte, ob acht Sitzungen Psychoedukation für 54 Jugendliche mit erhöhtem klinischen Psychoserisiko zu klinischen Verbesserungen und zur Einhaltung der Behandlung führen.</w:t>
      </w:r>
    </w:p>
    <w:p>
      <w:r>
        <w:rPr>
          <w:b/>
        </w:rPr>
        <w:t xml:space="preserve">Ergebnis: </w:t>
      </w:r>
      <w:r>
        <w:t>Nach 2–6 Monaten zeigten sich signifikante Verbesserungen: abgeschwächte psychotische Symptome (p &lt; 0,0001, Effektgröße 0,36), Depression und Angst (p &lt; 0,001, ES 0,51), Distress (p &lt; 0,01, ES 0,36) und defaitistische Überzeugungen (p &lt; 0,01, ES 0,34). 59 % absolvierten alle Sitzungen, nur 7,4 % brachen ab. Klinisch wertvolle und leicht umsetzbare Intervention mit limitierter Dropout-Rate.</w:t>
      </w:r>
    </w:p>
    <w:p>
      <w:r>
        <w:rPr>
          <w:b/>
          <w:sz w:val="19"/>
        </w:rPr>
        <w:t xml:space="preserve">Übertragbarkeit: </w:t>
      </w:r>
      <w:r>
        <w:rPr>
          <w:sz w:val="19"/>
        </w:rPr>
        <w:t>Kanada, Psychiatrieeinrichtungen in westlichen Systemen vergleichbar</w:t>
      </w:r>
    </w:p>
    <w:p>
      <w:r>
        <w:rPr>
          <w:color w:val="5A7D3A"/>
          <w:sz w:val="18"/>
        </w:rPr>
        <w:t>https://pubmed.ncbi.nlm.nih.gov/42827309/</w:t>
      </w:r>
    </w:p>
    <w:p>
      <w:pPr>
        <w:pStyle w:val="Heading2"/>
      </w:pPr>
      <w:r>
        <w:t>Barrieren für Herzrehabilitation: Strukturelle, individuelle und Systemfaktoren</w:t>
      </w:r>
    </w:p>
    <w:p>
      <w:r>
        <w:rPr>
          <w:i/>
          <w:color w:val="666666"/>
          <w:sz w:val="18"/>
        </w:rPr>
        <w:t>Chin DC et al.  ·  Med J Malaysia  ·  Sept. 2026  ·  PMID 42813492</w:t>
      </w:r>
    </w:p>
    <w:p>
      <w:r>
        <w:t>Scoping Review identifizierte Determinanten der Teilnahme an Phase-II-Herzrehabilitationsprogrammen durch systematische Analyse von zehn Studien aus diversen Ländern.</w:t>
      </w:r>
    </w:p>
    <w:p>
      <w:r>
        <w:rPr>
          <w:b/>
        </w:rPr>
        <w:t xml:space="preserve">Ergebnis: </w:t>
      </w:r>
      <w:r>
        <w:t>Strukturelle und logistische Barrieren waren dominant: Transport, Entfernung, Zeit, Kosten. Soziodemografische Faktoren (höheres Alter, niedrigere Bildung, niedrigeres Einkommen, Migrationshintergrund) waren mit niedriger Teilnahme assoziiert. Mangelnde Aufklärung, schwache Ärztliche Empfehlungen und psychosoziale Barrieren (Angst, begrenzte soziale Unterstützung) behinderten Teilnahme. Komplex wechselwirkende Faktoren erfordern Home-Based- und Hybrid-Modelle.</w:t>
      </w:r>
    </w:p>
    <w:p>
      <w:r>
        <w:rPr>
          <w:b/>
          <w:sz w:val="19"/>
        </w:rPr>
        <w:t xml:space="preserve">Übertragbarkeit: </w:t>
      </w:r>
      <w:r>
        <w:rPr>
          <w:sz w:val="19"/>
        </w:rPr>
        <w:t>Multinationale Evidenz, vergleichbare Versorgungsstrukturen in Deutschland</w:t>
      </w:r>
    </w:p>
    <w:p>
      <w:r>
        <w:rPr>
          <w:color w:val="5A7D3A"/>
          <w:sz w:val="18"/>
        </w:rPr>
        <w:t>https://pubmed.ncbi.nlm.nih.gov/42813492/</w:t>
      </w:r>
    </w:p>
    <w:p>
      <w:pPr>
        <w:pStyle w:val="Heading2"/>
      </w:pPr>
      <w:r>
        <w:t>Textnachrichten und Ressourcenanbindung verstärken Leseförderung bei Latino-Familien</w:t>
      </w:r>
    </w:p>
    <w:p>
      <w:r>
        <w:rPr>
          <w:i/>
          <w:color w:val="666666"/>
          <w:sz w:val="18"/>
        </w:rPr>
        <w:t>Jimenez ME et al.  ·  Pediatrics  ·  01.10.2026  ·  PMID 42778186</w:t>
      </w:r>
    </w:p>
    <w:p>
      <w:r>
        <w:t>Randomisierte Studie prüfte, ob Text-Erinnerungen und Vermittlung zu Gemeindeangeboten die Effekte von Leseförderung in der Primärversorgung (Reach Out and Read) bei 630 Latino-Familien mit Kleinkindern verstärken.</w:t>
      </w:r>
    </w:p>
    <w:p>
      <w:r>
        <w:rPr>
          <w:b/>
        </w:rPr>
        <w:t xml:space="preserve">Ergebnis: </w:t>
      </w:r>
      <w:r>
        <w:t>Nach 18 Monaten: LP+Text-Gruppe zeigte höhere Sprachentwicklung (Effektgröße 0,391; p = 0,001). LP+Text+Ressourcen-Gruppe erzielte höhere sozial-emotionale Entwicklung (ES 0,300; p = 0,03) und bei 9 Monaten bessere verbale Responsivität (ES 0,400; p &lt; 0,001). Beide Strategien mit hohem Skalierungspotenzial verbesserten Effekte deutlich.</w:t>
      </w:r>
    </w:p>
    <w:p>
      <w:r>
        <w:rPr>
          <w:b/>
          <w:sz w:val="19"/>
        </w:rPr>
        <w:t xml:space="preserve">Übertragbarkeit: </w:t>
      </w:r>
      <w:r>
        <w:rPr>
          <w:sz w:val="19"/>
        </w:rPr>
        <w:t>USA-Studie, Strukturen aber auch in Deutschland umsetzbar, Sprachbarriereabbau ist zentral</w:t>
      </w:r>
    </w:p>
    <w:p>
      <w:r>
        <w:rPr>
          <w:color w:val="5A7D3A"/>
          <w:sz w:val="18"/>
        </w:rPr>
        <w:t>https://pubmed.ncbi.nlm.nih.gov/42778186/</w:t>
      </w:r>
    </w:p>
    <w:p>
      <w:pPr>
        <w:pStyle w:val="Heading2"/>
      </w:pPr>
      <w:r>
        <w:t>Digitale Gesundheitskompetenz fördert Gesundheitsinformationen-Annahme bei Studierenden</w:t>
      </w:r>
    </w:p>
    <w:p>
      <w:r>
        <w:rPr>
          <w:i/>
          <w:color w:val="666666"/>
          <w:sz w:val="18"/>
        </w:rPr>
        <w:t>Sun Y et al.  ·  Front Public Health  ·  08.09.2026  ·  PMID 42774164</w:t>
      </w:r>
    </w:p>
    <w:p>
      <w:r>
        <w:t>Querschnittstudie mit 3148 Studierenden prüfte, wie kritische und interaktive Digital-Health-Literacy mit Annahme von Gesundheitsinformationen assoziiert ist und welche Pfade (Risikoperzepton, Selbstwirksamkeit) vermittelnd wirken.</w:t>
      </w:r>
    </w:p>
    <w:p>
      <w:r>
        <w:rPr>
          <w:b/>
        </w:rPr>
        <w:t xml:space="preserve">Ergebnis: </w:t>
      </w:r>
      <w:r>
        <w:t>Digitale Health Literacy war positiv mit Informationsannahme korreliert (r = 0,416; p &lt; 0,001). Totale Assoziation: B = 0,534. Direkter Effekt 64,3 %, indirekt über Risikoperzepton 16,9 %, über Trainings-Selbstwirksamkeit 14,9 %, über serielle Pfade 3,8 %. Direkte Assoziation dominiert, serielle Route gering. Cross-sektional, daher statistische Dekomposition statt Kausalität.</w:t>
      </w:r>
    </w:p>
    <w:p>
      <w:r>
        <w:rPr>
          <w:b/>
          <w:sz w:val="19"/>
        </w:rPr>
        <w:t xml:space="preserve">Übertragbarkeit: </w:t>
      </w:r>
      <w:r>
        <w:rPr>
          <w:sz w:val="19"/>
        </w:rPr>
        <w:t>China, Hochschul- und Digitalisierungskontext ähnlich international, Befunde zu Mediationspfaden generalisierbar</w:t>
      </w:r>
    </w:p>
    <w:p>
      <w:r>
        <w:rPr>
          <w:color w:val="5A7D3A"/>
          <w:sz w:val="18"/>
        </w:rPr>
        <w:t>https://pubmed.ncbi.nlm.nih.gov/42774164/</w:t>
      </w:r>
    </w:p>
    <w:p>
      <w:pPr>
        <w:pStyle w:val="Heading2"/>
      </w:pPr>
      <w:r>
        <w:t>Lupusnephritis-Videos auf TikTok und Bilibili: Qualität, Zuverlässigkeit und Engagement</w:t>
      </w:r>
    </w:p>
    <w:p>
      <w:r>
        <w:rPr>
          <w:i/>
          <w:color w:val="666666"/>
          <w:sz w:val="18"/>
        </w:rPr>
        <w:t>Chen J et al.  ·  Lupus Sci Med  ·  22.09.2026  ·  PMID 42772804</w:t>
      </w:r>
    </w:p>
    <w:p>
      <w:r>
        <w:t>Querschnittanalyse von 250 Lupusnephritis-Videos (TikTok n=143, Bilibili n=107) beurteilte Inhaltsqualität, Zuverlässigkeit und Zusammenhang zwischen Nutzerengagement und wissenschaftlicher Qualität.</w:t>
      </w:r>
    </w:p>
    <w:p>
      <w:r>
        <w:rPr>
          <w:b/>
        </w:rPr>
        <w:t xml:space="preserve">Ergebnis: </w:t>
      </w:r>
      <w:r>
        <w:t>Nutzerengagement (Likes, Kommentare, Anteile) war auf TikTok signifikant höher (p &lt; 0,05); Anteil professioneller Uploader ebenfalls höher. TikTok hatte leicht höhere DISCERN-Scores (p &lt; 0,05). Professionelle Institutionen übertrafen nicht-professionelle Uploader in allen Qualitätsindikatoren (p &lt; 0,05). Hohe Engagement-Korrelationen untereinander, aber schwache Korrelationen mit Qualitätsscores. Popularität widerspiegelt wissenschaftliche Qualität schlecht.</w:t>
      </w:r>
    </w:p>
    <w:p>
      <w:r>
        <w:rPr>
          <w:b/>
          <w:sz w:val="19"/>
        </w:rPr>
        <w:t xml:space="preserve">Übertragbarkeit: </w:t>
      </w:r>
      <w:r>
        <w:rPr>
          <w:sz w:val="19"/>
        </w:rPr>
        <w:t>China, beide Plattformen international genutzt, Befund zu Qualitäts-Engagement-Lücke übertragbar</w:t>
      </w:r>
    </w:p>
    <w:p>
      <w:r>
        <w:rPr>
          <w:color w:val="5A7D3A"/>
          <w:sz w:val="18"/>
        </w:rPr>
        <w:t>https://pubmed.ncbi.nlm.nih.gov/42772804/</w:t>
      </w:r>
    </w:p>
    <w:p>
      <w:pPr>
        <w:pStyle w:val="Heading2"/>
      </w:pPr>
      <w:r>
        <w:t>Mundgesundheitskompetenz älterer Erwachsener: Pfade zu Wissen und Bewusstsein</w:t>
      </w:r>
    </w:p>
    <w:p>
      <w:r>
        <w:rPr>
          <w:i/>
          <w:color w:val="666666"/>
          <w:sz w:val="18"/>
        </w:rPr>
        <w:t>Jiang L et al.  ·  Clin Interv Aging  ·  31.07.2026  ·  PMID 42553712</w:t>
      </w:r>
    </w:p>
    <w:p>
      <w:r>
        <w:t>Pfadanalyse mit 423 älteren Chinesen (65–74 Jahre) untersuchte, welche Faktoren direkt und indirekt mit Mundgesundheits-Literacy verbunden sind—Bildung, Zahnbehandlung, Zahnstatus.</w:t>
      </w:r>
    </w:p>
    <w:p>
      <w:r>
        <w:rPr>
          <w:b/>
        </w:rPr>
        <w:t xml:space="preserve">Ergebnis: </w:t>
      </w:r>
      <w:r>
        <w:t>Geschlecht und Bildung beeinflussten Mundgesundheits-Literacy indirekt über Mediatorvariablen. Zahnbehandlung war direkt mit höherem Krankheitsbewusstsein assoziiert; Zahnersatznutzung mit besseren Gesundheitsüberzeugungen. Pfadanalyse identifizierte drei signifikante indirekte Effekte. Zahnkontakte bieten Chancen für Gesundheitsaufklärung.</w:t>
      </w:r>
    </w:p>
    <w:p>
      <w:r>
        <w:rPr>
          <w:b/>
          <w:sz w:val="19"/>
        </w:rPr>
        <w:t xml:space="preserve">Übertragbarkeit: </w:t>
      </w:r>
      <w:r>
        <w:rPr>
          <w:sz w:val="19"/>
        </w:rPr>
        <w:t>China, Ähnlichkeiten in Altersdemografie und Prävention, Befunde zu Behandlungskontakten übertragbar</w:t>
      </w:r>
    </w:p>
    <w:p>
      <w:r>
        <w:rPr>
          <w:color w:val="5A7D3A"/>
          <w:sz w:val="18"/>
        </w:rPr>
        <w:t>https://pubmed.ncbi.nlm.nih.gov/42553712/</w:t>
      </w:r>
    </w:p>
    <w:p>
      <w:pPr>
        <w:pStyle w:val="Heading1"/>
      </w:pPr>
      <w:r>
        <w:t>Aufgenommen am 03.10.2026</w:t>
      </w:r>
    </w:p>
    <w:p>
      <w:pPr>
        <w:pStyle w:val="Heading2"/>
      </w:pPr>
      <w:r>
        <w:t>Patienteninformation zu Hochtechtechnologien in der Krebsbehandlung: Herausforderungen und Lösungen</w:t>
      </w:r>
    </w:p>
    <w:p>
      <w:r>
        <w:rPr>
          <w:i/>
          <w:color w:val="666666"/>
          <w:sz w:val="18"/>
        </w:rPr>
        <w:t>Gehl J et al.  ·  Acta Oncol  ·  02.10.2026  ·  PMID 42825514</w:t>
      </w:r>
    </w:p>
    <w:p>
      <w:r>
        <w:t>Europäisches Expertenpanel mit Patientenbeteiligung identifizierte Barrieren bei der Vermittlung komplexer Krebstechnologien (Nuklearmedizin, Radiotherapie, Zelltherapien) und entwickelte Informationsmaterialien für Patienten.</w:t>
      </w:r>
    </w:p>
    <w:p>
      <w:r>
        <w:rPr>
          <w:b/>
        </w:rPr>
        <w:t xml:space="preserve">Ergebnis: </w:t>
      </w:r>
      <w:r>
        <w:t>Sieben Technologiedomänen wurden analysiert; Hauptproblem war Mangel an klaren Informationspfaden und zuverlässigen Informationsquellen. Daraus resultierten konkrete Patienteninformationswerkzeuge als Supplementmaterial. Komplexität und fehlende Standardisierung erschweren Zugang zu verlässlicher Information erheblich.</w:t>
      </w:r>
    </w:p>
    <w:p>
      <w:r>
        <w:rPr>
          <w:b/>
          <w:sz w:val="19"/>
        </w:rPr>
        <w:t xml:space="preserve">Übertragbarkeit: </w:t>
      </w:r>
      <w:r>
        <w:rPr>
          <w:sz w:val="19"/>
        </w:rPr>
        <w:t>Europa, multizentrisch, Beteiligung von Patientenvertretern; Materialien müssen auf nationale Systeme adaptiert werden.</w:t>
      </w:r>
    </w:p>
    <w:p>
      <w:r>
        <w:rPr>
          <w:color w:val="5A7D3A"/>
          <w:sz w:val="18"/>
        </w:rPr>
        <w:t>https://pubmed.ncbi.nlm.nih.gov/42825514/</w:t>
      </w:r>
    </w:p>
    <w:p>
      <w:pPr>
        <w:pStyle w:val="Heading2"/>
      </w:pPr>
      <w:r>
        <w:t>Nachbarschaftsbasierte Gehirngesundheitskompetenz: Mehrsprachiges Outreach-Modell für unterversorgte Gemeinden</w:t>
      </w:r>
    </w:p>
    <w:p>
      <w:r>
        <w:rPr>
          <w:i/>
          <w:color w:val="666666"/>
          <w:sz w:val="18"/>
        </w:rPr>
        <w:t>Lanata S et al.  ·  Front Public Health  ·  17.09.2026  ·  PMID 42823958</w:t>
      </w:r>
    </w:p>
    <w:p>
      <w:r>
        <w:t>Beschreibung eines fünfjährigen Community-Outreach-Programms der UCSF mit Fokus auf Gehirngesundheit, kognitives Screening und Demenzforschung in unterversorgten San-Francisco-Vierteln, durchgeführt in fünf Sprachen.</w:t>
      </w:r>
    </w:p>
    <w:p>
      <w:r>
        <w:rPr>
          <w:b/>
        </w:rPr>
        <w:t xml:space="preserve">Ergebnis: </w:t>
      </w:r>
      <w:r>
        <w:t>2019–2025: Repräsentation von Personen aus vulnerablen Vierteln in Forschung deutlich angestiegen (konkrete Steigerung gegenüber Vorjahren angegeben). Viersäulenmodell (Gehirngesundheitserziehung, Kunst-/Bewegungsprogramme, gemeindebasierte kognitive Kliniken, mehrsprachige Medien) baute haltbare Partnerschaften auf und verbesserte Zugang zu kulturell responsiver Versorgung.</w:t>
      </w:r>
    </w:p>
    <w:p>
      <w:r>
        <w:rPr>
          <w:b/>
          <w:sz w:val="19"/>
        </w:rPr>
        <w:t xml:space="preserve">Übertragbarkeit: </w:t>
      </w:r>
      <w:r>
        <w:rPr>
          <w:sz w:val="19"/>
        </w:rPr>
        <w:t>USA, aber Prinzip der mehrsprachigen, nachbarschaftsorientierten Engagement-Strategien für alle Länder mit Migranten- und Minderheitenpopulationen relevant.</w:t>
      </w:r>
    </w:p>
    <w:p>
      <w:r>
        <w:rPr>
          <w:color w:val="5A7D3A"/>
          <w:sz w:val="18"/>
        </w:rPr>
        <w:t>https://pubmed.ncbi.nlm.nih.gov/42823958/</w:t>
      </w:r>
    </w:p>
    <w:p>
      <w:pPr>
        <w:pStyle w:val="Heading2"/>
      </w:pPr>
      <w:r>
        <w:t>Patientenerfahrungen mit digitaler Physiotherapie nach Geburt: Was Frauen akzeptieren</w:t>
      </w:r>
    </w:p>
    <w:p>
      <w:r>
        <w:rPr>
          <w:i/>
          <w:color w:val="666666"/>
          <w:sz w:val="18"/>
        </w:rPr>
        <w:t>Jönsson H et al.  ·  BMC Musculoskelet Disord  ·  11.09.2026  ·  PMID 42823687</w:t>
      </w:r>
    </w:p>
    <w:p>
      <w:r>
        <w:t>Qualitative Studie mit 14 Frauen in Schweden zu ihrer Erfahrung mit Telerehabilitation bei postpartaler Beckenbodendysfunktion.</w:t>
      </w:r>
    </w:p>
    <w:p>
      <w:r>
        <w:rPr>
          <w:b/>
        </w:rPr>
        <w:t xml:space="preserve">Ergebnis: </w:t>
      </w:r>
      <w:r>
        <w:t>Telerehabilitation wurde als sinnvolle Ergänzung wahrgenommen (Kernaussage: "Telerehabilitation – ein ergänzendes Puzzleteil"). Verbesserte Zugänglichkeit und Flexibilität ermöglichten aktive Teilhabe; jedoch erforderte digitales Format fortgeschrittene Kommunikationsfähigkeiten und zuverlässige Technik. Frauen vermissten physische Untersuchung und Hands-on-Anleitung.</w:t>
      </w:r>
    </w:p>
    <w:p>
      <w:r>
        <w:rPr>
          <w:b/>
          <w:sz w:val="19"/>
        </w:rPr>
        <w:t xml:space="preserve">Übertragbarkeit: </w:t>
      </w:r>
      <w:r>
        <w:rPr>
          <w:sz w:val="19"/>
        </w:rPr>
        <w:t>Skandinavien, primärmedizinisches Versorgungssystem; Hybrid-Modelle könnten personenzentrierte Rehabilitation stärken.</w:t>
      </w:r>
    </w:p>
    <w:p>
      <w:r>
        <w:rPr>
          <w:color w:val="5A7D3A"/>
          <w:sz w:val="18"/>
        </w:rPr>
        <w:t>https://pubmed.ncbi.nlm.nih.gov/42823687/</w:t>
      </w:r>
    </w:p>
    <w:p>
      <w:pPr>
        <w:pStyle w:val="Heading2"/>
      </w:pPr>
      <w:r>
        <w:t>Traditionelle Chinesische Medizin Gesundheitskompetenz senkt postpartale Depression: Mediationsmechanismen</w:t>
      </w:r>
    </w:p>
    <w:p>
      <w:r>
        <w:rPr>
          <w:i/>
          <w:color w:val="666666"/>
          <w:sz w:val="18"/>
        </w:rPr>
        <w:t>Liu D et al.  ·  Front Public Health  ·  16.09.2026  ·  PMID 42819904</w:t>
      </w:r>
    </w:p>
    <w:p>
      <w:r>
        <w:t>Querschnittsstudie mit 501 Frauen in China zur Beziehung zwischen Gesundheitskompetenz zu TCM und postpartalen depressiven Symptomen; Analyse der vermittelten Effekte durch soziale Unterstützung und Selbstwirksamkeit.</w:t>
      </w:r>
    </w:p>
    <w:p>
      <w:r>
        <w:rPr>
          <w:b/>
        </w:rPr>
        <w:t xml:space="preserve">Ergebnis: </w:t>
      </w:r>
      <w:r>
        <w:t>TCM-Gesundheitskompetenz hatte direkten negativen Effekt auf depressive Symptome (β=-0,206, 95%-KI: -0,299 bis -0,112). Drei signifikante indirekte Pfade: soziale Unterstützung (β=-0,102), Selbstwirksamkeit (β=-0,102) und sequenzieller Effekt über beide (β=-0,033). Indirekte Effekte machten 53,6 % des Gesamteffekts aus.</w:t>
      </w:r>
    </w:p>
    <w:p>
      <w:r>
        <w:rPr>
          <w:b/>
          <w:sz w:val="19"/>
        </w:rPr>
        <w:t xml:space="preserve">Übertragbarkeit: </w:t>
      </w:r>
      <w:r>
        <w:rPr>
          <w:sz w:val="19"/>
        </w:rPr>
        <w:t>China; Konzept der TCM-Kompetenz kulturspezifisch; Mechanismus (soziale Unterstützung + Selbstwirksamkeit) aber international anwendbar.</w:t>
      </w:r>
    </w:p>
    <w:p>
      <w:r>
        <w:rPr>
          <w:color w:val="5A7D3A"/>
          <w:sz w:val="18"/>
        </w:rPr>
        <w:t>https://pubmed.ncbi.nlm.nih.gov/42819904/</w:t>
      </w:r>
    </w:p>
    <w:p>
      <w:pPr>
        <w:pStyle w:val="Heading2"/>
      </w:pPr>
      <w:r>
        <w:t>Verständliche Patienteninformation zu Regelschmerzen: Spanische Broschüre validiert</w:t>
      </w:r>
    </w:p>
    <w:p>
      <w:r>
        <w:rPr>
          <w:i/>
          <w:color w:val="666666"/>
          <w:sz w:val="18"/>
        </w:rPr>
        <w:t>Cruz-Lara F et al.  ·  Womens Health (Lond)  ·  28.09.2026  ·  PMID 42803363</w:t>
      </w:r>
    </w:p>
    <w:p>
      <w:r>
        <w:t>Übersetzung und kulturelle Adaptation einer brasilianischen Patientenbroschüre zu Dysmenorrhoe für spanische Frauen mit Validierung durch Physiotherapeuten und Patientinnen.</w:t>
      </w:r>
    </w:p>
    <w:p>
      <w:r>
        <w:rPr>
          <w:b/>
        </w:rPr>
        <w:t xml:space="preserve">Ergebnis: </w:t>
      </w:r>
      <w:r>
        <w:t>Inhaltsvalidität (CVI ≥0,90 bei allen Bereichen); Patientinnen erreichten 100 % Zustimmung zur Sprachklarheit (PAA=100%) und 92,3 % zur Präsentation (PAA=92,3%). Material wurde als klar, nützlich und visuell gut organisiert bewertet.</w:t>
      </w:r>
    </w:p>
    <w:p>
      <w:r>
        <w:rPr>
          <w:b/>
          <w:sz w:val="19"/>
        </w:rPr>
        <w:t xml:space="preserve">Übertragbarkeit: </w:t>
      </w:r>
      <w:r>
        <w:rPr>
          <w:sz w:val="19"/>
        </w:rPr>
        <w:t>Spanien, Spanisch-Sprachraum; Sprach- und Kulturanpassung essentiell für Verständlichkeit.</w:t>
      </w:r>
    </w:p>
    <w:p>
      <w:r>
        <w:rPr>
          <w:color w:val="5A7D3A"/>
          <w:sz w:val="18"/>
        </w:rPr>
        <w:t>https://pubmed.ncbi.nlm.nih.gov/42803363/</w:t>
      </w:r>
    </w:p>
    <w:p>
      <w:pPr>
        <w:pStyle w:val="Heading2"/>
      </w:pPr>
      <w:r>
        <w:t>Patientensteuerung in der GKV: Systemdesign statt moralischer Appell</w:t>
      </w:r>
    </w:p>
    <w:p>
      <w:r>
        <w:rPr>
          <w:i/>
          <w:color w:val="666666"/>
          <w:sz w:val="18"/>
        </w:rPr>
        <w:t>Beivers A et al.  ·  Bundesgesundheitsblatt Gesundheitsforschung Gesundheitsschutz  ·  08.09.2026  ·  PMID 42709071</w:t>
      </w:r>
    </w:p>
    <w:p>
      <w:r>
        <w:t>Deutsches Diskussionspapier zur Frage, wie ein Primärarztsystem durch Patientenmanagement und redefinierte Eigenverantwortung die GKV-Effizienz stärken könnte.</w:t>
      </w:r>
    </w:p>
    <w:p>
      <w:r>
        <w:rPr>
          <w:b/>
        </w:rPr>
        <w:t xml:space="preserve">Ergebnis: </w:t>
      </w:r>
      <w:r>
        <w:t>Empfehlung: Bonusprogramme nach Loyalitätsmuster können Patientensteuerung wirksam, akzeptiert und sozial ausgewogen gestalten. Kernaussage: Patientensteuerung ist Systemdesign, nicht Disziplin – moderne Eigenverantwortung stärkt Wirtschaftlichkeit und Solidarität gleichermaßen.</w:t>
      </w:r>
    </w:p>
    <w:p>
      <w:r>
        <w:rPr>
          <w:b/>
          <w:sz w:val="19"/>
        </w:rPr>
        <w:t xml:space="preserve">Übertragbarkeit: </w:t>
      </w:r>
      <w:r>
        <w:rPr>
          <w:sz w:val="19"/>
        </w:rPr>
        <w:t>Deutschland, GKV-System; direkt auf deutsche Krankenversicherungsreform übertragbar.</w:t>
      </w:r>
    </w:p>
    <w:p>
      <w:r>
        <w:rPr>
          <w:color w:val="5A7D3A"/>
          <w:sz w:val="18"/>
        </w:rPr>
        <w:t>https://pubmed.ncbi.nlm.nih.gov/42709071/</w:t>
      </w:r>
    </w:p>
    <w:p>
      <w:pPr>
        <w:pStyle w:val="Heading1"/>
      </w:pPr>
      <w:r>
        <w:t>Aufgenommen am 02.10.2026</w:t>
      </w:r>
    </w:p>
    <w:p>
      <w:pPr>
        <w:pStyle w:val="Heading2"/>
      </w:pPr>
      <w:r>
        <w:t>Gesundheitskompetenz fördert aktives Altern bei älteren Erwachsenen</w:t>
      </w:r>
    </w:p>
    <w:p>
      <w:r>
        <w:rPr>
          <w:i/>
          <w:color w:val="666666"/>
          <w:sz w:val="18"/>
        </w:rPr>
        <w:t>Akdeniz Ş et al.  ·  BMC Geriatr  ·  29.09.2026  ·  PMID 42816844</w:t>
      </w:r>
    </w:p>
    <w:p>
      <w:r>
        <w:t>Querschnittstudie an 306 älteren Erwachsenen (≥65 Jahre), die die Beziehung zwischen Health Literacy, aktivem Altern und erfolgreichem Altern untersuchte.</w:t>
      </w:r>
    </w:p>
    <w:p>
      <w:r>
        <w:rPr>
          <w:b/>
        </w:rPr>
        <w:t xml:space="preserve">Ergebnis: </w:t>
      </w:r>
      <w:r>
        <w:t>Health Literacy erklärte 56,4 % der Varianz aktiven Alterns (R² = 0,564, p &lt; 0,05). Signifikante positive Korrelationen zwischen Health Literacy und beiden Aging-Dimensionen (p &lt; 0,01). Prädiktoren: Alter, mentale Aktivität und Gesundheitskompetenz (p &lt; 0,05).</w:t>
      </w:r>
    </w:p>
    <w:p>
      <w:r>
        <w:rPr>
          <w:b/>
          <w:sz w:val="19"/>
        </w:rPr>
        <w:t xml:space="preserve">Übertragbarkeit: </w:t>
      </w:r>
      <w:r>
        <w:rPr>
          <w:sz w:val="19"/>
        </w:rPr>
        <w:t>Türkei, aber Messmodell übertragbar auf deutsches Gesundheitswesen</w:t>
      </w:r>
    </w:p>
    <w:p>
      <w:r>
        <w:rPr>
          <w:color w:val="5A7D3A"/>
          <w:sz w:val="18"/>
        </w:rPr>
        <w:t>https://pubmed.ncbi.nlm.nih.gov/42816844/</w:t>
      </w:r>
    </w:p>
    <w:p>
      <w:pPr>
        <w:pStyle w:val="Heading2"/>
      </w:pPr>
      <w:r>
        <w:t>Ernährungskompetenz bei Grundschülern niedrig: Handlungsbedarf in der Schulgesundheit</w:t>
      </w:r>
    </w:p>
    <w:p>
      <w:r>
        <w:rPr>
          <w:i/>
          <w:color w:val="666666"/>
          <w:sz w:val="18"/>
        </w:rPr>
        <w:t>Lan Y et al.  ·  Front Public Health  ·  15.09.2026  ·  PMID 42812397</w:t>
      </w:r>
    </w:p>
    <w:p>
      <w:r>
        <w:t>Querschnittstudie an 1.420 Viertklässlern und Fünftklässlern in Chongqing zu Ernährungskompetenz (Nutrition Literacy) und assoziierten Faktoren.</w:t>
      </w:r>
    </w:p>
    <w:p>
      <w:r>
        <w:rPr>
          <w:b/>
        </w:rPr>
        <w:t xml:space="preserve">Ergebnis: </w:t>
      </w:r>
      <w:r>
        <w:t>Durchschnittliche Ernährungskompetenz-Score: 65,47 ± 9,79 (insgesamt niedrig). Signifikant höhere Scores bei: höherem Alter, weiblichem Geschlecht, städtischem Wohnort, höherer Bildung der Bezugsperson (alle p &lt; 0,05). Mahlzeitendokumentation (+4,18 Punkte; 95%-KI: 2,84–5,51) und Essenzubereitung (+2,07 Punkte) positiv assoziiert.</w:t>
      </w:r>
    </w:p>
    <w:p>
      <w:r>
        <w:rPr>
          <w:b/>
          <w:sz w:val="19"/>
        </w:rPr>
        <w:t xml:space="preserve">Übertragbarkeit: </w:t>
      </w:r>
      <w:r>
        <w:rPr>
          <w:sz w:val="19"/>
        </w:rPr>
        <w:t>China, aber Befund zu sozioökonomischen Unterschieden in Gesundheitskompetenz übertragbar</w:t>
      </w:r>
    </w:p>
    <w:p>
      <w:r>
        <w:rPr>
          <w:color w:val="5A7D3A"/>
          <w:sz w:val="18"/>
        </w:rPr>
        <w:t>https://pubmed.ncbi.nlm.nih.gov/42812397/</w:t>
      </w:r>
    </w:p>
    <w:p>
      <w:pPr>
        <w:pStyle w:val="Heading2"/>
      </w:pPr>
      <w:r>
        <w:t>Polnische Validierung eines mehrdimensionalen Health-Literacy-Fragebogens</w:t>
      </w:r>
    </w:p>
    <w:p>
      <w:r>
        <w:rPr>
          <w:i/>
          <w:color w:val="666666"/>
          <w:sz w:val="18"/>
        </w:rPr>
        <w:t>Lipiak A et al.  ·  Medicina (Kaunas)  ·  18.09.2026  ·  PMID 42796406</w:t>
      </w:r>
    </w:p>
    <w:p>
      <w:r>
        <w:t>Psychometrische Validierung der neun-faktoriellen Health Literacy Questionnaire (HLQ) an 918 Gesundheitsfachstudierenden in Polen mit konfirmatorischer Faktorenanalyse.</w:t>
      </w:r>
    </w:p>
    <w:p>
      <w:r>
        <w:rPr>
          <w:b/>
        </w:rPr>
        <w:t xml:space="preserve">Ergebnis: </w:t>
      </w:r>
      <w:r>
        <w:t>Neun-Faktor-Modell zeigte gute Anpassungsgüte (CFI = 0,973; TLI = 0,970; RMSEA = 0,035). Interne Konsistenz: 8 von 9 Skalen gut bis akzeptabel (Cronbach's α ≥ 0,70); eine Skala unter Schwelle (Cronbach's α = 0,69).</w:t>
      </w:r>
    </w:p>
    <w:p>
      <w:r>
        <w:rPr>
          <w:b/>
          <w:sz w:val="19"/>
        </w:rPr>
        <w:t xml:space="preserve">Übertragbarkeit: </w:t>
      </w:r>
      <w:r>
        <w:rPr>
          <w:sz w:val="19"/>
        </w:rPr>
        <w:t>Polen/Osteuropa, HLQ wird mehrsprachig validiert, Instrument selbst systemunabhängig</w:t>
      </w:r>
    </w:p>
    <w:p>
      <w:r>
        <w:rPr>
          <w:color w:val="5A7D3A"/>
          <w:sz w:val="18"/>
        </w:rPr>
        <w:t>https://pubmed.ncbi.nlm.nih.gov/42796406/</w:t>
      </w:r>
    </w:p>
    <w:p>
      <w:pPr>
        <w:pStyle w:val="Heading2"/>
      </w:pPr>
      <w:r>
        <w:t>Ernährungskompetenz in der Onkologie bessert Verhalten und Lebensqualität</w:t>
      </w:r>
    </w:p>
    <w:p>
      <w:r>
        <w:rPr>
          <w:i/>
          <w:color w:val="666666"/>
          <w:sz w:val="18"/>
        </w:rPr>
        <w:t>Monaci M et al.  ·  Nutr Cancer  ·  24.09.2026  ·  PMID 42784715</w:t>
      </w:r>
    </w:p>
    <w:p>
      <w:r>
        <w:t>Systematischer Review: 19 Studien (2013–2025) zu Ernährungs- und Lebensmittelkompetenz bei krebskranken Erwachsenen und Assoziation mit klinischen und Verhaltensergebnissen.</w:t>
      </w:r>
    </w:p>
    <w:p>
      <w:r>
        <w:rPr>
          <w:b/>
        </w:rPr>
        <w:t xml:space="preserve">Ergebnis: </w:t>
      </w:r>
      <w:r>
        <w:t>Höhere Ernährungskompetenz konsistent assoziiert mit: besseren Ernährungsverhalten, verbesserter Diätqualität, besserer Ernährungsstatus und höherer Lebensqualität sowie gestärktem Selbstmanagement. Interventionsstudien: Alphabetisierungs-fokussierte Ernährungsedukation reduzierte therapiebezogene Symptome und psychosoziale Belastung; begrenzte Evidenz für reduzierte Inanspruchnahme.</w:t>
      </w:r>
    </w:p>
    <w:p>
      <w:r>
        <w:rPr>
          <w:b/>
          <w:sz w:val="19"/>
        </w:rPr>
        <w:t xml:space="preserve">Übertragbarkeit: </w:t>
      </w:r>
      <w:r>
        <w:rPr>
          <w:sz w:val="19"/>
        </w:rPr>
        <w:t>Mehrheitlich europäische und nordamerikanische Studien, Konzept direkt auf deutsche Krebszentren übertragbar</w:t>
      </w:r>
    </w:p>
    <w:p>
      <w:r>
        <w:rPr>
          <w:color w:val="5A7D3A"/>
          <w:sz w:val="18"/>
        </w:rPr>
        <w:t>https://pubmed.ncbi.nlm.nih.gov/42784715/</w:t>
      </w:r>
    </w:p>
    <w:p>
      <w:pPr>
        <w:pStyle w:val="Heading2"/>
      </w:pPr>
      <w:r>
        <w:t>Patienten als Forschungspartner: Kokreation in der Entzündungsmyopathie-Forschung</w:t>
      </w:r>
    </w:p>
    <w:p>
      <w:r>
        <w:rPr>
          <w:i/>
          <w:color w:val="666666"/>
          <w:sz w:val="18"/>
        </w:rPr>
        <w:t>Cheng K et al.  ·  Curr Opin Rheumatol  ·  01.11.2026  ·  PMID 42682164</w:t>
      </w:r>
    </w:p>
    <w:p>
      <w:r>
        <w:t>Narrative Review zum Stand der Patient Research Partner (PRP) Integration in Myositis-Forschung und kritische Analyse bestehender Beteiligungsmodelle.</w:t>
      </w:r>
    </w:p>
    <w:p>
      <w:r>
        <w:rPr>
          <w:b/>
        </w:rPr>
        <w:t xml:space="preserve">Ergebnis: </w:t>
      </w:r>
      <w:r>
        <w:t>Kernbefund: Frühe Integration von Patienten als Co-Leader verbessert Relevanz, Machbarkeit und Impact von Forschung; aktuelle Integration bleibt weltweit inkonsistent. Bestehende Ressourcen vorhanden, aber wirkliche PRP-Integration erfordert kulturellen Wandel und dedizierte Ressourcen.</w:t>
      </w:r>
    </w:p>
    <w:p>
      <w:r>
        <w:rPr>
          <w:b/>
          <w:sz w:val="19"/>
        </w:rPr>
        <w:t xml:space="preserve">Übertragbarkeit: </w:t>
      </w:r>
      <w:r>
        <w:rPr>
          <w:sz w:val="19"/>
        </w:rPr>
        <w:t>Europäische Patient-Advocacy-Strukturen, EULAR-Rahmen direkt anwendbar</w:t>
      </w:r>
    </w:p>
    <w:p>
      <w:r>
        <w:rPr>
          <w:color w:val="5A7D3A"/>
          <w:sz w:val="18"/>
        </w:rPr>
        <w:t>https://pubmed.ncbi.nlm.nih.gov/42682164/</w:t>
      </w:r>
    </w:p>
    <w:p>
      <w:pPr>
        <w:pStyle w:val="Heading2"/>
      </w:pPr>
      <w:r>
        <w:t>eHealth-Kompetenz in Amharisch validiert: Erster Test in subsaharischem Afrika</w:t>
      </w:r>
    </w:p>
    <w:p>
      <w:r>
        <w:rPr>
          <w:i/>
          <w:color w:val="666666"/>
          <w:sz w:val="18"/>
        </w:rPr>
        <w:t>Meng G et al.  ·  J Med Internet Res  ·  16.07.2026  ·  PMID 42462181</w:t>
      </w:r>
    </w:p>
    <w:p>
      <w:r>
        <w:t>Psychometrische Validierung der sieben-faktoriellen eHealth Literacy Questionnaire (eHLQ) ins Amharische an 300 Patienten in Äthiopien mit Internetmobilität.</w:t>
      </w:r>
    </w:p>
    <w:p>
      <w:r>
        <w:rPr>
          <w:b/>
        </w:rPr>
        <w:t xml:space="preserve">Ergebnis: </w:t>
      </w:r>
      <w:r>
        <w:t>Akzeptable bis gute interne Konsistenz (Cronbach's α = 0,72–0,91, außer Skala 4: α = 0,62). Sieben-Faktor-Modell gutes Fit (CFI = 0,97; TLI = 0,97; SRMR = 0,07). Konvergente Validität: starke Korrelationen Skalen 1–3 mit eHEALS (r = 0,69–0,74).</w:t>
      </w:r>
    </w:p>
    <w:p>
      <w:r>
        <w:rPr>
          <w:b/>
          <w:sz w:val="19"/>
        </w:rPr>
        <w:t xml:space="preserve">Übertragbarkeit: </w:t>
      </w:r>
      <w:r>
        <w:rPr>
          <w:sz w:val="19"/>
        </w:rPr>
        <w:t>Äthiopien, Low-Income-Setting, eHLQ-Instrument kulturübergreifend, aber Internetprävalenz-Voraussetzung relevant</w:t>
      </w:r>
    </w:p>
    <w:p>
      <w:r>
        <w:rPr>
          <w:color w:val="5A7D3A"/>
          <w:sz w:val="18"/>
        </w:rPr>
        <w:t>https://pubmed.ncbi.nlm.nih.gov/42462181/</w:t>
      </w:r>
    </w:p>
    <w:p>
      <w:pPr>
        <w:pStyle w:val="Heading1"/>
      </w:pPr>
      <w:r>
        <w:t>Aufgenommen am 01.10.2026</w:t>
      </w:r>
    </w:p>
    <w:p>
      <w:pPr>
        <w:pStyle w:val="Heading2"/>
      </w:pPr>
      <w:r>
        <w:t>Digitale Glukose-Überwachung: Höheres Engagement senkt HbA1c stärker ab</w:t>
      </w:r>
    </w:p>
    <w:p>
      <w:r>
        <w:rPr>
          <w:i/>
          <w:color w:val="666666"/>
          <w:sz w:val="18"/>
        </w:rPr>
        <w:t>Huang Y et al.  ·  JMIR Form Res  ·  30.09.2026  ·  PMID 42814765</w:t>
      </w:r>
    </w:p>
    <w:p>
      <w:r>
        <w:t>Retrospektive Kohortenstudie mit 1.436 Patienten mit Typ-2-Diabetes in einem integrierten Telemedizin-Programm zur Dosis-Wirkungs-Beziehung zwischen Monitoring-Häufigkeit und Blutzuckerkontrolle.</w:t>
      </w:r>
    </w:p>
    <w:p>
      <w:r>
        <w:rPr>
          <w:b/>
        </w:rPr>
        <w:t xml:space="preserve">Ergebnis: </w:t>
      </w:r>
      <w:r>
        <w:t>Dosisabhängiger Effekt: Für jede zusätzliche wöchentliche Messung sank HbA1c um 0,05 Prozentpunkte (95% KI 0,03–0,07, p&lt;0,001). Bei hohem Engagement (12,59 Messungen/Woche) reduzierte sich HbA1c um 1,01 Punkte vs. 0,38 bei niedrigem Engagement (2,55 Messungen/Woche).</w:t>
      </w:r>
    </w:p>
    <w:p>
      <w:r>
        <w:rPr>
          <w:b/>
          <w:sz w:val="19"/>
        </w:rPr>
        <w:t xml:space="preserve">Übertragbarkeit: </w:t>
      </w:r>
      <w:r>
        <w:rPr>
          <w:sz w:val="19"/>
        </w:rPr>
        <w:t>USA-Studie, Engagement-Effekt unabhängig von Gesundheitssystem übertragbar</w:t>
      </w:r>
    </w:p>
    <w:p>
      <w:r>
        <w:rPr>
          <w:color w:val="5A7D3A"/>
          <w:sz w:val="18"/>
        </w:rPr>
        <w:t>https://pubmed.ncbi.nlm.nih.gov/42814765/</w:t>
      </w:r>
    </w:p>
    <w:p>
      <w:pPr>
        <w:pStyle w:val="Heading2"/>
      </w:pPr>
      <w:r>
        <w:t>Strukturierte Fragen erhöhen Patientenerinnerung im Operationsgespräch deutlich</w:t>
      </w:r>
    </w:p>
    <w:p>
      <w:r>
        <w:rPr>
          <w:i/>
          <w:color w:val="666666"/>
          <w:sz w:val="18"/>
        </w:rPr>
        <w:t>Herath M et al.  ·  BJS Open  ·  04.09.2026  ·  PMID 42814592</w:t>
      </w:r>
    </w:p>
    <w:p>
      <w:r>
        <w:t>Randomisierte kontrollierte Studie mit 143 Patienten zur Wirkung eines Arbeitsblatts mit vorbereiteten Fragen auf das Verständnis und die Erinnerung an Informationen in der chirurgischen Sprechstunde.</w:t>
      </w:r>
    </w:p>
    <w:p>
      <w:r>
        <w:rPr>
          <w:b/>
        </w:rPr>
        <w:t xml:space="preserve">Ergebnis: </w:t>
      </w:r>
      <w:r>
        <w:t>Patienten mit POWER-Formular erreichten 88% Erinnerungsquote (95% KI 83–92) vs. 31% (26–35) in der Kontrolle (p&lt;0,001). Diese einfache Maßnahme zur strukturierten Patientenbeteiligung verdreifachte nachweislich die Informationsverarbeitung.</w:t>
      </w:r>
    </w:p>
    <w:p>
      <w:r>
        <w:rPr>
          <w:b/>
          <w:sz w:val="19"/>
        </w:rPr>
        <w:t xml:space="preserve">Übertragbarkeit: </w:t>
      </w:r>
      <w:r>
        <w:rPr>
          <w:sz w:val="19"/>
        </w:rPr>
        <w:t>Australien, übertragbar auf deutsches Krankenhaus- und Praxissystem ohne Sprachbarrieren</w:t>
      </w:r>
    </w:p>
    <w:p>
      <w:r>
        <w:rPr>
          <w:color w:val="5A7D3A"/>
          <w:sz w:val="18"/>
        </w:rPr>
        <w:t>https://pubmed.ncbi.nlm.nih.gov/42814592/</w:t>
      </w:r>
    </w:p>
    <w:p>
      <w:pPr>
        <w:pStyle w:val="Heading2"/>
      </w:pPr>
      <w:r>
        <w:t>Fast die Hälfte der Krebspfleger haben zu niedrige Gesundheitskompetenz</w:t>
      </w:r>
    </w:p>
    <w:p>
      <w:r>
        <w:rPr>
          <w:i/>
          <w:color w:val="666666"/>
          <w:sz w:val="18"/>
        </w:rPr>
        <w:t>Meng F et al.  ·  Front Public Health  ·  15.09.2026  ·  PMID 42812369</w:t>
      </w:r>
    </w:p>
    <w:p>
      <w:r>
        <w:t>Querschnittstudie mit 287 Angehörigen von Krebspatienten zur Gesundheitskompetenz von Familien-Pflegepersonen und ihren Einflussfaktoren mittels latenter Profilanalyse.</w:t>
      </w:r>
    </w:p>
    <w:p>
      <w:r>
        <w:rPr>
          <w:b/>
        </w:rPr>
        <w:t xml:space="preserve">Ergebnis: </w:t>
      </w:r>
      <w:r>
        <w:t>49,8% der Pfleger zeigten niedrige, 25,4% mittlere und 24,7% hohe Gesundheitskompetenz. Schwächste Dimension: "Verarbeitung von Gesundheitsinformation" (Median 12 von max. Punktzahl). Prädiktoren: höheres Alter (OR 9,4), höhere Bildung (OR 0,50) und Berufstätigkeit (OR 0,12) waren signifikant assoziiert.</w:t>
      </w:r>
    </w:p>
    <w:p>
      <w:r>
        <w:rPr>
          <w:b/>
          <w:sz w:val="19"/>
        </w:rPr>
        <w:t xml:space="preserve">Übertragbarkeit: </w:t>
      </w:r>
      <w:r>
        <w:rPr>
          <w:sz w:val="19"/>
        </w:rPr>
        <w:t>China-Studie, Befunde zu Pflegerkompetenz-Defiziten international relevant</w:t>
      </w:r>
    </w:p>
    <w:p>
      <w:r>
        <w:rPr>
          <w:color w:val="5A7D3A"/>
          <w:sz w:val="18"/>
        </w:rPr>
        <w:t>https://pubmed.ncbi.nlm.nih.gov/42812369/</w:t>
      </w:r>
    </w:p>
    <w:p>
      <w:pPr>
        <w:pStyle w:val="Heading2"/>
      </w:pPr>
      <w:r>
        <w:t>Junge Erwachsene verstehen Zusammenhang zwischen STI und Fertilität nicht</w:t>
      </w:r>
    </w:p>
    <w:p>
      <w:r>
        <w:rPr>
          <w:i/>
          <w:color w:val="666666"/>
          <w:sz w:val="18"/>
        </w:rPr>
        <w:t>Romane N et al.  ·  SAHARA J  ·  28.09.2026  ·  PMID 42802983</w:t>
      </w:r>
    </w:p>
    <w:p>
      <w:r>
        <w:t>Qualitative Studie mit 17 Interviews junger Erwachsener (18–24 Jahre) zur Gesundheitskompetenz bei sexuellen Infektionen und deren Folgen für Fortpflanzung in Südafrika.</w:t>
      </w:r>
    </w:p>
    <w:p>
      <w:r>
        <w:rPr>
          <w:b/>
        </w:rPr>
        <w:t xml:space="preserve">Ergebnis: </w:t>
      </w:r>
      <w:r>
        <w:t>Zentrale Befunde: Große Wissenslücken zur Verbindung zwischen STI und Unfruchtbarkeit; fehlende Krankheitsbewusstsein; eingeschränkte Nutzung von Gesundheitsdiensten wegen mangelndem Verständnis von Risiken. Empfehlung: Maßgeschneiderte Gesundheitserziehung mit lokalem Bezug zu sexuellem und reproduktivem Verhalten.</w:t>
      </w:r>
    </w:p>
    <w:p>
      <w:r>
        <w:rPr>
          <w:b/>
          <w:sz w:val="19"/>
        </w:rPr>
        <w:t xml:space="preserve">Übertragbarkeit: </w:t>
      </w:r>
      <w:r>
        <w:rPr>
          <w:sz w:val="19"/>
        </w:rPr>
        <w:t>Südafrika, Evidenz für Ungleichheit in der Gesundheitskompetenz bei jungen Menschen</w:t>
      </w:r>
    </w:p>
    <w:p>
      <w:r>
        <w:rPr>
          <w:color w:val="5A7D3A"/>
          <w:sz w:val="18"/>
        </w:rPr>
        <w:t>https://pubmed.ncbi.nlm.nih.gov/42802983/</w:t>
      </w:r>
    </w:p>
    <w:p>
      <w:pPr>
        <w:pStyle w:val="Heading2"/>
      </w:pPr>
      <w:r>
        <w:t>Glaukom-Patienten in Deutschland fühlen sich unzureichend aufgeklärt</w:t>
      </w:r>
    </w:p>
    <w:p>
      <w:r>
        <w:rPr>
          <w:i/>
          <w:color w:val="666666"/>
          <w:sz w:val="18"/>
        </w:rPr>
        <w:t>Joachim SC et al.  ·  Ophthalmologie  ·  15.07.2026  ·  PMID 42455350</w:t>
      </w:r>
    </w:p>
    <w:p>
      <w:r>
        <w:t>Querschnittsumfrage mit 334 Glaukom-Patienten zur Aufklärungsqualität über Erkrankung, Therapieoptionen und Nebenwirkungen durch Augenfachleute.</w:t>
      </w:r>
    </w:p>
    <w:p>
      <w:r>
        <w:rPr>
          <w:b/>
        </w:rPr>
        <w:t xml:space="preserve">Ergebnis: </w:t>
      </w:r>
      <w:r>
        <w:t>Nur 15,5% der Patienten fühlten sich sehr gut aufgeklärt, 40,1% unzureichend. Informationslücken zu Tropfen, Nebenwirkungen und Behandlungsoptionen waren verbreitet; 89,5% wussten aber wie man Tropfen anwendet, nur ca. 50% konnten Therapieänderungen mit dem Arzt besprechen.</w:t>
      </w:r>
    </w:p>
    <w:p>
      <w:r>
        <w:rPr>
          <w:b/>
          <w:sz w:val="19"/>
        </w:rPr>
        <w:t xml:space="preserve">Übertragbarkeit: </w:t>
      </w:r>
      <w:r>
        <w:rPr>
          <w:sz w:val="19"/>
        </w:rPr>
        <w:t>Deutsche Klinikdaten mit direkter Relevanz für Patientenedukation vor Ort</w:t>
      </w:r>
    </w:p>
    <w:p>
      <w:r>
        <w:rPr>
          <w:color w:val="5A7D3A"/>
          <w:sz w:val="18"/>
        </w:rPr>
        <w:t>https://pubmed.ncbi.nlm.nih.gov/42455350/</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Gesundheitskompetenz bei älteren Patienten mit Herz-Kreislauf-Erkrankungen: Latente Profilanalyse</w:t>
      </w:r>
    </w:p>
    <w:p>
      <w:r>
        <w:rPr>
          <w:i/>
          <w:color w:val="666666"/>
          <w:sz w:val="18"/>
        </w:rPr>
        <w:t>Mestl H  ·  Tidsskr Nor Laegeforen  ·  23.06.2026  ·  PMID 42343611</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https://pubmed.ncbi.nlm.nih.gov/42343611/</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2026-10-07T06:00:00Z</dcterms:created>
  <dcterms:modified xsi:type="dcterms:W3CDTF">2026-10-07T06:00:00Z</dcterms:modified>
  <cp:category/>
</cp:coreProperties>
</file>