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 und Health Literacy</w:t>
      </w:r>
    </w:p>
    <w:p>
      <w:r>
        <w:rPr>
          <w:i/>
          <w:color w:val="666666"/>
          <w:sz w:val="18"/>
        </w:rPr>
        <w:t>Stand: 27.09.2026  |  7 Studien  |  healthliteracy.m-vf.de</w:t>
      </w:r>
    </w:p>
    <w:p>
      <w:pPr>
        <w:pStyle w:val="Heading1"/>
      </w:pPr>
      <w:r>
        <w:t>Aufgenommen am 27.09.2026</w:t>
      </w:r>
    </w:p>
    <w:p>
      <w:pPr>
        <w:pStyle w:val="Heading2"/>
      </w:pPr>
      <w:r>
        <w:t>Virtuelle Ernährungsschulung für Nierenkranke: hohe Akzeptanz, machbar</w:t>
      </w:r>
    </w:p>
    <w:p>
      <w:r>
        <w:rPr>
          <w:i/>
          <w:color w:val="666666"/>
          <w:sz w:val="18"/>
        </w:rPr>
        <w:t>Santos-López MF et al.  ·  Nutrients  ·  21.09.2026  ·  PMID 42797080</w:t>
      </w:r>
    </w:p>
    <w:p>
      <w:r>
        <w:t>Die Studie entwickelte systematisch ein strukturiertes virtuelles Schulungsprogramm für erwachsene Patienten mit chronischer Nierenerkrankung Stadium 3–4 und prüfte dessen Machbarkeit anhand von Akzeptanz und Vollendungsraten.</w:t>
      </w:r>
    </w:p>
    <w:p>
      <w:r>
        <w:rPr>
          <w:b/>
        </w:rPr>
        <w:t xml:space="preserve">Ergebnis: </w:t>
      </w:r>
      <w:r>
        <w:t>Das Programm besteht aus 4 Sitzungen mit 10 kurzen Videos und 6 digitalen Materialien. 87 % der eingeladenen Patienten absolvierten das Programm und füllten Akzeptanzfragebögen aus. Mittlere Akzeptanzpunktzahl: 32 von 35 Punkten. Hohe Machbarkeit und Akzeptabilität demonstriert.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Systematische ADDIE-Methode und COM-B-Modell sind sprachsystemunabhängig; Implementierung in Deutschland analog möglich.</w:t>
      </w:r>
    </w:p>
    <w:p>
      <w:r>
        <w:rPr>
          <w:color w:val="5A7D3A"/>
          <w:sz w:val="18"/>
        </w:rPr>
        <w:t>https://pubmed.ncbi.nlm.nih.gov/42797080/</w:t>
      </w:r>
    </w:p>
    <w:p>
      <w:pPr>
        <w:pStyle w:val="Heading2"/>
      </w:pPr>
      <w:r>
        <w:t>Niedrigere Gesundheitskompetenz korreliert mit schlechterer Ernährungsqualität</w:t>
      </w:r>
    </w:p>
    <w:p>
      <w:r>
        <w:rPr>
          <w:i/>
          <w:color w:val="666666"/>
          <w:sz w:val="18"/>
        </w:rPr>
        <w:t>Joo H et al.  ·  Nutrients  ·  20.09.2026  ·  PMID 42797065</w:t>
      </w:r>
    </w:p>
    <w:p>
      <w:r>
        <w:t>Die Studie analysierte an 5.353 koreanischen Erwachsenen den Zusammenhang zwischen Gesundheitskompetenz (10-Item-Instrument) und Ernährungsqualität (Korean Healthy Eating Index aus 24-h-Recall), mit Altersstratifizierung.</w:t>
      </w:r>
    </w:p>
    <w:p>
      <w:r>
        <w:rPr>
          <w:b/>
        </w:rPr>
        <w:t xml:space="preserve">Ergebnis: </w:t>
      </w:r>
      <w:r>
        <w:t>Rohe Differenz schien positiv, aber Altersadjustierung invertierte sie (β = −2,76; vollständig adjustiert β = −1,70, 95%-KI −2,66 bis −0,75). Höhere Odds für schlechteste Ernährungsterzile bei niedriger Kompetenz (OR = 1,37, 95%-KI 1,09–1,72; p = 0,007). Pro 1-SD-Anstieg der Gesundheitskompetenz: β = +0,77 (95%-KI 0,42–1,12). Assoziation stärker bei Männern.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Südkorea; Querschnittdesign schließt Kausalität aus; Befund zeigt Ungleichheit nach Bildung.</w:t>
      </w:r>
    </w:p>
    <w:p>
      <w:r>
        <w:rPr>
          <w:color w:val="5A7D3A"/>
          <w:sz w:val="18"/>
        </w:rPr>
        <w:t>https://pubmed.ncbi.nlm.nih.gov/42797065/</w:t>
      </w:r>
    </w:p>
    <w:p>
      <w:pPr>
        <w:pStyle w:val="Heading2"/>
      </w:pPr>
      <w:r>
        <w:t>Eltern chronisch kranker Kinder: bessere Gesundheitskompetenz bedeutet weniger Stress</w:t>
      </w:r>
    </w:p>
    <w:p>
      <w:r>
        <w:rPr>
          <w:i/>
          <w:color w:val="666666"/>
          <w:sz w:val="18"/>
        </w:rPr>
        <w:t>Skoss R et al.  ·  BMC Health Serv Res  ·  11.08.2026  ·  PMID 42791541</w:t>
      </w:r>
    </w:p>
    <w:p>
      <w:r>
        <w:t>Die Studie untersuchte mittels Clusteranalyse Gesundheitskompetenz-Profile (Health Literacy Questionnaire) von australischen Eltern von Kindern mit speziellen Gesundheitsbedürfnissen und deren Zusammenhang mit Erfahrungen der Versorgungsintegration und elterlichem Stress.</w:t>
      </w:r>
    </w:p>
    <w:p>
      <w:r>
        <w:rPr>
          <w:b/>
        </w:rPr>
        <w:t xml:space="preserve">Ergebnis: </w:t>
      </w:r>
      <w:r>
        <w:t>Drei distinct Health-Literacy-Profile identifiziert. Eltern mit höherer Gesundheitskompetenz berichteten bessere Erfahrungen mit koordinierter Versorgung und niedrigere wahrgenommene Stresslevels. Profile unterschieden sich nicht in Demografie, aber in Stresserleben und Versorgungserfahrung.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englischsprachiges Sozialversicherungssystem; HLQ-Messmethode international validiert, Profile-Ansatz übertragbar.</w:t>
      </w:r>
    </w:p>
    <w:p>
      <w:r>
        <w:rPr>
          <w:color w:val="5A7D3A"/>
          <w:sz w:val="18"/>
        </w:rPr>
        <w:t>https://pubmed.ncbi.nlm.nih.gov/42791541/</w:t>
      </w:r>
    </w:p>
    <w:p>
      <w:pPr>
        <w:pStyle w:val="Heading2"/>
      </w:pPr>
      <w:r>
        <w:t>ChatGPT vereinfacht medizinische Berichte – Patienten verstehen mehr</w:t>
      </w:r>
    </w:p>
    <w:p>
      <w:r>
        <w:rPr>
          <w:i/>
          <w:color w:val="666666"/>
          <w:sz w:val="18"/>
        </w:rPr>
        <w:t>Stephan D et al.  ·  Oral Maxillofac Surg  ·  26.09.2026  ·  PMID 42791420</w:t>
      </w:r>
    </w:p>
    <w:p>
      <w:r>
        <w:t>Die Studie untersuchte, ob ChatGPT komplexe medizinische Berichte (MRT, CT, OP-Berichte, Entlassungssummern) in verständlichere Fassungen für Patienten umwandeln kann und ob dies das Verständnis verbessert.</w:t>
      </w:r>
    </w:p>
    <w:p>
      <w:r>
        <w:rPr>
          <w:b/>
        </w:rPr>
        <w:t xml:space="preserve">Ergebnis: </w:t>
      </w:r>
      <w:r>
        <w:t>Vereinfachte Berichte erhielten signifikant höhere Lesbarkeitsindizes (Flesch Reading Ease 48,4 ± 5,0 vs. 22,9 ± 5,2; p &lt; 0,0001). Patienten beurteilten vereinfachte Texte als deutlich klarer und nützlicher (p &lt; 0,001). Die Verständnisgenauigkeit verbesserte sich markant (z. B. MRI 80,3% vs. 53,7%; p &lt; 0,001). Keine medizinischen Informationen gingen verloren.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Sprachgebunden; Anwendbarkeit auf deutsche Fachbegriffe und Dokumentationsstandards zu prüfen.</w:t>
      </w:r>
    </w:p>
    <w:p>
      <w:r>
        <w:rPr>
          <w:color w:val="5A7D3A"/>
          <w:sz w:val="18"/>
        </w:rPr>
        <w:t>https://pubmed.ncbi.nlm.nih.gov/42791420/</w:t>
      </w:r>
    </w:p>
    <w:p>
      <w:pPr>
        <w:pStyle w:val="Heading2"/>
      </w:pPr>
      <w:r>
        <w:t>Mentale Gesundheitsschulung für Schüler in Kambodscha und Vietnam: Co-Adaptation gelungen</w:t>
      </w:r>
    </w:p>
    <w:p>
      <w:r>
        <w:rPr>
          <w:i/>
          <w:color w:val="666666"/>
          <w:sz w:val="18"/>
        </w:rPr>
        <w:t>Murray A et al.  ·  BMJ Glob Health  ·  25.09.2026  ·  PMID 42791046</w:t>
      </w:r>
    </w:p>
    <w:p>
      <w:r>
        <w:t>Die Studie beschreibt die partizipative Co-Adaption einer schulgestützten Intervention zur Mental Health Literacy für Jugendliche in zwei Ländern mit niedrigem/mittlerem Einkommen, unter Beteiligung von Schülern, Eltern, Lehrern und Stakeholdern.</w:t>
      </w:r>
    </w:p>
    <w:p>
      <w:r>
        <w:rPr>
          <w:b/>
        </w:rPr>
        <w:t xml:space="preserve">Ergebnis: </w:t>
      </w:r>
      <w:r>
        <w:t>Zentrale Adaptationen: Zwei Facilitatoren pro Sitzung (ein Lehrer, ein externer Provider, Rückfallehrer in Kambodscha); Peer-Co-Facilitation in einigen Sitzungen; Ergänzung neuer Themen (Internet, Essstörungen/Körperbild, Selbstverletzung/Suizid). Frühes und diverse Stakeholder-Engagement stärkte Co-Adaptationsprozess.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Kambodscha, Vietnam; LMIC-Kontext; partizipative Methodik und Kulturadaption sind systemunabhängig, Modell auf Deutschland übertragbar.</w:t>
      </w:r>
    </w:p>
    <w:p>
      <w:r>
        <w:rPr>
          <w:color w:val="5A7D3A"/>
          <w:sz w:val="18"/>
        </w:rPr>
        <w:t>https://pubmed.ncbi.nlm.nih.gov/42791046/</w:t>
      </w:r>
    </w:p>
    <w:p>
      <w:pPr>
        <w:pStyle w:val="Heading2"/>
      </w:pPr>
      <w:r>
        <w:t>Patienten in Jordanien lesen Beipackzettel – aber nicht bei Polypharmaka</w:t>
      </w:r>
    </w:p>
    <w:p>
      <w:r>
        <w:rPr>
          <w:i/>
          <w:color w:val="666666"/>
          <w:sz w:val="18"/>
        </w:rPr>
        <w:t>Al-Anasweh Q et al.  ·  Farm Comunitarios  ·  15.10.2026  ·  PMID 42774024</w:t>
      </w:r>
    </w:p>
    <w:p>
      <w:r>
        <w:t>Die Studie untersuchte an 343 jordanischen Patienten Einstellungen und Verhalten gegenüber Packungsbeilagen (Patient Information Leaflets) und identifizierte Prädiktoren für deren Lektüre.</w:t>
      </w:r>
    </w:p>
    <w:p>
      <w:r>
        <w:rPr>
          <w:b/>
        </w:rPr>
        <w:t xml:space="preserve">Ergebnis: </w:t>
      </w:r>
      <w:r>
        <w:t>Hohe Leseprävalenz: 87,2 %. Häufigste gelesene Abschnitte: Indikation (80,6 %), Nebenwirkungen (77,9 %), Anwendung (63,5 %). Höhere Wahrscheinlichkeit für Lektüre: weiblich, verheiratet, niedriges Einkommen (alle p &lt; 0,05). Polypharmaka assoziiert mit Nicht-Lesen (p &lt; 0,001). Hauptgründe für Nicht-Lesen: ausreichende ärztliche Information (52,3 %), ungeeignete Schriftgröße (29,5 %).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Jordanien (Mittlerer Osten); zeigt Ungleichheit nach Geschlecht, Einkommen und Medikamentenzahl; Schriftgrößen-Problem universal.</w:t>
      </w:r>
    </w:p>
    <w:p>
      <w:r>
        <w:rPr>
          <w:color w:val="5A7D3A"/>
          <w:sz w:val="18"/>
        </w:rPr>
        <w:t>https://pubmed.ncbi.nlm.nih.gov/42774024/</w:t>
      </w:r>
    </w:p>
    <w:p>
      <w:pPr>
        <w:pStyle w:val="Heading2"/>
      </w:pPr>
      <w:r>
        <w:t>Herzrehabilitations-Schulung senkt Sterblichkeit nach Herzinfarkt deutlich</w:t>
      </w:r>
    </w:p>
    <w:p>
      <w:r>
        <w:rPr>
          <w:i/>
          <w:color w:val="666666"/>
          <w:sz w:val="18"/>
        </w:rPr>
        <w:t>Jeon K et al.  ·  Yonsei Med J  ·  Okt. 2026  ·  PMID 42773494</w:t>
      </w:r>
    </w:p>
    <w:p>
      <w:r>
        <w:t>Die Studie untersuchte anhand von Krankenkassendaten von 92.968 südkoreanischen Herzinfarkt-Patienten (2018–2022), wie strukturierte Schulung und Therapiesitzungen in der Rehabilitation auf Sterblichkeit und Krankenhauseinweisungen wirken.</w:t>
      </w:r>
    </w:p>
    <w:p>
      <w:r>
        <w:rPr>
          <w:b/>
        </w:rPr>
        <w:t xml:space="preserve">Ergebnis: </w:t>
      </w:r>
      <w:r>
        <w:t>85,5 % erhielten keine Rehabilitation. Alle Rehabilitationsgruppen zeigten niedrigere Sterblichkeit. Größter Effekt: Schulung + ≥4 Therapiesitzungen (HR 0,257, 95%-KI 0,123–0,539) oder ≥4 Sitzungen ohne Schulung (HR 0,291, 95%-KI 0,203–0,417). Schulungsbasierte Rehabilitation korrelierte zudem mit weniger kardiovaskulären Neuaufnahmen und Wiederinterventionen.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ähnliches Versicherungssystem; Struktur und Outcome-Tracking auf deutsches Gesundheitswesen übertragbar.</w:t>
      </w:r>
    </w:p>
    <w:p>
      <w:r>
        <w:rPr>
          <w:color w:val="5A7D3A"/>
          <w:sz w:val="18"/>
        </w:rPr>
        <w:t>https://pubmed.ncbi.nlm.nih.gov/42773494/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2026-09-27T06:00:00Z</dcterms:created>
  <dcterms:modified xsi:type="dcterms:W3CDTF">2026-09-27T06:00:00Z</dcterms:modified>
  <cp:category/>
</cp:coreProperties>
</file>