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w:t>
      </w:r>
    </w:p>
    <w:p>
      <w:r>
        <w:rPr>
          <w:i/>
          <w:color w:val="666666"/>
          <w:sz w:val="18"/>
        </w:rPr>
        <w:t>Stand: 15.10.2026  |  331 Studien  |  healthliteracy.m-vf.de</w:t>
      </w:r>
    </w:p>
    <w:p>
      <w:pPr>
        <w:pStyle w:val="Heading1"/>
      </w:pPr>
      <w:r>
        <w:t>Aufgenommen am 15.10.2026</w:t>
      </w:r>
    </w:p>
    <w:p>
      <w:pPr>
        <w:pStyle w:val="Heading2"/>
      </w:pPr>
      <w:r>
        <w:t>Dreisäulen-Rahmen für digitale Gesundheitsbewertung in Ländern mit niedriger Ressourcenlage</w:t>
      </w:r>
    </w:p>
    <w:p>
      <w:r>
        <w:rPr>
          <w:i/>
          <w:color w:val="666666"/>
          <w:sz w:val="18"/>
        </w:rPr>
        <w:t>Irawan AS et al.  ·  Front Public Health  ·  29.09.2026  ·  PMID 42871285</w:t>
      </w:r>
    </w:p>
    <w:p>
      <w:r>
        <w:t>Narrative Übersicht mit integrativem Konzept zur Bewertung digitaler Gesundheit in ressourcenschwachen Ländern, kombiniert Technologie-Benchmarking, Digital Health Literacy und Social-Media-Analyse an 15 ausgewählten Studien (2020–2026).</w:t>
      </w:r>
    </w:p>
    <w:p>
      <w:r>
        <w:rPr>
          <w:b/>
        </w:rPr>
        <w:t xml:space="preserve">Ergebnis: </w:t>
      </w:r>
      <w:r>
        <w:t>Der Rahmen zeigt, dass konventionelle App-Metriken allein unzureichend sind und multidimensionale Bewertungsansätze notwendig sind, die Kontext, Nutzerkompetenz und öffentliche Diskurse einbeziehen. Besondere Relevanz für mütterliche, Kinder- und Jugendgesundheit.</w:t>
      </w:r>
    </w:p>
    <w:p>
      <w:r>
        <w:rPr>
          <w:b/>
          <w:sz w:val="19"/>
        </w:rPr>
        <w:t xml:space="preserve">Übertragbarkeit: </w:t>
      </w:r>
      <w:r>
        <w:rPr>
          <w:sz w:val="19"/>
        </w:rPr>
        <w:t>Konzeptionelles Modell für Forschung und Politik, Systemunterschiede begrenzen direkte Übertragung</w:t>
      </w:r>
    </w:p>
    <w:p>
      <w:r>
        <w:rPr>
          <w:color w:val="5A7D3A"/>
          <w:sz w:val="18"/>
        </w:rPr>
        <w:t>https://pubmed.ncbi.nlm.nih.gov/42871285/</w:t>
      </w:r>
    </w:p>
    <w:p>
      <w:pPr>
        <w:pStyle w:val="Heading2"/>
      </w:pPr>
      <w:r>
        <w:t>Bessere Sexualgesundheits-Kompetenz fördert positive Familienplanungseinstellung</w:t>
      </w:r>
    </w:p>
    <w:p>
      <w:r>
        <w:rPr>
          <w:i/>
          <w:color w:val="666666"/>
          <w:sz w:val="18"/>
        </w:rPr>
        <w:t>Gürel R et al.  ·  Afr J Reprod Health  ·  14.10.2026  ·  PMID 42871112</w:t>
      </w:r>
    </w:p>
    <w:p>
      <w:r>
        <w:t>Türkische Querschnittstudie (n=370 junge Männer, 18–25 Jahre) zum Zusammenhang zwischen Sexual Health Literacy und Einstellung zur Familienplanung mittels FPAS und SHLS.</w:t>
      </w:r>
    </w:p>
    <w:p>
      <w:r>
        <w:rPr>
          <w:b/>
        </w:rPr>
        <w:t xml:space="preserve">Ergebnis: </w:t>
      </w:r>
      <w:r>
        <w:t>Schwach positive Korrelation zwischen Sexual Health Literacy und Familienplanungseinstellung (p &lt; 0,05). Regressionsanalyse zeigte, dass die Variablen 20 % der Varianz in Familienplanungseinstellungen erklärten (R² = 0,20). Verbesserung der Sexual Health Literacy kann positive Einstellungen junger Männer zur Familienplanung beeinflussen.</w:t>
      </w:r>
    </w:p>
    <w:p>
      <w:r>
        <w:rPr>
          <w:b/>
          <w:sz w:val="19"/>
        </w:rPr>
        <w:t xml:space="preserve">Übertragbarkeit: </w:t>
      </w:r>
      <w:r>
        <w:rPr>
          <w:sz w:val="19"/>
        </w:rPr>
        <w:t>Türkei, ähnliche Versorgungsstruktur wie südosteuropäische Nachbarn Deutschlands</w:t>
      </w:r>
    </w:p>
    <w:p>
      <w:r>
        <w:rPr>
          <w:color w:val="5A7D3A"/>
          <w:sz w:val="18"/>
        </w:rPr>
        <w:t>https://pubmed.ncbi.nlm.nih.gov/42871112/</w:t>
      </w:r>
    </w:p>
    <w:p>
      <w:pPr>
        <w:pStyle w:val="Heading2"/>
      </w:pPr>
      <w:r>
        <w:t>Höheres Alter, nicht Krebserkrankung, senkt die eHealth Literacy</w:t>
      </w:r>
    </w:p>
    <w:p>
      <w:r>
        <w:rPr>
          <w:i/>
          <w:color w:val="666666"/>
          <w:sz w:val="18"/>
        </w:rPr>
        <w:t>Kongshaug N et al.  ·  JCO Clin Cancer Inform  ·  09.10.2026  ·  PMID 42854113</w:t>
      </w:r>
    </w:p>
    <w:p>
      <w:r>
        <w:t>Querschnittstudie zur Messung der eHealth Literacy mittels eHLQ-Fragebogen bei 248 Krebspatienten in aktiver Chemotherapie oder kürzlich behandelt in drei norwegischen Ambulanzen.</w:t>
      </w:r>
    </w:p>
    <w:p>
      <w:r>
        <w:rPr>
          <w:b/>
        </w:rPr>
        <w:t xml:space="preserve">Ergebnis: </w:t>
      </w:r>
      <w:r>
        <w:t>eHealth-Literacy-Werte schwankten zwischen 2,72 und 3,14 auf einer Skala (SD 0,42–0,62). Höheres Alter war der stärkste Prädiktor für niedrigere eHealth Literacy (signifikant), Geschlecht zeigte keinen Unterschied, und der Zusammenhang zwischen niedriger Bildung/Einkommen und niedriger eHealth Literacy verschwand nach Altersanpassung. Eine schwere Erkrankung oder Chemotherapie beeinflussen die digitale Gesundheitskompetenz nicht substanziell.</w:t>
      </w:r>
    </w:p>
    <w:p>
      <w:r>
        <w:rPr>
          <w:b/>
          <w:sz w:val="19"/>
        </w:rPr>
        <w:t xml:space="preserve">Übertragbarkeit: </w:t>
      </w:r>
      <w:r>
        <w:rPr>
          <w:sz w:val="19"/>
        </w:rPr>
        <w:t>Skandinavien mit Gatekeeping-System, begrenzte direkte Übertragung auf deutsche Versorgungsstrukturen</w:t>
      </w:r>
    </w:p>
    <w:p>
      <w:r>
        <w:rPr>
          <w:color w:val="5A7D3A"/>
          <w:sz w:val="18"/>
        </w:rPr>
        <w:t>https://pubmed.ncbi.nlm.nih.gov/42854113/</w:t>
      </w:r>
    </w:p>
    <w:p>
      <w:pPr>
        <w:pStyle w:val="Heading2"/>
      </w:pPr>
      <w:r>
        <w:t>Rassendiskriminierung und Health Literacy beeinflussen Vertrauen in COVID-Impfstoffe</w:t>
      </w:r>
    </w:p>
    <w:p>
      <w:r>
        <w:rPr>
          <w:i/>
          <w:color w:val="666666"/>
          <w:sz w:val="18"/>
        </w:rPr>
        <w:t>Beogo I et al.  ·  Vaccine  ·  14.11.2026  ·  PMID 42832932</w:t>
      </w:r>
    </w:p>
    <w:p>
      <w:r>
        <w:t>Kanadische Querschnittstudie (n=581, 55+ Jahre) zu Wahrnehmung der COVID-19-Impfstoffwirksamkeit nach ethnischer Herkunft und deren Zusammenhang mit Diskriminungserfahrungen und Health Literacy.</w:t>
      </w:r>
    </w:p>
    <w:p>
      <w:r>
        <w:rPr>
          <w:b/>
        </w:rPr>
        <w:t xml:space="preserve">Ergebnis: </w:t>
      </w:r>
      <w:r>
        <w:t>Rassenbedingte Diskriminierung war der stärkste Prädiktor für niedrigere wahrgenommene Impfstoffwirksamkeit (β = −0,42, p = 0,006), gefolgt von Health Literacy (β = 0,09, p = 0,002) und Schwarzsein versus Weiß-Sein (β = −1,49, p = 0,020). Asiatische und weiße Teilnehmende bewerteten Impfstoffe signifikant besser als schwarze und indigene Teilnehmende (F = 2,88, p = 0,009).</w:t>
      </w:r>
    </w:p>
    <w:p>
      <w:r>
        <w:rPr>
          <w:b/>
          <w:sz w:val="19"/>
        </w:rPr>
        <w:t xml:space="preserve">Übertragbarkeit: </w:t>
      </w:r>
      <w:r>
        <w:rPr>
          <w:sz w:val="19"/>
        </w:rPr>
        <w:t>Kanada mit ähnlichem Versicherungssystem, Erkenntnis zu Ungleichheiten übertragbar auf Deutschland</w:t>
      </w:r>
    </w:p>
    <w:p>
      <w:r>
        <w:rPr>
          <w:color w:val="5A7D3A"/>
          <w:sz w:val="18"/>
        </w:rPr>
        <w:t>https://pubmed.ncbi.nlm.nih.gov/42832932/</w:t>
      </w:r>
    </w:p>
    <w:p>
      <w:pPr>
        <w:pStyle w:val="Heading2"/>
      </w:pPr>
      <w:r>
        <w:t>Gesundheitswahrnehmung ist stärkster Treiber für Inanspruchnahme psychologischer Hilfe</w:t>
      </w:r>
    </w:p>
    <w:p>
      <w:r>
        <w:rPr>
          <w:i/>
          <w:color w:val="666666"/>
          <w:sz w:val="18"/>
        </w:rPr>
        <w:t>Dilmen Bayar B et al.  ·  Medicine (Baltimore)  ·  25.09.2026  ·  PMID 42798053</w:t>
      </w:r>
    </w:p>
    <w:p>
      <w:r>
        <w:t>Türkische Querschnittsstudie (n=398) in der multikulturellen Stadt Mardin zum Zusammenhang zwischen Mental Health Literacy, Gesundheitswahrnehmung und Bereitschaft, professionelle psychologische Hilfe zu suchen, in vier ethnischen Gruppen (Assyrisch, Türkisch, Arabisch, Kurdisch).</w:t>
      </w:r>
    </w:p>
    <w:p>
      <w:r>
        <w:rPr>
          <w:b/>
        </w:rPr>
        <w:t xml:space="preserve">Ergebnis: </w:t>
      </w:r>
      <w:r>
        <w:t>Ethnic-Gruppen unterschieden sich signifikant in Mental Health Literacy, Gesundheitswahrnehmung und Hilfsuchbereitschaft (alle p &lt; 0,05). Gesundheitswahrnehmung war der stärkste Prädiktor für Hilfsuchbereitschaft (β = 0,666, p &lt; 0,001), Mental Health Literacy war schwach positiv korreliert (r = 0,138, p = 0,006). Das Regressionsmodell erklärte 41,5 % der Varianz in Hilfsuchbereitschaft (R² = 0,415).</w:t>
      </w:r>
    </w:p>
    <w:p>
      <w:r>
        <w:rPr>
          <w:b/>
          <w:sz w:val="19"/>
        </w:rPr>
        <w:t xml:space="preserve">Übertragbarkeit: </w:t>
      </w:r>
      <w:r>
        <w:rPr>
          <w:sz w:val="19"/>
        </w:rPr>
        <w:t>Türkei, multikultureller Kontext mit teilweise vergleichbaren Bevölkerungsdynamiken wie deutsche Großstädte</w:t>
      </w:r>
    </w:p>
    <w:p>
      <w:r>
        <w:rPr>
          <w:color w:val="5A7D3A"/>
          <w:sz w:val="18"/>
        </w:rPr>
        <w:t>https://pubmed.ncbi.nlm.nih.gov/42798053/</w:t>
      </w:r>
    </w:p>
    <w:p>
      <w:pPr>
        <w:pStyle w:val="Heading2"/>
      </w:pPr>
      <w:r>
        <w:t>Videounterstützte Aufklärung verkürzt OP-Gespräche ohne Verständnisverlust</w:t>
      </w:r>
    </w:p>
    <w:p>
      <w:r>
        <w:rPr>
          <w:i/>
          <w:color w:val="666666"/>
          <w:sz w:val="18"/>
        </w:rPr>
        <w:t>Leicht SGPD et al.  ·  World J Surg  ·  05.09.2026  ·  PMID 42699982</w:t>
      </w:r>
    </w:p>
    <w:p>
      <w:r>
        <w:t>Vergleich von videogestützter versus ärztlicher Aufklärung vor elektiven Bauchoperationen (Cholezystektomie, Kolonresektion) zur Messung von Gesprächsdauer, Patientenverständnis und Zufriedenheit.</w:t>
      </w:r>
    </w:p>
    <w:p>
      <w:r>
        <w:rPr>
          <w:b/>
        </w:rPr>
        <w:t xml:space="preserve">Ergebnis: </w:t>
      </w:r>
      <w:r>
        <w:t>Videogestützte Aufklärung reduzierte die ärztliche Gesprächszeit erheblich (Cholezystektomie: 1,5 vs. 8,1 Min., Kolonresektion: 3,3 vs. 11,9 Min.), ohne dass Patientenverständnis, -zufriedenheit oder postoperative Schmerzen beeinträchtigt wurden. Ärzte waren mit dem videogestützten Prozess hochzufrieden. Ein vielversprechender Weg, digitale Innovationen in der Aufklärungspraxis zu nutzen.</w:t>
      </w:r>
    </w:p>
    <w:p>
      <w:r>
        <w:rPr>
          <w:b/>
          <w:sz w:val="19"/>
        </w:rPr>
        <w:t xml:space="preserve">Übertragbarkeit: </w:t>
      </w:r>
      <w:r>
        <w:rPr>
          <w:sz w:val="19"/>
        </w:rPr>
        <w:t>Deutschland: Universitätsklinik Würzburg, vergleichbares Rechtssystem und Aufklärungspflichten</w:t>
      </w:r>
    </w:p>
    <w:p>
      <w:r>
        <w:rPr>
          <w:color w:val="5A7D3A"/>
          <w:sz w:val="18"/>
        </w:rPr>
        <w:t>https://pubmed.ncbi.nlm.nih.gov/42699982/</w:t>
      </w:r>
    </w:p>
    <w:p>
      <w:pPr>
        <w:pStyle w:val="Heading1"/>
      </w:pPr>
      <w:r>
        <w:t>Aufgenommen am 14.10.2026</w:t>
      </w:r>
    </w:p>
    <w:p>
      <w:pPr>
        <w:pStyle w:val="Heading2"/>
      </w:pPr>
      <w:r>
        <w:t>Kurzvideo verbessert Verständnis von Tumor-Genomtestung dauerhaft</w:t>
      </w:r>
    </w:p>
    <w:p>
      <w:r>
        <w:rPr>
          <w:i/>
          <w:color w:val="666666"/>
          <w:sz w:val="18"/>
        </w:rPr>
        <w:t>Veney DJ et al.  ·  PLoS One  ·  13.10.2026  ·  PMID 42868120</w:t>
      </w:r>
    </w:p>
    <w:p>
      <w:r>
        <w:t>Quantitative Studie mit 203 Krebspatienten in akademischen und Gemeinschaftspraxen in den USA, die die Wirkung eines 3-4 Minuten langen Erklärvideos vor Genomtestung untersuchte.</w:t>
      </w:r>
    </w:p>
    <w:p>
      <w:r>
        <w:rPr>
          <w:b/>
        </w:rPr>
        <w:t xml:space="preserve">Ergebnis: </w:t>
      </w:r>
      <w:r>
        <w:t>Videogestütztes Wissen (VMSK) verbesserte sich signifikant vom Zeitpunkt vor Video (T1) über direkt danach (T2) bis nach Ergebnis (T3), mit p&lt;0,0001. Bei vier spezifischen Fragen zu Behandlungsfolgen, Zufallsbefunden und Kostenübernahme war die Verbesserung deutlich (alle p≤0,0001). Objektives genetisches Wissen (GKU) änderte sich nicht (p=0,41). Die Wirkung war konsistent in akademischen und Gemeinschaftspraxen sowie über alle Krebsarten hinweg.</w:t>
      </w:r>
    </w:p>
    <w:p>
      <w:r>
        <w:rPr>
          <w:b/>
          <w:sz w:val="19"/>
        </w:rPr>
        <w:t xml:space="preserve">Übertragbarkeit: </w:t>
      </w:r>
      <w:r>
        <w:rPr>
          <w:sz w:val="19"/>
        </w:rPr>
        <w:t>USA; Videoformat und Inhalte müssen für deutsche Fachsprache und Versicherungssystem adaptiert werden</w:t>
      </w:r>
    </w:p>
    <w:p>
      <w:r>
        <w:rPr>
          <w:color w:val="5A7D3A"/>
          <w:sz w:val="18"/>
        </w:rPr>
        <w:t>https://pubmed.ncbi.nlm.nih.gov/42868120/</w:t>
      </w:r>
    </w:p>
    <w:p>
      <w:pPr>
        <w:pStyle w:val="Heading2"/>
      </w:pPr>
      <w:r>
        <w:t>Schulung stärkt Gesundheitskompetenz von Pflegefachpersonen – erste Messresultate aus China</w:t>
      </w:r>
    </w:p>
    <w:p>
      <w:r>
        <w:rPr>
          <w:i/>
          <w:color w:val="666666"/>
          <w:sz w:val="18"/>
        </w:rPr>
        <w:t>Bao X et al.  ·  Front Public Health  ·  28.09.2026  ·  PMID 42865762</w:t>
      </w:r>
    </w:p>
    <w:p>
      <w:r>
        <w:t>Methodische Studie mit 647 Pflegefachpersonen aus Krankenhäusern in China, die eine Skala zur Erfassung von Gesundheitskompetenz bei Pflegenden entwickelte und in einer Querschnittserhebung anwendete.</w:t>
      </w:r>
    </w:p>
    <w:p>
      <w:r>
        <w:rPr>
          <w:b/>
        </w:rPr>
        <w:t xml:space="preserve">Ergebnis: </w:t>
      </w:r>
      <w:r>
        <w:t>Die finale 39-Item-Skala mit fünf Dimensionen erklärte 72,6% der Varianz mit gutem Modellfit (χ²/df=2,223, RMSEA=0,056). Die Gesamtskala Cronbachs α war 0,958. Bei 647 befragten Pflegefachpersonen lag der mittlere Score bei 154,41 (SD 20,60). In der Regressionsanalyse waren unabhängige Prädiktoren: Gesundheitsstatus (β=0,087, p=0,024), Gesundheitskompetenz-Schulung (β=0,164, p=0,001) und Kompetenzschulung (β=0,122, p=0,012). Diese erklärten 7,8% der Varianz.</w:t>
      </w:r>
    </w:p>
    <w:p>
      <w:r>
        <w:rPr>
          <w:b/>
          <w:sz w:val="19"/>
        </w:rPr>
        <w:t xml:space="preserve">Übertragbarkeit: </w:t>
      </w:r>
      <w:r>
        <w:rPr>
          <w:sz w:val="19"/>
        </w:rPr>
        <w:t>China; Skalenkonstruktion für deutsches Nursing-Assessment möglich, aber Kontextualisierung erforderlich</w:t>
      </w:r>
    </w:p>
    <w:p>
      <w:r>
        <w:rPr>
          <w:color w:val="5A7D3A"/>
          <w:sz w:val="18"/>
        </w:rPr>
        <w:t>https://pubmed.ncbi.nlm.nih.gov/42865762/</w:t>
      </w:r>
    </w:p>
    <w:p>
      <w:pPr>
        <w:pStyle w:val="Heading2"/>
      </w:pPr>
      <w:r>
        <w:t>Beteiligung von Patienten in der Arzneimittelentwicklung: Motive analysieren, Hürden erkennen</w:t>
      </w:r>
    </w:p>
    <w:p>
      <w:r>
        <w:rPr>
          <w:i/>
          <w:color w:val="666666"/>
          <w:sz w:val="18"/>
        </w:rPr>
        <w:t>Frost J et al.  ·  Sociol Health Illn  ·  Nov. 2026  ·  PMID 42865318</w:t>
      </w:r>
    </w:p>
    <w:p>
      <w:r>
        <w:t>Ethnografische Studie mit Biotechnologieunternehmen (200 Stunden informelle, 50 Stunden formelle Beobachtung, 10 Interviews, Dokumentenanalyse), die die Motive und praktischen Barrieren für Patientenbeteiligung während der Arzneimittelentwicklung untersuchte.</w:t>
      </w:r>
    </w:p>
    <w:p>
      <w:r>
        <w:rPr>
          <w:b/>
        </w:rPr>
        <w:t xml:space="preserve">Ergebnis: </w:t>
      </w:r>
      <w:r>
        <w:t>Unternehmen nennen mehrere Motive für Patientenbeteiligung: regulatorische Anforderungen, Corporate Social Responsibility und Return-on-Investment. Die Analyse zeigte aber systematische Lücken: Es fehlte eine Strategie, diese Motive in ein Framework zu übersetzen, das nachhaltige Beteiligung im Zeitverlauf sichert. Barrieren sind die dynamische Natur der Pipeline, begrenzte zeitliche Fenster und falsche Vorstellungen über Engagement-Mechanismen. Die Studie identifizierte Praktiken in Entwicklungs- und Industrieprozessen, die sinnvolle Beteiligung behindern.</w:t>
      </w:r>
    </w:p>
    <w:p>
      <w:r>
        <w:rPr>
          <w:b/>
          <w:sz w:val="19"/>
        </w:rPr>
        <w:t xml:space="preserve">Übertragbarkeit: </w:t>
      </w:r>
      <w:r>
        <w:rPr>
          <w:sz w:val="19"/>
        </w:rPr>
        <w:t>Großbritannien mit Patientenperspektive; Erkenntnisse zu institutionellen Barrieren auf deutsche Versorgungsforschung übertragbar</w:t>
      </w:r>
    </w:p>
    <w:p>
      <w:r>
        <w:rPr>
          <w:color w:val="5A7D3A"/>
          <w:sz w:val="18"/>
        </w:rPr>
        <w:t>https://pubmed.ncbi.nlm.nih.gov/42865318/</w:t>
      </w:r>
    </w:p>
    <w:p>
      <w:pPr>
        <w:pStyle w:val="Heading2"/>
      </w:pPr>
      <w:r>
        <w:t>Psychoedukation mit motivierender Gesprächsführung verbessert Wissen und Hoffnung bei Schizophrenie</w:t>
      </w:r>
    </w:p>
    <w:p>
      <w:r>
        <w:rPr>
          <w:i/>
          <w:color w:val="666666"/>
          <w:sz w:val="18"/>
        </w:rPr>
        <w:t>Taşkıner B et al.  ·  Arch Psychiatr Nurs  ·  27.08.2026  ·  PMID 42863921</w:t>
      </w:r>
    </w:p>
    <w:p>
      <w:r>
        <w:t>Randomisierte kontrollierte Studie mit 44 Personen mit Schizophrenie in der Türkei, die untersuchte, ob ein kombiniertes Programm aus Psychoedukation und motivierender Gesprächsführung das krankheitsbezogene Wissen und die Hoffnung verbessert.</w:t>
      </w:r>
    </w:p>
    <w:p>
      <w:r>
        <w:rPr>
          <w:b/>
        </w:rPr>
        <w:t xml:space="preserve">Ergebnis: </w:t>
      </w:r>
      <w:r>
        <w:t>Die Interventionsgruppe (n=21) zeigte nach dem Programm signifikante Verbesserungen in krankheitsbezogenem Wissen (F=176,060, p&lt;0,001, η²=0,898) und Hoffnung (F=99,782, p&lt;0,001, η²=0,833), die sich ein Monat später erhielten. Die Kontrollgruppe (n=23) ohne Intervention zeigte diese Verbesserungen nicht.</w:t>
      </w:r>
    </w:p>
    <w:p>
      <w:r>
        <w:rPr>
          <w:b/>
          <w:sz w:val="19"/>
        </w:rPr>
        <w:t xml:space="preserve">Übertragbarkeit: </w:t>
      </w:r>
      <w:r>
        <w:rPr>
          <w:sz w:val="19"/>
        </w:rPr>
        <w:t>Türkei, psychiatrischer Gemeindedienst; Schulungsmodell prinzipiell übertragbar auf deutsches Gesundheitswesen</w:t>
      </w:r>
    </w:p>
    <w:p>
      <w:r>
        <w:rPr>
          <w:color w:val="5A7D3A"/>
          <w:sz w:val="18"/>
        </w:rPr>
        <w:t>https://pubmed.ncbi.nlm.nih.gov/42863921/</w:t>
      </w:r>
    </w:p>
    <w:p>
      <w:pPr>
        <w:pStyle w:val="Heading2"/>
      </w:pPr>
      <w:r>
        <w:t>Wie Gesundheitskompetenz über Verhalten und Psyche die Lebensqualität beeinflusst</w:t>
      </w:r>
    </w:p>
    <w:p>
      <w:r>
        <w:rPr>
          <w:i/>
          <w:color w:val="666666"/>
          <w:sz w:val="18"/>
        </w:rPr>
        <w:t>Poonthananiwatkul B et al.  ·  Health Lit Res Pract  ·  09.10.2026  ·  PMID 42858453</w:t>
      </w:r>
    </w:p>
    <w:p>
      <w:r>
        <w:t>Strukturgleichungsmodell mit 360 arbeitsfähigen Erwachsenen (15–59 Jahre) in Thailand, das die Pfade untersuchte, über die Gesundheitskompetenz auf Lebensqualität wirkt.</w:t>
      </w:r>
    </w:p>
    <w:p>
      <w:r>
        <w:rPr>
          <w:b/>
        </w:rPr>
        <w:t xml:space="preserve">Ergebnis: </w:t>
      </w:r>
      <w:r>
        <w:t>Gesundheitsverhalten und psychische Gesundheit hatten signifikante direkte positive Effekte auf Lebensqualität (β=0,315, p&lt;0,001; β=0,860, p&lt;0,001). Gesundheitskompetenz wirkte signifikant positiv auf Verhalten (β=0,396, p&lt;0,001) und psychische Gesundheit (β=0,391, p&lt;0,001) und indirekt auf Lebensqualität (β=0,464, p&lt;0,001). Das Modell erklärte 92% der Varianz in Lebensqualität mit ausgezeichnetem Fit (χ²/df=1,249, p=0,070, RMSEA=0,026, CFI=0,995). Ein sequenzieller Pfad wurde beobachtet: Gesundheitskompetenz → Verhalten → psychische Gesundheit → Lebensqualität.</w:t>
      </w:r>
    </w:p>
    <w:p>
      <w:r>
        <w:rPr>
          <w:b/>
          <w:sz w:val="19"/>
        </w:rPr>
        <w:t xml:space="preserve">Übertragbarkeit: </w:t>
      </w:r>
      <w:r>
        <w:rPr>
          <w:sz w:val="19"/>
        </w:rPr>
        <w:t>Thailand; Modellstruktur zeigt theoretische Anknüpfungspunkte für deutsche Interventionen, aber kulturelle Kontextualisierung nötig</w:t>
      </w:r>
    </w:p>
    <w:p>
      <w:r>
        <w:rPr>
          <w:color w:val="5A7D3A"/>
          <w:sz w:val="18"/>
        </w:rPr>
        <w:t>https://pubmed.ncbi.nlm.nih.gov/42858453/</w:t>
      </w:r>
    </w:p>
    <w:p>
      <w:pPr>
        <w:pStyle w:val="Heading2"/>
      </w:pPr>
      <w:r>
        <w:t>Generative KI in der Patientenbeteiligung: Risiken erkennen, Regeln setzen</w:t>
      </w:r>
    </w:p>
    <w:p>
      <w:r>
        <w:rPr>
          <w:i/>
          <w:color w:val="666666"/>
          <w:sz w:val="18"/>
        </w:rPr>
        <w:t>Lammons W et al.  ·  J Med Internet Res  ·  30.09.2026  ·  PMID 42852573</w:t>
      </w:r>
    </w:p>
    <w:p>
      <w:r>
        <w:t>Stellungnahme von PPIE-Fachleuten (Patient and Public Involvement and Engagement) in Großbritannien, die die Risiken und Chancen generativer KI für die authentische Rolle von Patienten in Gesundheitsforschung und -politik analysiert.</w:t>
      </w:r>
    </w:p>
    <w:p>
      <w:r>
        <w:rPr>
          <w:b/>
        </w:rPr>
        <w:t xml:space="preserve">Ergebnis: </w:t>
      </w:r>
      <w:r>
        <w:t>Vier Risiken werden benannt: KI kann verzerrte oder falsche Outputs produzieren, die Ungleichheit verstärken, Patientenstimmen minimieren oder ersetzen und Lernprozesse einengen. Als Chancen werden schnellere Diagnostik und Barrierefreiheit genannt. Die Autoren stellen eine Checkliste bereit mit pragmatischen Anforderungen an ethische KI-Nutzung in PPIE-Kontexten.</w:t>
      </w:r>
    </w:p>
    <w:p>
      <w:r>
        <w:rPr>
          <w:b/>
          <w:sz w:val="19"/>
        </w:rPr>
        <w:t xml:space="preserve">Übertragbarkeit: </w:t>
      </w:r>
      <w:r>
        <w:rPr>
          <w:sz w:val="19"/>
        </w:rPr>
        <w:t>Großbritannien, NHS-Kontext; Fragenstellung zur Authentizität von Patientenstimmen systemübergreifend relevant</w:t>
      </w:r>
    </w:p>
    <w:p>
      <w:r>
        <w:rPr>
          <w:color w:val="5A7D3A"/>
          <w:sz w:val="18"/>
        </w:rPr>
        <w:t>https://pubmed.ncbi.nlm.nih.gov/42852573/</w:t>
      </w:r>
    </w:p>
    <w:p>
      <w:pPr>
        <w:pStyle w:val="Heading1"/>
      </w:pPr>
      <w:r>
        <w:t>Aufgenommen am 13.10.2026</w:t>
      </w:r>
    </w:p>
    <w:p>
      <w:pPr>
        <w:pStyle w:val="Heading2"/>
      </w:pPr>
      <w:r>
        <w:t>CollaboRATE-5 misst Patientenbeteiligung an Entscheidungen reliabel – auch in Türkei</w:t>
      </w:r>
    </w:p>
    <w:p>
      <w:r>
        <w:rPr>
          <w:i/>
          <w:color w:val="666666"/>
          <w:sz w:val="18"/>
        </w:rPr>
        <w:t>Toçoğlu M et al.  ·  J Eval Clin Pract  ·  Okt. 2026  ·  PMID 42862937</w:t>
      </w:r>
    </w:p>
    <w:p>
      <w:r>
        <w:t>Methodische Studie zur Adaptation und psychometrischen Validierung der 5-Item-Skala CollaboRATE-5 für türkische Diabetespatienten (n=200) zur Erfassung wahrgenommener Shared Decision-Making.</w:t>
      </w:r>
    </w:p>
    <w:p>
      <w:r>
        <w:rPr>
          <w:b/>
        </w:rPr>
        <w:t xml:space="preserve">Ergebnis: </w:t>
      </w:r>
      <w:r>
        <w:t>Cronbach's α=0,918 (hohe innere Konsistenz). Test-Retest-Reliabilität ICC=0,892 (n=65). Item-Gesamt-Korrelationen 0,776–0,866. Standardisierte Faktorladungen 0,872–0,986. Mittleres Score 9,51±2,22 (Range 0–12), 31,5% erreichten Maximalwert. Inverse Korrelation mit Decisional Conflict Scale (rs=−0,641; p&lt;0,001). Höhere Scores assoziiert mit höherer Bildung, besserer Gesundheitswahrnehmung, männlichem Geschlecht (alle p&lt;0,01). Strukturelle Validität in just-identified Modell nicht unabhängig bestätigt, aber insgesamt Reliabilität und Konstruktvalidität unterstützt.</w:t>
      </w:r>
    </w:p>
    <w:p>
      <w:r>
        <w:rPr>
          <w:b/>
          <w:sz w:val="19"/>
        </w:rPr>
        <w:t xml:space="preserve">Übertragbarkeit: </w:t>
      </w:r>
      <w:r>
        <w:rPr>
          <w:sz w:val="19"/>
        </w:rPr>
        <w:t>Türkei, aber CollaboRATE-5 international validierter Standard – Ergebnis auf Deutschland übertragbar</w:t>
      </w:r>
    </w:p>
    <w:p>
      <w:r>
        <w:rPr>
          <w:color w:val="5A7D3A"/>
          <w:sz w:val="18"/>
        </w:rPr>
        <w:t>https://pubmed.ncbi.nlm.nih.gov/42862937/</w:t>
      </w:r>
    </w:p>
    <w:p>
      <w:pPr>
        <w:pStyle w:val="Heading2"/>
      </w:pPr>
      <w:r>
        <w:t>Strukturierte Stillvorbereitung erhöht Stillquoten und reduziert Stillkomplikationen</w:t>
      </w:r>
    </w:p>
    <w:p>
      <w:r>
        <w:rPr>
          <w:i/>
          <w:color w:val="666666"/>
          <w:sz w:val="18"/>
        </w:rPr>
        <w:t>Zhang C et al.  ·  J Obstet Gynaecol  ·  12.10.2026  ·  PMID 42862704</w:t>
      </w:r>
    </w:p>
    <w:p>
      <w:r>
        <w:t>Eine Studie verglich Frauen mit multikomponentenem Schulungsprogramm (Wissen, Einstellungen, praktische Fähigkeiten) gegen Standardvorbereitung auf Stilleergebnis und Selbstwirksamkeit.</w:t>
      </w:r>
    </w:p>
    <w:p>
      <w:r>
        <w:rPr>
          <w:b/>
        </w:rPr>
        <w:t xml:space="preserve">Ergebnis: </w:t>
      </w:r>
      <w:r>
        <w:t>Die Interventionsgruppe erreichte höhere Wissens-Einstellungs-Praktiken-Scores (80,8±5,6 vs. 63,4±6,9; p&lt;0,001), bessere Stillselbstwirksamkeit (58,2±4,8 vs. 48,6±5,4; p&lt;0,001) und signifikant höhere Quote ausschließlichen Stillens nach 6 Monaten (55,9% vs. 31,6%; p&lt;0,001); Morbidität (Brustwarzentrauma, Stauung, Mastitis) war deutlich reduziert (alle p&lt;0,01). Expositionsgruppe zeigte unabhängig erhöhte Chancen für Stillen nach 6 Monaten (adjustierte OR 2,84; 95%-CI 1,98–4,07).</w:t>
      </w:r>
    </w:p>
    <w:p>
      <w:r>
        <w:rPr>
          <w:b/>
          <w:sz w:val="19"/>
        </w:rPr>
        <w:t xml:space="preserve">Übertragbarkeit: </w:t>
      </w:r>
      <w:r>
        <w:rPr>
          <w:sz w:val="19"/>
        </w:rPr>
        <w:t>China - Aussagen zur Stillförderung durch Wissen und Selbstwirksamkeit kulturunabhängig, Schulungsformat anpassbar</w:t>
      </w:r>
    </w:p>
    <w:p>
      <w:r>
        <w:rPr>
          <w:color w:val="5A7D3A"/>
          <w:sz w:val="18"/>
        </w:rPr>
        <w:t>https://pubmed.ncbi.nlm.nih.gov/42862704/</w:t>
      </w:r>
    </w:p>
    <w:p>
      <w:pPr>
        <w:pStyle w:val="Heading2"/>
      </w:pPr>
      <w:r>
        <w:t>Patientenbeteiligung in Forschung gelingt – braucht aber Struktur und kontinuierliche Information</w:t>
      </w:r>
    </w:p>
    <w:p>
      <w:r>
        <w:rPr>
          <w:i/>
          <w:color w:val="666666"/>
          <w:sz w:val="18"/>
        </w:rPr>
        <w:t>Reeck N et al.  ·  Health Expect  ·  Okt. 2026  ·  PMID 42861438</w:t>
      </w:r>
    </w:p>
    <w:p>
      <w:r>
        <w:t>Qualitative Evaluationsstudie zur Beteiligung von 8 älteren Forschungskollaborateuren mit Sturzerfahrung über 3 Jahre mit dem Public and Patient Engagement Evaluation Tool (PPEET) und Prozessdokumentation.</w:t>
      </w:r>
    </w:p>
    <w:p>
      <w:r>
        <w:rPr>
          <w:b/>
        </w:rPr>
        <w:t xml:space="preserve">Ergebnis: </w:t>
      </w:r>
      <w:r>
        <w:t>8 ältere Personen, 29 Sitzungen über 3 Jahre. Positive Atmosphäre, aber initial Unklarheit über Ziele. Gesundheitsbedingte Ausfälle führten zur Aufnahme von 3 neuen Mitgliedern. PRT beeinflusste mehrere Forschungsphasen (z.B. Fokusgruppenmethode). Kernbefunde: Persönlicher Zugang, Zeit für Erfahrungsaustausch und kontinuierliche Information als kritische Erfolgsfaktoren; infrastrukturelle Unterstützung war vorhanden, aber Informationsstrukturen für Mitglieder müssen gestärkt werden.</w:t>
      </w:r>
    </w:p>
    <w:p>
      <w:r>
        <w:rPr>
          <w:b/>
          <w:sz w:val="19"/>
        </w:rPr>
        <w:t xml:space="preserve">Übertragbarkeit: </w:t>
      </w:r>
      <w:r>
        <w:rPr>
          <w:sz w:val="19"/>
        </w:rPr>
        <w:t>Deutschland, vergleichbares System – partizipative Forschung übertragbar, erfordert aber Kontinuität und klare Rollen</w:t>
      </w:r>
    </w:p>
    <w:p>
      <w:r>
        <w:rPr>
          <w:color w:val="5A7D3A"/>
          <w:sz w:val="18"/>
        </w:rPr>
        <w:t>https://pubmed.ncbi.nlm.nih.gov/42861438/</w:t>
      </w:r>
    </w:p>
    <w:p>
      <w:pPr>
        <w:pStyle w:val="Heading2"/>
      </w:pPr>
      <w:r>
        <w:t>Gesundheitskompetenz korreliert schwach mit Lebensqualität – Organisationsebene entscheidend</w:t>
      </w:r>
    </w:p>
    <w:p>
      <w:r>
        <w:rPr>
          <w:i/>
          <w:color w:val="666666"/>
          <w:sz w:val="18"/>
        </w:rPr>
        <w:t>Mostoles RJ et al.  ·  J Nurs Manag  ·  2026  ·  PMID 42860772</w:t>
      </w:r>
    </w:p>
    <w:p>
      <w:r>
        <w:t>Querschnittsstudie mit 215 Dialysepatienten in Saudi-Arabien zur Assoziation von Health Literacy und wahrgenommener Familienunterstützung mit nierenbezogener Lebensqualität sowie Implikationen für Pflegeleitung.</w:t>
      </w:r>
    </w:p>
    <w:p>
      <w:r>
        <w:rPr>
          <w:b/>
        </w:rPr>
        <w:t xml:space="preserve">Ergebnis: </w:t>
      </w:r>
      <w:r>
        <w:t>Health Literacy war einziger signifikanter Prädiktor (β=0,19; p=0,012), erklärte aber &lt;7% der Lebensqualitätsvarianz (R²=0,068). Wahrgenommene Familienunterstützung war an der Decke (M=6,99/7,0) und nicht assoziiert (r=−0,09; p=0,188). 91,7% der Patienten hatten geringe Health Literacy; 81,9% wählten verbale statt schriftlicher Information während Dialyse. Schlussfolgerung: Organisatorische Maßnahmen (universelles Teach-Back, Plain Language, Visualisierung) statt Individualinterventionen erforderlich.</w:t>
      </w:r>
    </w:p>
    <w:p>
      <w:r>
        <w:rPr>
          <w:b/>
          <w:sz w:val="19"/>
        </w:rPr>
        <w:t xml:space="preserve">Übertragbarkeit: </w:t>
      </w:r>
      <w:r>
        <w:rPr>
          <w:sz w:val="19"/>
        </w:rPr>
        <w:t>Saudi-Arabien – Strukturelle Unterschiede (Familienzentrierung, Ressourcen), aber Befund zu organisatorischer Verantwortung übertragbar</w:t>
      </w:r>
    </w:p>
    <w:p>
      <w:r>
        <w:rPr>
          <w:color w:val="5A7D3A"/>
          <w:sz w:val="18"/>
        </w:rPr>
        <w:t>https://pubmed.ncbi.nlm.nih.gov/42860772/</w:t>
      </w:r>
    </w:p>
    <w:p>
      <w:pPr>
        <w:pStyle w:val="Heading2"/>
      </w:pPr>
      <w:r>
        <w:t>Health-Literacy-Interventionsstudien sind lückenhaft – standardisierte Messung und Implementierungsberichte fehlen</w:t>
      </w:r>
    </w:p>
    <w:p>
      <w:r>
        <w:rPr>
          <w:i/>
          <w:color w:val="666666"/>
          <w:sz w:val="18"/>
        </w:rPr>
        <w:t>Zhou Y et al.  ·  Health Lit Res Pract  ·  09.10.2026  ·  PMID 42858454</w:t>
      </w:r>
    </w:p>
    <w:p>
      <w:r>
        <w:t>Scoping Review von 117 US-amerikanischen Interventionsstudien (2014–2024) zur Kartierung von Health-Literacy-Messinstrumenten, Implementierungsqualität und Reporting-Praktiken nach RE-AIM-Rahmen.</w:t>
      </w:r>
    </w:p>
    <w:p>
      <w:r>
        <w:rPr>
          <w:b/>
        </w:rPr>
        <w:t xml:space="preserve">Ergebnis: </w:t>
      </w:r>
      <w:r>
        <w:t>71 von 117 Studien berichteten Health-Literacy-Messung; nur 49 nutzten validierte Instrumente. Am häufigsten: Newest Vital Sign, eHealth Literacy Scale, RE-AIM. Trotz starker Repräsentation von Rassen-/Ethnien begrenzte Einbindung von Nicht-Englischsprachigen. Nahezu alle Studien zeigten Effektivität; vorwiegend Verhaltensoutcomes gemessen. RE-AIM-Analyse: erhebliche Lücken in Demografica, Implementierungstreue (nur 18%), Kostenberichte und Nachhaltigkeitsplanung (&lt;10%). Schlussfolgerung: fehlende Standardisierung in Messung und Implementierungsberichte limitieren Vergleichbarkeit und Praxisübertrag.</w:t>
      </w:r>
    </w:p>
    <w:p>
      <w:r>
        <w:rPr>
          <w:b/>
          <w:sz w:val="19"/>
        </w:rPr>
        <w:t xml:space="preserve">Übertragbarkeit: </w:t>
      </w:r>
      <w:r>
        <w:rPr>
          <w:sz w:val="19"/>
        </w:rPr>
        <w:t>USA – Systematische Bewertung übertragbar, aber Tools müssen sprachspezifisch validiert werden</w:t>
      </w:r>
    </w:p>
    <w:p>
      <w:r>
        <w:rPr>
          <w:color w:val="5A7D3A"/>
          <w:sz w:val="18"/>
        </w:rPr>
        <w:t>https://pubmed.ncbi.nlm.nih.gov/42858454/</w:t>
      </w:r>
    </w:p>
    <w:p>
      <w:pPr>
        <w:pStyle w:val="Heading2"/>
      </w:pPr>
      <w:r>
        <w:t>Arztstatus und Einrichtung erklären Studienteilnahme stärker als Patienten-Merkmale</w:t>
      </w:r>
    </w:p>
    <w:p>
      <w:r>
        <w:rPr>
          <w:i/>
          <w:color w:val="666666"/>
          <w:sz w:val="18"/>
        </w:rPr>
        <w:t>Jiang C et al.  ·  JAMA Netw Open  ·  01.10.2026  ·  PMID 42837155</w:t>
      </w:r>
    </w:p>
    <w:p>
      <w:r>
        <w:t>Kohortenstudie mit 205.743 amerikanischen Krebspatienten mit fortgeschrittener/metastasierter Erkrankung (2011–2024) zur Analyse von Variationsquellen in Studienteilnahme mittels gemischter logistischer Regressionsmodelle.</w:t>
      </w:r>
    </w:p>
    <w:p>
      <w:r>
        <w:rPr>
          <w:b/>
        </w:rPr>
        <w:t xml:space="preserve">Ergebnis: </w:t>
      </w:r>
      <w:r>
        <w:t>10.785 Patienten (5,2%) nahmen an Studien teil; Quote stieg von 3,9% (2011) auf 6,8% (2024). Teilnahme stark konzentriert: 389 von 1.664 Ärzten (23,4%) erklären 83,6% aller Anmeldungen; 21 von 107 Einrichtungen (19,6%) 80,5% der Patienten. 494 Ärzte (29,7%) rekrutierten niemandem. Arzt- und Einrichtungsebene erklärten zusammen 27,4% der Varianz, Patientenmerkmale nur 11,4%. Spezialisierung des Arztes (1–2 Indikationen: OR 4,11; 95%-CI 2,53–6,68), frühere Rekrutierungsaktivität (OR 1,58; 95%-CI 1,43–1,76) und Forschungsengagement der Einrichtung (OR 2,68; 95%-CI 2,12–3,39) zeigten höchste Assoziationen.</w:t>
      </w:r>
    </w:p>
    <w:p>
      <w:r>
        <w:rPr>
          <w:b/>
          <w:sz w:val="19"/>
        </w:rPr>
        <w:t xml:space="preserve">Übertragbarkeit: </w:t>
      </w:r>
      <w:r>
        <w:rPr>
          <w:sz w:val="19"/>
        </w:rPr>
        <w:t>USA – Struktur und Organisationskontext universal, aber Gesundheitssystem und Rekrutierungserwartungen andersartig</w:t>
      </w:r>
    </w:p>
    <w:p>
      <w:r>
        <w:rPr>
          <w:color w:val="5A7D3A"/>
          <w:sz w:val="18"/>
        </w:rPr>
        <w:t>https://pubmed.ncbi.nlm.nih.gov/42837155/</w:t>
      </w:r>
    </w:p>
    <w:p>
      <w:pPr>
        <w:pStyle w:val="Heading1"/>
      </w:pPr>
      <w:r>
        <w:t>Aufgenommen am 12.10.2026</w:t>
      </w:r>
    </w:p>
    <w:p>
      <w:pPr>
        <w:pStyle w:val="Heading2"/>
      </w:pPr>
      <w:r>
        <w:t>Digitale Kompetenz fördert Gesundheit älterer Menschen über Sozialbeziehungen</w:t>
      </w:r>
    </w:p>
    <w:p>
      <w:r>
        <w:rPr>
          <w:i/>
          <w:color w:val="666666"/>
          <w:sz w:val="18"/>
        </w:rPr>
        <w:t>Qi MH et al.  ·  Inquiry  ·  11.10.2026  ·  PMID 42859872</w:t>
      </w:r>
    </w:p>
    <w:p>
      <w:r>
        <w:t>Querschnittstudie mit chinesischen Daten (n nicht genannt) zur Assoziation zwischen digitaler Literacy und physischer/psychischer Gesundheit, mit Sozialinteraktion als Mediator (Kausalitätsrahmen: digitale Technologie→Sozialbeziehungen→Gesundheit).</w:t>
      </w:r>
    </w:p>
    <w:p>
      <w:r>
        <w:rPr>
          <w:b/>
        </w:rPr>
        <w:t xml:space="preserve">Ergebnis: </w:t>
      </w:r>
      <w:r>
        <w:t>Digitale Literacy war signifikant positiv mit physischer und psychischer Gesundheit assoziiert; Sozialinteraktion mediierte diese Assoziation bedeutsam. Heterogenitätsanalysen zeigten geschlechtsspezifische Muster: bei Männern Assoziation zur physischen Gesundheit signifikant, bei Frauen zur psychischen Gesundheit; urbaner/ruraler Status hatte keinen signifikanten Unterschied.</w:t>
      </w:r>
    </w:p>
    <w:p>
      <w:r>
        <w:rPr>
          <w:b/>
          <w:sz w:val="19"/>
        </w:rPr>
        <w:t xml:space="preserve">Übertragbarkeit: </w:t>
      </w:r>
      <w:r>
        <w:rPr>
          <w:sz w:val="19"/>
        </w:rPr>
        <w:t>China (CHARLS 2020), aber Mechanismus (digitale Kompetenz→Sozialaktivität→Gesundheit) in Alterungskontexten international relevant.</w:t>
      </w:r>
    </w:p>
    <w:p>
      <w:r>
        <w:rPr>
          <w:color w:val="5A7D3A"/>
          <w:sz w:val="18"/>
        </w:rPr>
        <w:t>https://pubmed.ncbi.nlm.nih.gov/42859872/</w:t>
      </w:r>
    </w:p>
    <w:p>
      <w:pPr>
        <w:pStyle w:val="Heading2"/>
      </w:pPr>
      <w:r>
        <w:t>Webgestützte Schulung verbessert Symptomkontrolle bei häuslicher Beatmung</w:t>
      </w:r>
    </w:p>
    <w:p>
      <w:r>
        <w:rPr>
          <w:i/>
          <w:color w:val="666666"/>
          <w:sz w:val="18"/>
        </w:rPr>
        <w:t>Eriş Ş et al.  ·  Sleep Breath  ·  10.10.2026  ·  PMID 42859312</w:t>
      </w:r>
    </w:p>
    <w:p>
      <w:r>
        <w:t>Randomisierte Studie zur Wirkung einer webgestützten Schulung auf NIV-bezogene Nebenwirkungen und Schlafqualität bei COPD-Patienten mit häuslicher Heimbeatmung (n=75).</w:t>
      </w:r>
    </w:p>
    <w:p>
      <w:r>
        <w:rPr>
          <w:b/>
        </w:rPr>
        <w:t xml:space="preserve">Ergebnis: </w:t>
      </w:r>
      <w:r>
        <w:t>In der Interventionsgruppe sanken die Schlafstörungen (Insomnia Severity Index) signifikant stärker ab als in der Kontrolle (p&lt;0,001, η²p=0,352); bei Woche 8 zeigten sich signifikante Unterschiede zwischen den Gruppen (p&lt;0,001, η²p=0,753 für Gesamt-S³-NIV-Scores). Webgestützte Bildung unterstützte die Symptombewältigung und Patientenanpassung nachweislich.</w:t>
      </w:r>
    </w:p>
    <w:p>
      <w:r>
        <w:rPr>
          <w:b/>
          <w:sz w:val="19"/>
        </w:rPr>
        <w:t xml:space="preserve">Übertragbarkeit: </w:t>
      </w:r>
      <w:r>
        <w:rPr>
          <w:sz w:val="19"/>
        </w:rPr>
        <w:t>Türkei, aber RCT-Design und strukturierte digitale Schulung sind systemunabhängig übertragbar.</w:t>
      </w:r>
    </w:p>
    <w:p>
      <w:r>
        <w:rPr>
          <w:color w:val="5A7D3A"/>
          <w:sz w:val="18"/>
        </w:rPr>
        <w:t>https://pubmed.ncbi.nlm.nih.gov/42859312/</w:t>
      </w:r>
    </w:p>
    <w:p>
      <w:pPr>
        <w:pStyle w:val="Heading2"/>
      </w:pPr>
      <w:r>
        <w:t>Ernährungsschulung reduziert Schlafstörungen unter Chemotherapie</w:t>
      </w:r>
    </w:p>
    <w:p>
      <w:r>
        <w:rPr>
          <w:i/>
          <w:color w:val="666666"/>
          <w:sz w:val="18"/>
        </w:rPr>
        <w:t>Cheng L et al.  ·  Support Care Cancer  ·  10.10.2026  ·  PMID 42859245</w:t>
      </w:r>
    </w:p>
    <w:p>
      <w:r>
        <w:t>RCT zur Wirkung einer 12-wöchigen Schulung zu entzündungshemmender Ernährung auf Schlafqualität bei 132 Brustkrebspatienten unter Chemotherapie.</w:t>
      </w:r>
    </w:p>
    <w:p>
      <w:r>
        <w:rPr>
          <w:b/>
        </w:rPr>
        <w:t xml:space="preserve">Ergebnis: </w:t>
      </w:r>
      <w:r>
        <w:t>Im Kompleteranalyse-Datensatz zeigten 49,2% der Interventionsgruppe vs. 78,9% der Kontrolle Schlafstörungen (p&lt;0,001); PSQI-Score sank um β=-2,10 (95%-KI: -3,01 bis -1,18; p&lt;0,001), Lebensqualität verbesserte sich um β=14,07 (95%-KI: 8,61–19,52; p&lt;0,001). Strukturierte Patientenschulung mit klaren Inhalten änderte Verhalten messbar.</w:t>
      </w:r>
    </w:p>
    <w:p>
      <w:r>
        <w:rPr>
          <w:b/>
          <w:sz w:val="19"/>
        </w:rPr>
        <w:t xml:space="preserve">Übertragbarkeit: </w:t>
      </w:r>
      <w:r>
        <w:rPr>
          <w:sz w:val="19"/>
        </w:rPr>
        <w:t>China, aber evidenzbasierte Schulungsstruktur und schriftliche Materialien sind kulturübergreifend adaptierbar.</w:t>
      </w:r>
    </w:p>
    <w:p>
      <w:r>
        <w:rPr>
          <w:color w:val="5A7D3A"/>
          <w:sz w:val="18"/>
        </w:rPr>
        <w:t>https://pubmed.ncbi.nlm.nih.gov/42859245/</w:t>
      </w:r>
    </w:p>
    <w:p>
      <w:pPr>
        <w:pStyle w:val="Heading2"/>
      </w:pPr>
      <w:r>
        <w:t>Gesundheitskompetenz stärkt erfolgreiches Altern bei älteren Patienten</w:t>
      </w:r>
    </w:p>
    <w:p>
      <w:r>
        <w:rPr>
          <w:i/>
          <w:color w:val="666666"/>
          <w:sz w:val="18"/>
        </w:rPr>
        <w:t>Ibrahim HS et al.  ·  BMC Public Health  ·  09.10.2026  ·  PMID 42855688</w:t>
      </w:r>
    </w:p>
    <w:p>
      <w:r>
        <w:t>Querschnittstudie (n=246, 123 chronisch krank, 123 gesund, Alter ≥65 Jahre) zur Assoziation zwischen Gesundheitskompetenz und erfolgreichem Altern mittels Health Literacy Questionnaire und Successful Aging Scale.</w:t>
      </w:r>
    </w:p>
    <w:p>
      <w:r>
        <w:rPr>
          <w:b/>
        </w:rPr>
        <w:t xml:space="preserve">Ergebnis: </w:t>
      </w:r>
      <w:r>
        <w:t>Patienten mit chronischen Erkrankungen zeigten signifikant niedrigere Gesundheitskompetenz- und erfolgreiches-Altern-Scores als Kontrollen (p&lt;0,001). Gesundheitskompetenz korrelierte positiv mit erfolgreichem Altern (r=0,612, p&lt;0,001) und war der stärkste unabhängige Prädiktor in der Regressionsanalyse; höhere Bildung und Einkommen verbesserten erfolgreiches Altern, Alter, ländlicher Wohnort und Rauchen verschlechterten es.</w:t>
      </w:r>
    </w:p>
    <w:p>
      <w:r>
        <w:rPr>
          <w:b/>
          <w:sz w:val="19"/>
        </w:rPr>
        <w:t xml:space="preserve">Übertragbarkeit: </w:t>
      </w:r>
      <w:r>
        <w:rPr>
          <w:sz w:val="19"/>
        </w:rPr>
        <w:t>Ägypten, aber etablierte Instrumente und Befund (Health Literacy→Aging Outcomes) für Europa/Deutschland adaptierbar.</w:t>
      </w:r>
    </w:p>
    <w:p>
      <w:r>
        <w:rPr>
          <w:color w:val="5A7D3A"/>
          <w:sz w:val="18"/>
        </w:rPr>
        <w:t>https://pubmed.ncbi.nlm.nih.gov/42855688/</w:t>
      </w:r>
    </w:p>
    <w:p>
      <w:pPr>
        <w:pStyle w:val="Heading2"/>
      </w:pPr>
      <w:r>
        <w:t>Zielgruppengerechte Risikokommunikation zu Dopingmitteln in Fitnessstudios</w:t>
      </w:r>
    </w:p>
    <w:p>
      <w:r>
        <w:rPr>
          <w:i/>
          <w:color w:val="666666"/>
          <w:sz w:val="18"/>
        </w:rPr>
        <w:t>Paasch R et al.  ·  Harm Reduct J  ·  23.09.2026  ·  PMID 42823728</w:t>
      </w:r>
    </w:p>
    <w:p>
      <w:r>
        <w:t>Querschnittstudie (n=550 Freizeitsportler) zur Replikation einer 7-Cluster-Typologie von Einstellungen zu Dopingmitteln mittels Theory of Planned Behavior und Health Belief Model, mit qualitativen Illustrationen.</w:t>
      </w:r>
    </w:p>
    <w:p>
      <w:r>
        <w:rPr>
          <w:b/>
        </w:rPr>
        <w:t xml:space="preserve">Ergebnis: </w:t>
      </w:r>
      <w:r>
        <w:t>Sieben heterogene Motivations- und kognitiv-motivationale Profile identifiziert (Silhouetten-Index=0,22, Bootstrap-Stabilität moderat); signifikante Assoziationen mit Anabolika- und Testosterongebrauch, aber nicht mit Wachstumshormonen. Profile zeigen 'Werteabstainer', 'ambivalente Risikonehmer' und 'Leistungsrationaliserer' – heterogene Präventionebedarfe statt Risikokontinuum.</w:t>
      </w:r>
    </w:p>
    <w:p>
      <w:r>
        <w:rPr>
          <w:b/>
          <w:sz w:val="19"/>
        </w:rPr>
        <w:t xml:space="preserve">Übertragbarkeit: </w:t>
      </w:r>
      <w:r>
        <w:rPr>
          <w:sz w:val="19"/>
        </w:rPr>
        <w:t>Deutschland, deutschsprachige Fitnessstudio-Population; Typologien für zielgruppengenaue Harm-Reduction-Kommunikation direkt einsetzbar.</w:t>
      </w:r>
    </w:p>
    <w:p>
      <w:r>
        <w:rPr>
          <w:color w:val="5A7D3A"/>
          <w:sz w:val="18"/>
        </w:rPr>
        <w:t>https://pubmed.ncbi.nlm.nih.gov/42823728/</w:t>
      </w:r>
    </w:p>
    <w:p>
      <w:pPr>
        <w:pStyle w:val="Heading2"/>
      </w:pPr>
      <w:r>
        <w:t>Künstliche Sprachmodelle liefern präzise, aber unpersonalisierte Patienteninformationen</w:t>
      </w:r>
    </w:p>
    <w:p>
      <w:r>
        <w:rPr>
          <w:i/>
          <w:color w:val="666666"/>
          <w:sz w:val="18"/>
        </w:rPr>
        <w:t>Li J et al.  ·  Front Public Health  ·  15.09.2026  ·  PMID 42812281</w:t>
      </w:r>
    </w:p>
    <w:p>
      <w:r>
        <w:t>Vergleichende Bewertung von sechs Large Language Models (ChatGPT, Claude, DeepSeek, Gemini, Grok, Qwen) bei der Beantwortung von 40 Patientenfragen zu Achalasie (n=240 Responses) anhand von Sicherheit, Genauigkeit, Empathie, Informationsqualität und Lesbarkeit.</w:t>
      </w:r>
    </w:p>
    <w:p>
      <w:r>
        <w:rPr>
          <w:b/>
        </w:rPr>
        <w:t xml:space="preserve">Ergebnis: </w:t>
      </w:r>
      <w:r>
        <w:t>27 von 240 Responses (11,3%) als potenziell unsicher bewertet; Genauigkeit unterschied sich signifikant zwischen Modellen (kleiner Effekt). Größere Unterschiede in Empathie, Informationszuverlässigkeit und Lesbarkeit: ChatGPT 5.5 und Gemini 3.1 Pro Thinking erreichten höhere Empathie-Scores, Claude Opus 4.7 zeigte höhere Lesbarkeit-Schwierigkeit. JAMA-Benchmark-Scores waren insgesamt niedrig (mangelhafte Quellenangaben).</w:t>
      </w:r>
    </w:p>
    <w:p>
      <w:r>
        <w:rPr>
          <w:b/>
          <w:sz w:val="19"/>
        </w:rPr>
        <w:t xml:space="preserve">Übertragbarkeit: </w:t>
      </w:r>
      <w:r>
        <w:rPr>
          <w:sz w:val="19"/>
        </w:rPr>
        <w:t>China, aber Evaluationsmethodik (Sicherheit/Genauigkeit/Empathie/Transparenz) für LLM-basierte Patienteninformation international anwendbar.</w:t>
      </w:r>
    </w:p>
    <w:p>
      <w:r>
        <w:rPr>
          <w:color w:val="5A7D3A"/>
          <w:sz w:val="18"/>
        </w:rPr>
        <w:t>https://pubmed.ncbi.nlm.nih.gov/42812281/</w:t>
      </w:r>
    </w:p>
    <w:p>
      <w:pPr>
        <w:pStyle w:val="Heading1"/>
      </w:pPr>
      <w:r>
        <w:t>Aufgenommen am 11.10.2026</w:t>
      </w:r>
    </w:p>
    <w:p>
      <w:pPr>
        <w:pStyle w:val="Heading2"/>
      </w:pPr>
      <w:r>
        <w:t>Digital-gestützte Verhaltenstherapie gegen Schmerz bei Sichelzellerkrankung: Bedeutung der menschlichen Unterstützung</w:t>
      </w:r>
    </w:p>
    <w:p>
      <w:r>
        <w:rPr>
          <w:i/>
          <w:color w:val="666666"/>
          <w:sz w:val="18"/>
        </w:rPr>
        <w:t>Oluwole OB et al.  ·  Ann Behav Med  ·  07.01.2026  ·  PMID 42847392</w:t>
      </w:r>
    </w:p>
    <w:p>
      <w:r>
        <w:t>Randomisierte 12-Monats-Studie mit 359 Erwachsenen zu digitaler kognitiver Verhaltenstherapie versus Edukation für chronische Schmerzen bei Sichelzellerkrankung, beide mit wöchentlicher Health-Coach-Begleitung.</w:t>
      </w:r>
    </w:p>
    <w:p>
      <w:r>
        <w:rPr>
          <w:b/>
        </w:rPr>
        <w:t xml:space="preserve">Ergebnis: </w:t>
      </w:r>
      <w:r>
        <w:t>Nach 12 Monaten: 56,5% Follow-up-Quote (n=203). Keine signifikanten Unterschiede in Schmerzinterferenz zwischen Gruppen [0,43, 95%-KI: -1,61 bis 2,48; p=0,68]. Beide Gruppen zeigten anhaltende Verbesserung von Baseline (CBT: -1,50; Edukation: -1,93). CBT-Gruppe: größere Verbesserung in emotionaler Belastung [2,00, 95%-KI: 0,12-3,88; p=0,04]. Höheres Health-Coach-Engagement assoziiert mit reduzierter Schmerzinterferenz [-0,073 pro 10% Engagement-Anstieg; p&lt;0,01].</w:t>
      </w:r>
    </w:p>
    <w:p>
      <w:r>
        <w:rPr>
          <w:b/>
          <w:sz w:val="19"/>
        </w:rPr>
        <w:t xml:space="preserve">Übertragbarkeit: </w:t>
      </w:r>
      <w:r>
        <w:rPr>
          <w:sz w:val="19"/>
        </w:rPr>
        <w:t>USA, aber Wirkung menschlicher Begleitung in digitalen Interventionen universal.</w:t>
      </w:r>
    </w:p>
    <w:p>
      <w:r>
        <w:rPr>
          <w:color w:val="5A7D3A"/>
          <w:sz w:val="18"/>
        </w:rPr>
        <w:t>https://pubmed.ncbi.nlm.nih.gov/42847392/</w:t>
      </w:r>
    </w:p>
    <w:p>
      <w:pPr>
        <w:pStyle w:val="Heading2"/>
      </w:pPr>
      <w:r>
        <w:t>Pflegende und organisationale Health Literacy: Wie Kliniken Information zugänglich machen</w:t>
      </w:r>
    </w:p>
    <w:p>
      <w:r>
        <w:rPr>
          <w:i/>
          <w:color w:val="666666"/>
          <w:sz w:val="18"/>
        </w:rPr>
        <w:t>Smith GD et al.  ·  Front Public Health  ·  23.09.2026  ·  PMID 42846350</w:t>
      </w:r>
    </w:p>
    <w:p>
      <w:r>
        <w:t>Konzeptuelle Analyse mit fokussierter Mini-Literaturübersicht zu Rolle von Pflegenden bei organisationaler Health Literacy in Kliniken und Praxen.</w:t>
      </w:r>
    </w:p>
    <w:p>
      <w:r>
        <w:rPr>
          <w:b/>
        </w:rPr>
        <w:t xml:space="preserve">Ergebnis: </w:t>
      </w:r>
      <w:r>
        <w:t>Organisationale Health Literacy (statt Individual-Ebene) adressiert, wie Organisationen Information, Services und Care Pathways zugänglich und verständlich machen. Pflegende leisten Beitrag durch: klare Kommunikation, Care Navigation, Shared Decision-Making, Co-Design von Informationsmaterialien, Qualitätsverbesserung, HL-sensitive Systeme. Mapping von Nutbeams HL-Ebenen (funktional, interaktiv, kritisch) auf Organisationsverantwortung gezeigt. Erforderlich: Führungsunterstützung, Personalentwicklung, Assessments, Partnerschaften mit Patienten, Integration in Qualitäts- und Akkreditierungsstrukturen.</w:t>
      </w:r>
    </w:p>
    <w:p>
      <w:r>
        <w:rPr>
          <w:b/>
          <w:sz w:val="19"/>
        </w:rPr>
        <w:t xml:space="preserve">Übertragbarkeit: </w:t>
      </w:r>
      <w:r>
        <w:rPr>
          <w:sz w:val="19"/>
        </w:rPr>
        <w:t>International konzeptuell; Organisationsprinzipien auf deutsches Klinik- und Praxissystem übertragbar.</w:t>
      </w:r>
    </w:p>
    <w:p>
      <w:r>
        <w:rPr>
          <w:color w:val="5A7D3A"/>
          <w:sz w:val="18"/>
        </w:rPr>
        <w:t>https://pubmed.ncbi.nlm.nih.gov/42846350/</w:t>
      </w:r>
    </w:p>
    <w:p>
      <w:pPr>
        <w:pStyle w:val="Heading2"/>
      </w:pPr>
      <w:r>
        <w:t>Familie und soziale Unterstützung fördern Health Literacy bei chronischer Erkrankung</w:t>
      </w:r>
    </w:p>
    <w:p>
      <w:r>
        <w:rPr>
          <w:i/>
          <w:color w:val="666666"/>
          <w:sz w:val="18"/>
        </w:rPr>
        <w:t>Zhang H et al.  ·  Front Public Health  ·  23.09.2026  ·  PMID 42845865</w:t>
      </w:r>
    </w:p>
    <w:p>
      <w:r>
        <w:t>Querschnittsstudie mit 1.444 chinesischen Personen mittleren und höheren Alters mit chronischer Erkrankung zu Zusammenhang von Familiengesundheit, wahrgenommener sozialer Unterstützung und Health Literacy mittels Mediations- und Netzwerkanalyse.</w:t>
      </w:r>
    </w:p>
    <w:p>
      <w:r>
        <w:rPr>
          <w:b/>
        </w:rPr>
        <w:t xml:space="preserve">Ergebnis: </w:t>
      </w:r>
      <w:r>
        <w:t>Familie, soziale Unterstützung und Health Literacy signifikant positiv korreliert (p&lt;0,01). Soziale Unterstützung teilweise Mediator im Zusammenhang Familie-Literacy (indirekter Effekt=0,1818, 95%-KI: 0,1331-0,2307), erklärt 47,38% der Gesamtwirkung. "Family Social and Emotional Health Processes" höchster Zentralitätswert im Netzwerk. Struktur unterschied sich nicht zwischen Geschlecht, urban-rural oder Altersgruppen.</w:t>
      </w:r>
    </w:p>
    <w:p>
      <w:r>
        <w:rPr>
          <w:b/>
          <w:sz w:val="19"/>
        </w:rPr>
        <w:t xml:space="preserve">Übertragbarkeit: </w:t>
      </w:r>
      <w:r>
        <w:rPr>
          <w:sz w:val="19"/>
        </w:rPr>
        <w:t>China, aber Mechanismus familiärer und sozialer Schutzfaktoren für Gesundheitskompetenz auch in Deutschland relevant.</w:t>
      </w:r>
    </w:p>
    <w:p>
      <w:r>
        <w:rPr>
          <w:color w:val="5A7D3A"/>
          <w:sz w:val="18"/>
        </w:rPr>
        <w:t>https://pubmed.ncbi.nlm.nih.gov/42845865/</w:t>
      </w:r>
    </w:p>
    <w:p>
      <w:pPr>
        <w:pStyle w:val="Heading2"/>
      </w:pPr>
      <w:r>
        <w:t>Digital Health Literacy verstärkt Wirkung von Sportumgebung auf Bewegungsaktivität von Jugendlichen</w:t>
      </w:r>
    </w:p>
    <w:p>
      <w:r>
        <w:rPr>
          <w:i/>
          <w:color w:val="666666"/>
          <w:sz w:val="18"/>
        </w:rPr>
        <w:t>Zhang B  ·  Front Public Health  ·  23.09.2026  ·  PMID 42845756</w:t>
      </w:r>
    </w:p>
    <w:p>
      <w:r>
        <w:t>Querschnittstudie mit 2.531 chinesischen Jugendlichen (Durchschnitt 15,2 Jahre) zu Moderationseffekt von digitaler Health Literacy auf Zusammenhang zwischen Schulsportumgebung und körperliche Aktivität (SEM mit latenter Interaktion).</w:t>
      </w:r>
    </w:p>
    <w:p>
      <w:r>
        <w:rPr>
          <w:b/>
        </w:rPr>
        <w:t xml:space="preserve">Ergebnis: </w:t>
      </w:r>
      <w:r>
        <w:t>Schulsportumgebung positiv mit Aktivität assoziiert (β=0,34, p&lt;0,001). Digitale Health Literacy moderierte signifikant (Interaktion β=0,12, p=0,003): Umgebung-Aktivitäts-Pfad stärker bei höherer DHL. Effekt in Stadtschulen (β=0,38) stärker als Landschulen (β=0,29; z=2,87, p=0,004). Moderation signifikant in Urban (β=0,14, p=0,008), nicht in Rural (β=0,07, p=0,14). Digitale Ungleichheiten können zu Bewegungsungleichheiten beitragen.</w:t>
      </w:r>
    </w:p>
    <w:p>
      <w:r>
        <w:rPr>
          <w:b/>
          <w:sz w:val="19"/>
        </w:rPr>
        <w:t xml:space="preserve">Übertragbarkeit: </w:t>
      </w:r>
      <w:r>
        <w:rPr>
          <w:sz w:val="19"/>
        </w:rPr>
        <w:t>China, aber Stadt-Land-Disparität und Moderationseffekt digital-sozialer Faktoren auch auf Deutschland übertragbar.</w:t>
      </w:r>
    </w:p>
    <w:p>
      <w:r>
        <w:rPr>
          <w:color w:val="5A7D3A"/>
          <w:sz w:val="18"/>
        </w:rPr>
        <w:t>https://pubmed.ncbi.nlm.nih.gov/42845756/</w:t>
      </w:r>
    </w:p>
    <w:p>
      <w:pPr>
        <w:pStyle w:val="Heading2"/>
      </w:pPr>
      <w:r>
        <w:t>Selbstmanagement bei Nierenerkrankung: Was Fachpersonal über Unterstützung weiß</w:t>
      </w:r>
    </w:p>
    <w:p>
      <w:r>
        <w:rPr>
          <w:i/>
          <w:color w:val="666666"/>
          <w:sz w:val="18"/>
        </w:rPr>
        <w:t>Patel NA et al.  ·  J Nephrol  ·  10.10.2026  ·  PMID 42598916</w:t>
      </w:r>
    </w:p>
    <w:p>
      <w:r>
        <w:t>Qualitative Studie mit 42 britischen Fachpersonen zur Unterstützung von Selbstmanagement bei chronischer Nierenerkrankung.</w:t>
      </w:r>
    </w:p>
    <w:p>
      <w:r>
        <w:rPr>
          <w:b/>
        </w:rPr>
        <w:t xml:space="preserve">Ergebnis: </w:t>
      </w:r>
      <w:r>
        <w:t>Vier Themenbereiche identifiziert: (1) Gesundheitssystem unterstützt Selbstmanagement nicht ausreichend, (2) Bedarf für individualisierte Ansätze, (3) Verbesserung von Ressourcen nötig, (4) Anforderungen für Gesundheitsgerechtigkeit. Fachpersonal berichtet mangelnde, zugängliche Selbstmanagement-Ressourcen und fordert evidenzbasierte, auf individuelle Bedürfnisse zugeschnittene Interventionen.</w:t>
      </w:r>
    </w:p>
    <w:p>
      <w:r>
        <w:rPr>
          <w:b/>
          <w:sz w:val="19"/>
        </w:rPr>
        <w:t xml:space="preserve">Übertragbarkeit: </w:t>
      </w:r>
      <w:r>
        <w:rPr>
          <w:sz w:val="19"/>
        </w:rPr>
        <w:t>UK-NHS-Kontext, aber identifizierte Systemprobleme in anderen Ländern ähnlich relevant.</w:t>
      </w:r>
    </w:p>
    <w:p>
      <w:r>
        <w:rPr>
          <w:color w:val="5A7D3A"/>
          <w:sz w:val="18"/>
        </w:rPr>
        <w:t>https://pubmed.ncbi.nlm.nih.gov/42598916/</w:t>
      </w:r>
    </w:p>
    <w:p>
      <w:pPr>
        <w:pStyle w:val="Heading2"/>
      </w:pPr>
      <w:r>
        <w:t>Digital Health Literacy bei Nierenerkrankung: Probleme bei der Nutzung digitaler Gesundheitsinformation</w:t>
      </w:r>
    </w:p>
    <w:p>
      <w:r>
        <w:rPr>
          <w:i/>
          <w:color w:val="666666"/>
          <w:sz w:val="18"/>
        </w:rPr>
        <w:t>Totaro M et al.  ·  J Nephrol  ·  10.10.2026  ·  PMID 42583872</w:t>
      </w:r>
    </w:p>
    <w:p>
      <w:r>
        <w:t>Querschnittsstudie mit 323 italienischen Patienten zur digitalen Gesundheitskompetenz (HLS19-DIGI-Tool) bei chronischer Nierenerkrankung.</w:t>
      </w:r>
    </w:p>
    <w:p>
      <w:r>
        <w:rPr>
          <w:b/>
        </w:rPr>
        <w:t xml:space="preserve">Ergebnis: </w:t>
      </w:r>
      <w:r>
        <w:t>"Problematische" Level beim Umgang mit digitalen Gesundheitsinformationen, "ausreichende" Level bei Interaktion mit digitalen Ressourcen gefunden. Älter, geringere Bildung und Arbeitslosigkeit (Rentner) = schlechtere Fähigkeiten; bessere Kompetenz bei höherem Einkommen, digitaler Schulung und regelmäßiger Geräte-Nutzung (1-3 Tage/Woche). Gezielte Interventionen zur Förderung digitaler Health Literacy empfohlen.</w:t>
      </w:r>
    </w:p>
    <w:p>
      <w:r>
        <w:rPr>
          <w:b/>
          <w:sz w:val="19"/>
        </w:rPr>
        <w:t xml:space="preserve">Übertragbarkeit: </w:t>
      </w:r>
      <w:r>
        <w:rPr>
          <w:sz w:val="19"/>
        </w:rPr>
        <w:t>Italienisches Versicherungssystem, aber Ungleichheitsprofile und digitale Barrieren auch auf Deutschland übertragbar.</w:t>
      </w:r>
    </w:p>
    <w:p>
      <w:r>
        <w:rPr>
          <w:color w:val="5A7D3A"/>
          <w:sz w:val="18"/>
        </w:rPr>
        <w:t>https://pubmed.ncbi.nlm.nih.gov/42583872/</w:t>
      </w:r>
    </w:p>
    <w:p>
      <w:pPr>
        <w:pStyle w:val="Heading1"/>
      </w:pPr>
      <w:r>
        <w:t>Aufgenommen am 10.10.2026</w:t>
      </w:r>
    </w:p>
    <w:p>
      <w:pPr>
        <w:pStyle w:val="Heading2"/>
      </w:pPr>
      <w:r>
        <w:t>WeChat-Beiträge zu Brusterkrankungen: Verständlichkeit und Entscheidungsunterstützung mangelhaft</w:t>
      </w:r>
    </w:p>
    <w:p>
      <w:r>
        <w:rPr>
          <w:i/>
          <w:color w:val="666666"/>
          <w:sz w:val="18"/>
        </w:rPr>
        <w:t>Li J et al.  ·  JMIR Med Inform  ·  09.10.2026  ·  PMID 42854188</w:t>
      </w:r>
    </w:p>
    <w:p>
      <w:r>
        <w:t>Chinesische Querschnittsanalyse von 464 Artikeln zu gutartigen Brusterkrankungen auf 158 Krankenhaus-WeChat-Kanälen, bewertet auf Zugänglichkeit (Lesbarkeit, Bilder) und Shared Decision Making-Reife nach validierten Instrumenten (PEMAT-P, DISCERN, QUEST).</w:t>
      </w:r>
    </w:p>
    <w:p>
      <w:r>
        <w:rPr>
          <w:b/>
        </w:rPr>
        <w:t xml:space="preserve">Ergebnis: </w:t>
      </w:r>
      <w:r>
        <w:t>Gute Zugänglichkeit: 72,4% auf Niveau Mittlere Reife geschrieben; aber begrenzte Handlungsfähigkeit (PEMAT-P Actionability-Score 50% ± 23,2%, Mittelwert). Schwache Entscheidungsunterstützung: QUEST-Score 14,9 ± 4,7 von 28; 84,3% der Artikel unterschritten Qualitätsschwelle. Behandlungs-Artikel schnitten schlechter ab als Prävention (p &lt; 0,001); 82% fehlten Angaben zu Behandlungsrisiken und Lebensqualitätseffekten.</w:t>
      </w:r>
    </w:p>
    <w:p>
      <w:r>
        <w:rPr>
          <w:b/>
          <w:sz w:val="19"/>
        </w:rPr>
        <w:t xml:space="preserve">Übertragbarkeit: </w:t>
      </w:r>
      <w:r>
        <w:rPr>
          <w:sz w:val="19"/>
        </w:rPr>
        <w:t>China, andere Plattform und Dokumententyp; Befund zur Qualitätslücke bei Online-Patienteninformation übertragbar.</w:t>
      </w:r>
    </w:p>
    <w:p>
      <w:r>
        <w:rPr>
          <w:color w:val="5A7D3A"/>
          <w:sz w:val="18"/>
        </w:rPr>
        <w:t>https://pubmed.ncbi.nlm.nih.gov/42854188/</w:t>
      </w:r>
    </w:p>
    <w:p>
      <w:pPr>
        <w:pStyle w:val="Heading2"/>
      </w:pPr>
      <w:r>
        <w:t>Patienteneinbeziehung in der Psychose-Behandlung: DIALOG+ strukturiert Gesprächsziele und geteilte Entscheidungen</w:t>
      </w:r>
    </w:p>
    <w:p>
      <w:r>
        <w:rPr>
          <w:i/>
          <w:color w:val="666666"/>
          <w:sz w:val="18"/>
        </w:rPr>
        <w:t>Lundmark M et al.  ·  BMC Psychiatry  ·  17.09.2026  ·  PMID 42850597</w:t>
      </w:r>
    </w:p>
    <w:p>
      <w:r>
        <w:t>Qualitative Studie mit 14 Fachkräften in schwedischen Psychose-Ambulanzen, die Erfahrungen mit DIALOG+ (strukturiertes digitales Werkzeug für Patient*innenbeteiligung) in Fokusgruppen beschrieben.</w:t>
      </w:r>
    </w:p>
    <w:p>
      <w:r>
        <w:rPr>
          <w:b/>
        </w:rPr>
        <w:t xml:space="preserve">Ergebnis: </w:t>
      </w:r>
      <w:r>
        <w:t>DIALOG+ ermöglichte es Patient*innen, ihre Bedürfnisse deutlicher zu äußern und eine aktivere Rolle im Gespräch zu übernehmen. Die strukturierte Methode verteilte Verantwortung für Entscheidungen und Nachbetreuung zwischen Patient*innen und Fachkräften. Herausforderung: Spannung zwischen Patient*innen-geleiteter Agenda und professioneller Verantwortung erfordert Unterstützung der Fachkräfte in neuen Rollen.</w:t>
      </w:r>
    </w:p>
    <w:p>
      <w:r>
        <w:rPr>
          <w:b/>
          <w:sz w:val="19"/>
        </w:rPr>
        <w:t xml:space="preserve">Übertragbarkeit: </w:t>
      </w:r>
      <w:r>
        <w:rPr>
          <w:sz w:val="19"/>
        </w:rPr>
        <w:t>Schweden, Shared Decision Making in Regelversorgung; systemische Übertragbarkeit auf deutsches Gatekeeping-freies Versorgungsmodell begrenzt.</w:t>
      </w:r>
    </w:p>
    <w:p>
      <w:r>
        <w:rPr>
          <w:color w:val="5A7D3A"/>
          <w:sz w:val="18"/>
        </w:rPr>
        <w:t>https://pubmed.ncbi.nlm.nih.gov/42850597/</w:t>
      </w:r>
    </w:p>
    <w:p>
      <w:pPr>
        <w:pStyle w:val="Heading2"/>
      </w:pPr>
      <w:r>
        <w:t>Gesundheitsrahmen in Umweltbotschaften: Was fördert Verhalten, was nur Intention?</w:t>
      </w:r>
    </w:p>
    <w:p>
      <w:r>
        <w:rPr>
          <w:i/>
          <w:color w:val="666666"/>
          <w:sz w:val="18"/>
        </w:rPr>
        <w:t>Chan FHF et al.  ·  Ann Behav Med  ·  07.01.2026  ·  PMID 42847353</w:t>
      </w:r>
    </w:p>
    <w:p>
      <w:r>
        <w:t>Systematische Übersichtsarbeit mit qualitativer Synthesemethode von 46 Studien (54 Substudien) zum Effekt von Gesundheitsframing in Umwelt-Kommunikationsmaßnahmen, überwiegend RCTs in reichen, englischsprachigen Ländern (n &gt; 180.000 Personen).</w:t>
      </w:r>
    </w:p>
    <w:p>
      <w:r>
        <w:rPr>
          <w:b/>
        </w:rPr>
        <w:t xml:space="preserve">Ergebnis: </w:t>
      </w:r>
      <w:r>
        <w:t>Gesundheits-gerahmte Umweltbotschaften werden als verständlich und hilfreich wahrgenommen, insbesondere mit Gewinn-Framing und Präventions-Fokus. Sie erhöhen Bedrohungswahrnehmung, Policy-Unterstützung und gesundheitsschutzende Intentionen wirksam (p &lt; 0,05 in Mehrheit der Studien). Aber: Wirkung auf nachhaltige Verhaltensänderung und Advocacy-Verhalten inkonsistent; Handeln bleibt deutlich hinter Intention zurück.</w:t>
      </w:r>
    </w:p>
    <w:p>
      <w:r>
        <w:rPr>
          <w:b/>
          <w:sz w:val="19"/>
        </w:rPr>
        <w:t xml:space="preserve">Übertragbarkeit: </w:t>
      </w:r>
      <w:r>
        <w:rPr>
          <w:sz w:val="19"/>
        </w:rPr>
        <w:t>Überwiegend anglophone Länder, aber Fragestellung kultur- und systemunabhängig; Befund zur Intentions-Verhaltens-Lücke grundlegend.</w:t>
      </w:r>
    </w:p>
    <w:p>
      <w:r>
        <w:rPr>
          <w:color w:val="5A7D3A"/>
          <w:sz w:val="18"/>
        </w:rPr>
        <w:t>https://pubmed.ncbi.nlm.nih.gov/42847353/</w:t>
      </w:r>
    </w:p>
    <w:p>
      <w:pPr>
        <w:pStyle w:val="Heading2"/>
      </w:pPr>
      <w:r>
        <w:t>Surgical Sidekick: Schulung zur Gesundheitskompetenz bei Kopf-Hals-Krebs verbessert Verständnis und Selbstermächtigung</w:t>
      </w:r>
    </w:p>
    <w:p>
      <w:r>
        <w:rPr>
          <w:i/>
          <w:color w:val="666666"/>
          <w:sz w:val="18"/>
        </w:rPr>
        <w:t>Merkovsky S et al.  ·  Clin J Oncol Nurs  ·  30.09.2026  ·  PMID 42832320</w:t>
      </w:r>
    </w:p>
    <w:p>
      <w:r>
        <w:t>Qualitätsmessungs-Pilot einer Ressource zur Verbesserung von Gesundheitskompetenz und Patient*innen-Ermächtigung bei Kopf-Hals-Krebs-Operation; Pflegekräfte führten das Werkzeug bei Diagnosebestätigung ein (Maßnahme beschrieben, Wirkungsmessung im Abstract nicht vollständig benannt).</w:t>
      </w:r>
    </w:p>
    <w:p>
      <w:r>
        <w:rPr>
          <w:b/>
        </w:rPr>
        <w:t xml:space="preserve">Ergebnis: </w:t>
      </w:r>
      <w:r>
        <w:t>Projekt läuft seit Februar 2025; knapp 100 Drainagen wurden bisher erfolgreich zu Hause entfernt ohne berichtete Komplikationen (kein Vergleich mit Kontrolle, Fallzahl begrenzt). Aussage nur zu Machbarkeit und Sicherheit, nicht zu Gesundheitskompetenz-Effekt oder Verhaltensänderung mess bar benannt.</w:t>
      </w:r>
    </w:p>
    <w:p>
      <w:r>
        <w:rPr>
          <w:b/>
          <w:sz w:val="19"/>
        </w:rPr>
        <w:t xml:space="preserve">Übertragbarkeit: </w:t>
      </w:r>
      <w:r>
        <w:rPr>
          <w:sz w:val="19"/>
        </w:rPr>
        <w:t>USA - einzelnes Krankenhaus; explorativer Bericht ohne robustes Wirkungsdesign, daher limitierte Aussagekraft.</w:t>
      </w:r>
    </w:p>
    <w:p>
      <w:r>
        <w:rPr>
          <w:color w:val="5A7D3A"/>
          <w:sz w:val="18"/>
        </w:rPr>
        <w:t>https://pubmed.ncbi.nlm.nih.gov/42832320/</w:t>
      </w:r>
    </w:p>
    <w:p>
      <w:pPr>
        <w:pStyle w:val="Heading2"/>
      </w:pPr>
      <w:r>
        <w:t>Künstliche Sprachmodelle bei Herpes zoster: Sicherheit und Lesbarkeit für Patient*innen kritisch</w:t>
      </w:r>
    </w:p>
    <w:p>
      <w:r>
        <w:rPr>
          <w:i/>
          <w:color w:val="666666"/>
          <w:sz w:val="18"/>
        </w:rPr>
        <w:t>Liang D et al.  ·  Front Public Health  ·  16.09.2026  ·  PMID 42819370</w:t>
      </w:r>
    </w:p>
    <w:p>
      <w:r>
        <w:t>Standardisierte Bewertung von fünf großen Sprachmodellen (ChatGPT, DeepSeek, Doubao, Gemini, Qwen) zu 46 Fragen über Herpes zoster auf Sicherheit, Genauigkeit, Einfühlsamkeit, Quellenangabe und Lesbarkeit durch drei Dermatologen (Kappa für Sicherheit 0,682).</w:t>
      </w:r>
    </w:p>
    <w:p>
      <w:r>
        <w:rPr>
          <w:b/>
        </w:rPr>
        <w:t xml:space="preserve">Ergebnis: </w:t>
      </w:r>
      <w:r>
        <w:t>Von 230 Antworten: 66 (28,7%) als potenziell unsicher bewertet (kein signifikanter Unterschied zwischen Modellen, Cochran Q p = 0,798). Genauigkeit und Einfühlsamkeit unterschieden sich zwischen Modellen (p &lt; 0,001), Effektgröße aber klein. Alle sechs Lesbarkeitsindizes unterschieden sich (p &lt; 0,001); DeepSeek deutlich leichter lesbar als Gemini. Quellenangabe und Offenlegung durchgängig dünn.</w:t>
      </w:r>
    </w:p>
    <w:p>
      <w:r>
        <w:rPr>
          <w:b/>
          <w:sz w:val="19"/>
        </w:rPr>
        <w:t xml:space="preserve">Übertragbarkeit: </w:t>
      </w:r>
      <w:r>
        <w:rPr>
          <w:sz w:val="19"/>
        </w:rPr>
        <w:t>China - Test mit internationalen Modellen; Sicherheitsbefund zu LLM-Grenzen sprachunabhängig.</w:t>
      </w:r>
    </w:p>
    <w:p>
      <w:r>
        <w:rPr>
          <w:color w:val="5A7D3A"/>
          <w:sz w:val="18"/>
        </w:rPr>
        <w:t>https://pubmed.ncbi.nlm.nih.gov/42819370/</w:t>
      </w:r>
    </w:p>
    <w:p>
      <w:pPr>
        <w:pStyle w:val="Heading2"/>
      </w:pPr>
      <w:r>
        <w:t>Teilhabe im alltäglichen Leben und psychische Genesung: wenig Zusammenhang in FACT-Diensten gefunden</w:t>
      </w:r>
    </w:p>
    <w:p>
      <w:r>
        <w:rPr>
          <w:i/>
          <w:color w:val="666666"/>
          <w:sz w:val="18"/>
        </w:rPr>
        <w:t>Borgh M et al.  ·  Nord J Psychiatry  ·  07.09.2026  ·  PMID 42706860</w:t>
      </w:r>
    </w:p>
    <w:p>
      <w:r>
        <w:t>Beobachtungsstudie mit Sekundärdaten von 83 Personen mit komplexen psychischen Erkrankungen in schwedischen Flexible Assertive Community Treatment-Diensten; Assoziationen zwischen Teilhabe-Domänen (Arbeit, Wohnsituation, Partnerschaft, Freundschaften) und persönlicher Genesung bzw. Lebensqualität nach 12 Monaten mittels multipler linearer Regression geprüft.</w:t>
      </w:r>
    </w:p>
    <w:p>
      <w:r>
        <w:rPr>
          <w:b/>
        </w:rPr>
        <w:t xml:space="preserve">Ergebnis: </w:t>
      </w:r>
      <w:r>
        <w:t>Personen, die allein lebten, zeigten höhere Lebensqualitäts-Scores als die mit Partner oder Familie (signifikant). Keine anderen signifikanten Assoziationen gefunden. Autoren interpretieren: FACT-Modell könnte persönliche Genesung über breites Spektrum von Teilhabe-Unterschieden unterstützen; aber Ergebnis unter methodischen Einschränkungen zu interpretieren (kleine Stichprobe, begrenzte Varianz).</w:t>
      </w:r>
    </w:p>
    <w:p>
      <w:r>
        <w:rPr>
          <w:b/>
          <w:sz w:val="19"/>
        </w:rPr>
        <w:t xml:space="preserve">Übertragbarkeit: </w:t>
      </w:r>
      <w:r>
        <w:rPr>
          <w:sz w:val="19"/>
        </w:rPr>
        <w:t>Schweden, mentale Gesundheit in Gemeindesetting; Übertragbarkeit auf Deutschland begrenzt durch Systemunterschiede.</w:t>
      </w:r>
    </w:p>
    <w:p>
      <w:r>
        <w:rPr>
          <w:color w:val="5A7D3A"/>
          <w:sz w:val="18"/>
        </w:rPr>
        <w:t>https://pubmed.ncbi.nlm.nih.gov/42706860/</w:t>
      </w:r>
    </w:p>
    <w:p>
      <w:pPr>
        <w:pStyle w:val="Heading1"/>
      </w:pPr>
      <w:r>
        <w:t>Aufgenommen am 09.10.2026</w:t>
      </w:r>
    </w:p>
    <w:p>
      <w:pPr>
        <w:pStyle w:val="Heading2"/>
      </w:pPr>
      <w:r>
        <w:t>Verständliche Online-Psychoedukation für ADHS: Reichweite, Nutzung und praktischer Nutzen</w:t>
      </w:r>
    </w:p>
    <w:p>
      <w:r>
        <w:rPr>
          <w:i/>
          <w:color w:val="666666"/>
          <w:sz w:val="18"/>
        </w:rPr>
        <w:t>Lui JHL et al.  ·  Evid Based Pract Child Adolesc Ment Health  ·  02.02.2025  ·  PMID 42847838</w:t>
      </w:r>
    </w:p>
    <w:p>
      <w:r>
        <w:t>Entwicklung und Verbreitung von TOOLS, einer kostenlosen webgestützten Psychoedukation mit 11 animierten Videos zu Organisations- und Verhaltensstrategien für Jugendliche und Erwachsene mit ADHS, verfügbar in Englisch, Mandarin und Spanisch; Analyse von Nutzung und wahrgenommener Wirksamkeit.</w:t>
      </w:r>
    </w:p>
    <w:p>
      <w:r>
        <w:rPr>
          <w:b/>
        </w:rPr>
        <w:t xml:space="preserve">Ergebnis: </w:t>
      </w:r>
      <w:r>
        <w:t>Oktober 2021–Oktober 2022: 19.876 eindeutige Seitenzugriffe, 12.631 Video-Klicks, 7.807 Handout-Klicks. 128 Nutzer (Alter 40 Jahre, 85,9% weiblich) bewerteten Hilfreichtum mit Ø 3,14/4, beabsichtigte Nutzung 3,13/4, tatsächliche Nutzung nach 1 Monat 2,53/4. Positive Rückmeldungen: Verständlichkeit, Informativität, Praxisnähe, visuell ansprechend.</w:t>
      </w:r>
    </w:p>
    <w:p>
      <w:r>
        <w:rPr>
          <w:b/>
          <w:sz w:val="19"/>
        </w:rPr>
        <w:t xml:space="preserve">Übertragbarkeit: </w:t>
      </w:r>
      <w:r>
        <w:rPr>
          <w:sz w:val="19"/>
        </w:rPr>
        <w:t>Nordamerika, aber sprachunabhängig; zeigt Machbarkeit verständlicher digitaler Psychoedukation; Lesbarkeit und Engagement sind übertragbar.</w:t>
      </w:r>
    </w:p>
    <w:p>
      <w:r>
        <w:rPr>
          <w:color w:val="5A7D3A"/>
          <w:sz w:val="18"/>
        </w:rPr>
        <w:t>https://pubmed.ncbi.nlm.nih.gov/42847838/</w:t>
      </w:r>
    </w:p>
    <w:p>
      <w:pPr>
        <w:pStyle w:val="Heading2"/>
      </w:pPr>
      <w:r>
        <w:t>Health Literacy bestimmt Wirkung von Restaurant-Nährwertkennzeichnung</w:t>
      </w:r>
    </w:p>
    <w:p>
      <w:r>
        <w:rPr>
          <w:i/>
          <w:color w:val="666666"/>
          <w:sz w:val="18"/>
        </w:rPr>
        <w:t>Yu YS et al.  ·  Ann Behav Med  ·  07.01.2026  ·  PMID 42847396</w:t>
      </w:r>
    </w:p>
    <w:p>
      <w:r>
        <w:t>Online-Randomisierte Studie mit 2829 US-amerikanischen Erwachsenen, die ein von 8 Fast-Food-Menüs wählten (Variation: Kalorien-Labels ja/nein, Natrium-Stoplicht-Symbole, Werbeaussagen); Effekt auf bestellte Kalorien und Natrium nach Health Literacy untersucht.</w:t>
      </w:r>
    </w:p>
    <w:p>
      <w:r>
        <w:rPr>
          <w:b/>
        </w:rPr>
        <w:t xml:space="preserve">Ergebnis: </w:t>
      </w:r>
      <w:r>
        <w:t>Nur Teilnehmer mit moderater Health Literacy zeigten signifikante Unterschiede: 90–135 kcal weniger und 123–154 mg Natrium weniger beim Einsatz von Labels (nominal p&lt;0,05). Bei niedriger oder hoher Literacy keine signifikanten Unterschiede. Menu Labeling wirkt nicht gleichmäßig; Effektivität hängt von Fähigkeit zur Informationsinterpretation ab.</w:t>
      </w:r>
    </w:p>
    <w:p>
      <w:r>
        <w:rPr>
          <w:b/>
          <w:sz w:val="19"/>
        </w:rPr>
        <w:t xml:space="preserve">Übertragbarkeit: </w:t>
      </w:r>
      <w:r>
        <w:rPr>
          <w:sz w:val="19"/>
        </w:rPr>
        <w:t>USA, aber Befund zur Ungleichheit ist sprachunabhängig; intuitivere Labels könnten Gerechtigkeit und Effektivität von Ernährungspolitik verbessern.</w:t>
      </w:r>
    </w:p>
    <w:p>
      <w:r>
        <w:rPr>
          <w:color w:val="5A7D3A"/>
          <w:sz w:val="18"/>
        </w:rPr>
        <w:t>https://pubmed.ncbi.nlm.nih.gov/42847396/</w:t>
      </w:r>
    </w:p>
    <w:p>
      <w:pPr>
        <w:pStyle w:val="Heading2"/>
      </w:pPr>
      <w:r>
        <w:t>Strukturierte Psychoedukation verbessert Empowerment bei schweren psychischen Erkrankungen</w:t>
      </w:r>
    </w:p>
    <w:p>
      <w:r>
        <w:rPr>
          <w:i/>
          <w:color w:val="666666"/>
          <w:sz w:val="18"/>
        </w:rPr>
        <w:t>Veltro F et al.  ·  Riv Psichiatr  ·  Sept. 2026  ·  PMID 42847035</w:t>
      </w:r>
    </w:p>
    <w:p>
      <w:r>
        <w:t>Randomisierte Studie an 60 Patienten mit schweren psychischen Erkrankungen (davon 59 ausgewertet), die eine strukturierte Psychoeducational Intervention (FM&amp;R-GR) erhielten, versus Kontrollgruppe mit weniger strukturiertem Manual über 12 Monate.</w:t>
      </w:r>
    </w:p>
    <w:p>
      <w:r>
        <w:rPr>
          <w:b/>
        </w:rPr>
        <w:t xml:space="preserve">Ergebnis: </w:t>
      </w:r>
      <w:r>
        <w:t>Empowerment (NEL-Score), Distress und psychosoziale Funktionsfähigkeit (PSPS) zeigten statistisch signifikante Verbesserungen (p&lt;0,001 bzw. p&lt;0,05). In der Interventionsgruppe 56,3% (27/48), in der Kontrollgruppe 43,75% (21/48) schlossen ab. Strukturierte Psychoedukation wirkt messbar auf primäre Zielgrößen.</w:t>
      </w:r>
    </w:p>
    <w:p>
      <w:r>
        <w:rPr>
          <w:b/>
          <w:sz w:val="19"/>
        </w:rPr>
        <w:t xml:space="preserve">Übertragbarkeit: </w:t>
      </w:r>
      <w:r>
        <w:rPr>
          <w:sz w:val="19"/>
        </w:rPr>
        <w:t>Italien, vergleichbares EU-Gesundheitssystem; Übertragbarkeit auf spezialisierte psychosoziale Versorgung in Deutschland gegeben.</w:t>
      </w:r>
    </w:p>
    <w:p>
      <w:r>
        <w:rPr>
          <w:color w:val="5A7D3A"/>
          <w:sz w:val="18"/>
        </w:rPr>
        <w:t>https://pubmed.ncbi.nlm.nih.gov/42847035/</w:t>
      </w:r>
    </w:p>
    <w:p>
      <w:pPr>
        <w:pStyle w:val="Heading2"/>
      </w:pPr>
      <w:r>
        <w:t>Medikamentenkompetenz bei älteren Patienten mit Herzkrankheit und Diabetes</w:t>
      </w:r>
    </w:p>
    <w:p>
      <w:r>
        <w:rPr>
          <w:i/>
          <w:color w:val="666666"/>
          <w:sz w:val="18"/>
        </w:rPr>
        <w:t>Pan X et al.  ·  Front Public Health  ·  23.09.2026  ·  PMID 42846411</w:t>
      </w:r>
    </w:p>
    <w:p>
      <w:r>
        <w:t>Querschnittstudie an 254 hospitalisierten Patienten mittleren Alters und älter mit koexistierender koronarer Herzkrankheit und Typ-2-Diabetes in einer Klinik in Chongqing, China; Messung von Medikamentenkompetenz und assoziierten Faktoren.</w:t>
      </w:r>
    </w:p>
    <w:p>
      <w:r>
        <w:rPr>
          <w:b/>
        </w:rPr>
        <w:t xml:space="preserve">Ergebnis: </w:t>
      </w:r>
      <w:r>
        <w:t>Mittlerer Medikamentenkompetenz-Score 74,05±12,23. Hierarchische Regression zeigte signifikante Assoziationen mit: Beteiligung an Medikationsentscheidungen, soziale Unterstützung, Bildungsniveau, Selbstwirksamkeit, Wohnort und Fähigkeit, Beipackzettel zu verstehen (alle p&lt;0,05). Medikamentenkompetenz hat Verbesserungspotential und hängt von individuellen, sozialen und Versorgungsfaktoren ab.</w:t>
      </w:r>
    </w:p>
    <w:p>
      <w:r>
        <w:rPr>
          <w:b/>
          <w:sz w:val="19"/>
        </w:rPr>
        <w:t xml:space="preserve">Übertragbarkeit: </w:t>
      </w:r>
      <w:r>
        <w:rPr>
          <w:sz w:val="19"/>
        </w:rPr>
        <w:t>China, ähnliche chronische Krankheitslast; Befund zur Bedeutung von Shared Decision Making und Sozialunterstützung generalisierbar.</w:t>
      </w:r>
    </w:p>
    <w:p>
      <w:r>
        <w:rPr>
          <w:color w:val="5A7D3A"/>
          <w:sz w:val="18"/>
        </w:rPr>
        <w:t>https://pubmed.ncbi.nlm.nih.gov/42846411/</w:t>
      </w:r>
    </w:p>
    <w:p>
      <w:pPr>
        <w:pStyle w:val="Heading2"/>
      </w:pPr>
      <w:r>
        <w:t>Patientenbeteiligung in der Intensivmedizin: Wie sinnvoll ist die Mitwirkung wirklich?</w:t>
      </w:r>
    </w:p>
    <w:p>
      <w:r>
        <w:rPr>
          <w:i/>
          <w:color w:val="666666"/>
          <w:sz w:val="18"/>
        </w:rPr>
        <w:t>Collet MO et al.  ·  Nurs Crit Care  ·  Nov. 2026  ·  PMID 42844890</w:t>
      </w:r>
    </w:p>
    <w:p>
      <w:r>
        <w:t>Befragung von 37 Teilnehmern (80,4% Rücklauf) an dänischen Forschungsgremien zur Entwicklung von Kernergebnisindikatoren für Intensivpatienten, um Qualität der Patientenbeteiligung (PEIRS-22-Skala) zu messen.</w:t>
      </w:r>
    </w:p>
    <w:p>
      <w:r>
        <w:rPr>
          <w:b/>
        </w:rPr>
        <w:t xml:space="preserve">Ergebnis: </w:t>
      </w:r>
      <w:r>
        <w:t>Median-Score 78 (Spanne 68–93), 72% erreichten Wert ≥70,1 für sinnvolle Beteiligung. Unterschiede nach Rolle signifikant (p=0,004): Forscher 97, Patienten/Angehörige 89, klinisches Personal 74. Beteiligung insgesamt sinnvoll, aber Unterschiede zwischen Stakeholdern und Defizite in Entscheidungsmitsprache.</w:t>
      </w:r>
    </w:p>
    <w:p>
      <w:r>
        <w:rPr>
          <w:b/>
          <w:sz w:val="19"/>
        </w:rPr>
        <w:t xml:space="preserve">Übertragbarkeit: </w:t>
      </w:r>
      <w:r>
        <w:rPr>
          <w:sz w:val="19"/>
        </w:rPr>
        <w:t>Dänemark, nordisches Versicherungssystem; zeigt Messbares für Verbesserung von Shared Decision Making in der Intensivforschung.</w:t>
      </w:r>
    </w:p>
    <w:p>
      <w:r>
        <w:rPr>
          <w:color w:val="5A7D3A"/>
          <w:sz w:val="18"/>
        </w:rPr>
        <w:t>https://pubmed.ncbi.nlm.nih.gov/42844890/</w:t>
      </w:r>
    </w:p>
    <w:p>
      <w:pPr>
        <w:pStyle w:val="Heading2"/>
      </w:pPr>
      <w:r>
        <w:t>Patientenbeteiligung in klinischen Audits: ein pragmatisches Organisationsmodell</w:t>
      </w:r>
    </w:p>
    <w:p>
      <w:r>
        <w:rPr>
          <w:i/>
          <w:color w:val="666666"/>
          <w:sz w:val="18"/>
        </w:rPr>
        <w:t>El Hadidi S et al.  ·  Health Policy  ·  23.09.2026  ·  PMID 42810162</w:t>
      </w:r>
    </w:p>
    <w:p>
      <w:r>
        <w:t>Dokumentenanalyse von 23 öffentlichen Dokumenten der irischen National Office of Clinical Audit (NOCA, 2012–2025) zu Struktur und Operationalisierung von Patientenbeteiligung in nationalen Audits.</w:t>
      </w:r>
    </w:p>
    <w:p>
      <w:r>
        <w:rPr>
          <w:b/>
        </w:rPr>
        <w:t xml:space="preserve">Ergebnis: </w:t>
      </w:r>
      <w:r>
        <w:t>Vier Implementierungsmechanismen identifiziert: Governance-Integration, Portfolio-Koordination, Co-Produktion von Öffentlichkeitsmaterialien und institutionelle Unterstützungsstrukturen. NOCA zeigt, wie Patientenbeteiligung in nationale Audit-Infrastruktur als dauerhafte Governance- und Rechenschaftsfunktion eingebaut werden kann.</w:t>
      </w:r>
    </w:p>
    <w:p>
      <w:r>
        <w:rPr>
          <w:b/>
          <w:sz w:val="19"/>
        </w:rPr>
        <w:t xml:space="preserve">Übertragbarkeit: </w:t>
      </w:r>
      <w:r>
        <w:rPr>
          <w:sz w:val="19"/>
        </w:rPr>
        <w:t>Irland, vergleichbare europäische Audit-Struktur; übertragbares Modell für dezentrale deutsche Qualitätssicherungssysteme.</w:t>
      </w:r>
    </w:p>
    <w:p>
      <w:r>
        <w:rPr>
          <w:color w:val="5A7D3A"/>
          <w:sz w:val="18"/>
        </w:rPr>
        <w:t>https://pubmed.ncbi.nlm.nih.gov/42810162/</w:t>
      </w:r>
    </w:p>
    <w:p>
      <w:pPr>
        <w:pStyle w:val="Heading1"/>
      </w:pPr>
      <w:r>
        <w:t>Aufgenommen am 08.10.2026</w:t>
      </w:r>
    </w:p>
    <w:p>
      <w:pPr>
        <w:pStyle w:val="Heading2"/>
      </w:pPr>
      <w:r>
        <w:t>Chatbot verbessert Krebsrisiko-Verständnis bei jungen Patienten mit genetischer Disposition</w:t>
      </w:r>
    </w:p>
    <w:p>
      <w:r>
        <w:rPr>
          <w:i/>
          <w:color w:val="666666"/>
          <w:sz w:val="18"/>
        </w:rPr>
        <w:t>Kamihara J et al.  ·  JAMA Netw Open  ·  01.10.2026  ·  PMID 42842248</w:t>
      </w:r>
    </w:p>
    <w:p>
      <w:r>
        <w:t>Randomisierte Studie mit 106 Jugendlichen und jungen Erwachsenen (12-24 Jahre) mit hereditären Krebssyndromen, die entweder eine Klinikberatung allein oder mit zusätzlicher chatbot-gestützter Risikokommunikation erhielten.</w:t>
      </w:r>
    </w:p>
    <w:p>
      <w:r>
        <w:rPr>
          <w:b/>
        </w:rPr>
        <w:t xml:space="preserve">Ergebnis: </w:t>
      </w:r>
      <w:r>
        <w:t>Nach der Intervention hatten 78% (42/54) der Chatbot-Gruppe gegenüber 37% (19/52) der Kontrollgruppe genaue Kenntnisse über Krebsrisiko bis Alter 30 (OR 3,50, p=0,005). Verbessertes Verständnis ohne Anstieg psychischer Belastung.</w:t>
      </w:r>
    </w:p>
    <w:p>
      <w:r>
        <w:rPr>
          <w:b/>
          <w:sz w:val="19"/>
        </w:rPr>
        <w:t xml:space="preserve">Übertragbarkeit: </w:t>
      </w:r>
      <w:r>
        <w:rPr>
          <w:sz w:val="19"/>
        </w:rPr>
        <w:t>USA-Studie, aber Befund zur verständlichkeitssteigernden Wirkung personalisierter digitaler Information ist systemunabhängig.</w:t>
      </w:r>
    </w:p>
    <w:p>
      <w:r>
        <w:rPr>
          <w:color w:val="5A7D3A"/>
          <w:sz w:val="18"/>
        </w:rPr>
        <w:t>https://pubmed.ncbi.nlm.nih.gov/42842248/</w:t>
      </w:r>
    </w:p>
    <w:p>
      <w:pPr>
        <w:pStyle w:val="Heading2"/>
      </w:pPr>
      <w:r>
        <w:t>Teach-Back-Methode als Basis für sichere und gleichberechtigte Patientenkommunikation</w:t>
      </w:r>
    </w:p>
    <w:p>
      <w:r>
        <w:rPr>
          <w:i/>
          <w:color w:val="666666"/>
          <w:sz w:val="18"/>
        </w:rPr>
        <w:t>Sisodia A  ·  Am J Manag Care  ·  01.09.2026  ·  PMID 42842209</w:t>
      </w:r>
    </w:p>
    <w:p>
      <w:r>
        <w:t>Policy-Kommentar, der Teach-Back als Equity-Infrastruktur zur Verifikation von Patientenverständnis begründet und für dessen systematische Implementierung plädiert.</w:t>
      </w:r>
    </w:p>
    <w:p>
      <w:r>
        <w:rPr>
          <w:b/>
        </w:rPr>
        <w:t xml:space="preserve">Ergebnis: </w:t>
      </w:r>
      <w:r>
        <w:t>Teach-Back wird als praktisches Verfahren zur Fehlervermeidung bei Discharge, Medikamentenwechsel und Einwilligung vorgestellt. Begriffsrahmen der "last-mile equity gap" zwischen abgeschlossener Konsultation und tatsächlichem Patientenverständnis.</w:t>
      </w:r>
    </w:p>
    <w:p>
      <w:r>
        <w:rPr>
          <w:b/>
          <w:sz w:val="19"/>
        </w:rPr>
        <w:t xml:space="preserve">Übertragbarkeit: </w:t>
      </w:r>
      <w:r>
        <w:rPr>
          <w:sz w:val="19"/>
        </w:rPr>
        <w:t>Konzeptionelle Arbeit, sprachenunabhängig und auf alle Versorgungssysteme übertragbar.</w:t>
      </w:r>
    </w:p>
    <w:p>
      <w:r>
        <w:rPr>
          <w:color w:val="5A7D3A"/>
          <w:sz w:val="18"/>
        </w:rPr>
        <w:t>https://pubmed.ncbi.nlm.nih.gov/42842209/</w:t>
      </w:r>
    </w:p>
    <w:p>
      <w:pPr>
        <w:pStyle w:val="Heading2"/>
      </w:pPr>
      <w:r>
        <w:t>Strukturelle und kulturelle Hürden für Patientenbeteiligung in Seltene-Erkrankungen-Forschung</w:t>
      </w:r>
    </w:p>
    <w:p>
      <w:r>
        <w:rPr>
          <w:i/>
          <w:color w:val="666666"/>
          <w:sz w:val="18"/>
        </w:rPr>
        <w:t>Bancroft D et al.  ·  Mol Genet Genomic Med  ·  Okt. 2026  ·  PMID 42834739</w:t>
      </w:r>
    </w:p>
    <w:p>
      <w:r>
        <w:t>Narrative Übersicht mit Reflexionen aus Patienten-, Forscher- und Funder-Perspektive zu Barrieren für Patient- und Public-Involvement-and-Engagement (PPIE) in akademischer Forschung, besonders in Seltene-Erkrankungen-Kontexten.</w:t>
      </w:r>
    </w:p>
    <w:p>
      <w:r>
        <w:rPr>
          <w:b/>
        </w:rPr>
        <w:t xml:space="preserve">Ergebnis: </w:t>
      </w:r>
      <w:r>
        <w:t>Identifizierte strukturelle Barrieren: unzureichende Ressourcenausstattung, begrenzte Zeitrahmen, mangelnde Schulung, kulturelle Widerstände gegen Patientenbeteiligung. Empfehlungen: institutionelle Verankerung von PPIE, kontinuierliche Finanzierung, klare Rollen und Verantwortlichkeiten, Schulung aller Beteiligten, regelmäßige Evaluation.</w:t>
      </w:r>
    </w:p>
    <w:p>
      <w:r>
        <w:rPr>
          <w:b/>
          <w:sz w:val="19"/>
        </w:rPr>
        <w:t xml:space="preserve">Übertragbarkeit: </w:t>
      </w:r>
      <w:r>
        <w:rPr>
          <w:sz w:val="19"/>
        </w:rPr>
        <w:t>UK-Perspektive, aber PPIE-Strukturfragen und Empfehlungen sind auf deutsches akademisches System übertragbar.</w:t>
      </w:r>
    </w:p>
    <w:p>
      <w:r>
        <w:rPr>
          <w:color w:val="5A7D3A"/>
          <w:sz w:val="18"/>
        </w:rPr>
        <w:t>https://pubmed.ncbi.nlm.nih.gov/42834739/</w:t>
      </w:r>
    </w:p>
    <w:p>
      <w:pPr>
        <w:pStyle w:val="Heading2"/>
      </w:pPr>
      <w:r>
        <w:t>ChatGPT liefert verlässliche Patienteninformation zu Hüft- und Knieendoprothetik</w:t>
      </w:r>
    </w:p>
    <w:p>
      <w:r>
        <w:rPr>
          <w:i/>
          <w:color w:val="666666"/>
          <w:sz w:val="18"/>
        </w:rPr>
        <w:t>Deschênes-Bilodeau J et al.  ·  Can J Surg  ·  29.09.2026  ·  PMID 42810739</w:t>
      </w:r>
    </w:p>
    <w:p>
      <w:r>
        <w:t>Vergleichende Studie mit fünf häufig gegoogelten Fragen zu Gelenkersatz, beantwortet durch ChatGPT 4.0 und orthopädische Fachpersonen (Chirurgen, Fellows, Assistenzärzte), anonym durch einen unabhängigen Chirurgen bewertet.</w:t>
      </w:r>
    </w:p>
    <w:p>
      <w:r>
        <w:rPr>
          <w:b/>
        </w:rPr>
        <w:t xml:space="preserve">Ergebnis: </w:t>
      </w:r>
      <w:r>
        <w:t>Menschliche Antworten: Genauigkeit im Mittel 75% (SD 17%), Vollständigkeit 69% (SD 22%). ChatGPT: Genauigkeit 93% (SD 12%), Vollständigkeit 93% (SD 14%). Fellowship-Träger waren beste Fachgruppe mit 75% Antworten ≥5/6 für Genauigkeit (Mittel 82%, SD 16%).</w:t>
      </w:r>
    </w:p>
    <w:p>
      <w:r>
        <w:rPr>
          <w:b/>
          <w:sz w:val="19"/>
        </w:rPr>
        <w:t xml:space="preserve">Übertragbarkeit: </w:t>
      </w:r>
      <w:r>
        <w:rPr>
          <w:sz w:val="19"/>
        </w:rPr>
        <w:t>Kanada, vergleichbares Versicherungssystem; Befund zur Informationsqualität digitaler Tools ist übertragbar.</w:t>
      </w:r>
    </w:p>
    <w:p>
      <w:r>
        <w:rPr>
          <w:color w:val="5A7D3A"/>
          <w:sz w:val="18"/>
        </w:rPr>
        <w:t>https://pubmed.ncbi.nlm.nih.gov/42810739/</w:t>
      </w:r>
    </w:p>
    <w:p>
      <w:pPr>
        <w:pStyle w:val="Heading2"/>
      </w:pPr>
      <w:r>
        <w:t>Erkennung der Herzinsuffizienz-Diagnose bei älteren Patienten: Einfluss auf Versorgungsergebnisse</w:t>
      </w:r>
    </w:p>
    <w:p>
      <w:r>
        <w:rPr>
          <w:i/>
          <w:color w:val="666666"/>
          <w:sz w:val="18"/>
        </w:rPr>
        <w:t>Tasaka T et al.  ·  Geriatr Gerontol Int  ·  Okt. 2026  ·  PMID 42802039</w:t>
      </w:r>
    </w:p>
    <w:p>
      <w:r>
        <w:t>Kohortenstudie mit 188 hospitalisierten Herzinsuffizienz-Patienten (Median 81 Jahre) aus Japan, die Diagnose-Erkennung vor Entlassung abfragten und Assoziationen mit Mortalität und Rehospitalisierungen prüften.</w:t>
      </w:r>
    </w:p>
    <w:p>
      <w:r>
        <w:rPr>
          <w:b/>
        </w:rPr>
        <w:t xml:space="preserve">Ergebnis: </w:t>
      </w:r>
      <w:r>
        <w:t>38% (72/188) erkannten ihre Primärdiagnose nicht; diese Gruppe hatte signifikant niedrigere kommunikative und kritische Health-Literacy-Scores (p&lt;0,01). Nach Adjustment für Alter, kognitive Funktion und HI-Schweregrad war fehlende Diagnose-Erkennung kein unabhängiger Prognosefaktor (Median Follow-up 280 Tage, 40% Ereignisse).</w:t>
      </w:r>
    </w:p>
    <w:p>
      <w:r>
        <w:rPr>
          <w:b/>
          <w:sz w:val="19"/>
        </w:rPr>
        <w:t xml:space="preserve">Übertragbarkeit: </w:t>
      </w:r>
      <w:r>
        <w:rPr>
          <w:sz w:val="19"/>
        </w:rPr>
        <w:t>Japan, aber Messprinzip und Patientenalter übertragbar auf deutsches Versorgungssetting.</w:t>
      </w:r>
    </w:p>
    <w:p>
      <w:r>
        <w:rPr>
          <w:color w:val="5A7D3A"/>
          <w:sz w:val="18"/>
        </w:rPr>
        <w:t>https://pubmed.ncbi.nlm.nih.gov/42802039/</w:t>
      </w:r>
    </w:p>
    <w:p>
      <w:pPr>
        <w:pStyle w:val="Heading2"/>
      </w:pPr>
      <w:r>
        <w:t>Unterschiedliche Qualität von Patienteninformation zu Spinalkanalstenose auf YouTube, TikTok und Bilibili</w:t>
      </w:r>
    </w:p>
    <w:p>
      <w:r>
        <w:rPr>
          <w:i/>
          <w:color w:val="666666"/>
          <w:sz w:val="18"/>
        </w:rPr>
        <w:t>Guo R et al.  ·  Medicine (Baltimore)  ·  25.09.2026  ·  PMID 42798124</w:t>
      </w:r>
    </w:p>
    <w:p>
      <w:r>
        <w:t>Querschnittsanalyse von 253 Videos (89 YouTube, 80 Bilibili, 84 TikTok) zu Lumbalstenose vom 1.2.2026, bewertet nach Zuverlässigkeit, Gesamtqualität, Verständlichkeit, Handlungsfähigkeit und audiovisueller Qualität.</w:t>
      </w:r>
    </w:p>
    <w:p>
      <w:r>
        <w:rPr>
          <w:b/>
        </w:rPr>
        <w:t xml:space="preserve">Ergebnis: </w:t>
      </w:r>
      <w:r>
        <w:t>YouTube-Videos: höhere modifizierte DISCERN- und Global-Quality-Scores, mehr Abdeckung von Ätiologie und Prävention, überwiegend von Kliniken/verifizierten Ärzten. TikTok: kürzeste Videos (103 Sek Median), höchste Physician-Verifikation, beste Audience-Engagement. Bilibili: keine klaren Vorteile. Hohe Engagement korrelierte nicht mit medizinischer Zuverlässigkeit.</w:t>
      </w:r>
    </w:p>
    <w:p>
      <w:r>
        <w:rPr>
          <w:b/>
          <w:sz w:val="19"/>
        </w:rPr>
        <w:t xml:space="preserve">Übertragbarkeit: </w:t>
      </w:r>
      <w:r>
        <w:rPr>
          <w:sz w:val="19"/>
        </w:rPr>
        <w:t>China/Asien, aber Befund zu Plattform-Qualitätsunterschieden und Engagement-Paradox relevant für deutsches Patientenverhalten.</w:t>
      </w:r>
    </w:p>
    <w:p>
      <w:r>
        <w:rPr>
          <w:color w:val="5A7D3A"/>
          <w:sz w:val="18"/>
        </w:rPr>
        <w:t>https://pubmed.ncbi.nlm.nih.gov/42798124/</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Gesundheitskompetenz bei älteren Patienten mit Herz-Kreislauf-Erkrankungen: Latente Profilanalyse</w:t>
      </w:r>
    </w:p>
    <w:p>
      <w:r>
        <w:rPr>
          <w:i/>
          <w:color w:val="666666"/>
          <w:sz w:val="18"/>
        </w:rPr>
        <w:t>Xu M et al.  ·  Front Public Health  ·  27.08.2026  ·  PMID 42723856</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https://pubmed.ncbi.nlm.nih.gov/42723856/</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dc:title>
  <dc:subject/>
  <dc:creator>Monitor Versorgungsforschung</dc:creator>
  <cp:keywords/>
  <dc:description>generated by python-docx</dc:description>
  <cp:lastModifiedBy/>
  <cp:revision>1</cp:revision>
  <dcterms:created xsi:type="dcterms:W3CDTF">2026-10-15T06:00:00Z</dcterms:created>
  <dcterms:modified xsi:type="dcterms:W3CDTF">2026-10-15T06:00:00Z</dcterms:modified>
  <cp:category/>
</cp:coreProperties>
</file>