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Gesundheitskompetenz und Health Literacy</w:t>
      </w:r>
    </w:p>
    <w:p>
      <w:r>
        <w:rPr>
          <w:i/>
          <w:color w:val="666666"/>
          <w:sz w:val="18"/>
        </w:rPr>
        <w:t>Stand: 09.10.2026  |  6 Studien  |  healthliteracy.m-vf.de</w:t>
      </w:r>
    </w:p>
    <w:p>
      <w:pPr>
        <w:pStyle w:val="Heading1"/>
      </w:pPr>
      <w:r>
        <w:t>Aufgenommen am 09.10.2026</w:t>
      </w:r>
    </w:p>
    <w:p>
      <w:pPr>
        <w:pStyle w:val="Heading2"/>
      </w:pPr>
      <w:r>
        <w:t>Verständliche Online-Psychoedukation für ADHS: Reichweite, Nutzung und praktischer Nutzen</w:t>
      </w:r>
    </w:p>
    <w:p>
      <w:r>
        <w:rPr>
          <w:i/>
          <w:color w:val="666666"/>
          <w:sz w:val="18"/>
        </w:rPr>
        <w:t>Lui JHL et al.  ·  Evid Based Pract Child Adolesc Ment Health  ·  02.02.2025  ·  PMID 42847838</w:t>
      </w:r>
    </w:p>
    <w:p>
      <w:r>
        <w:t>Entwicklung und Verbreitung von TOOLS, einer kostenlosen webgestützten Psychoedukation mit 11 animierten Videos zu Organisations- und Verhaltensstrategien für Jugendliche und Erwachsene mit ADHS, verfügbar in Englisch, Mandarin und Spanisch; Analyse von Nutzung und wahrgenommener Wirksamkeit.</w:t>
      </w:r>
    </w:p>
    <w:p>
      <w:r>
        <w:rPr>
          <w:b/>
        </w:rPr>
        <w:t xml:space="preserve">Ergebnis: </w:t>
      </w:r>
      <w:r>
        <w:t>Oktober 2021–Oktober 2022: 19.876 eindeutige Seitenzugriffe, 12.631 Video-Klicks, 7.807 Handout-Klicks. 128 Nutzer (Alter 40 Jahre, 85,9% weiblich) bewerteten Hilfreichtum mit Ø 3,14/4, beabsichtigte Nutzung 3,13/4, tatsächliche Nutzung nach 1 Monat 2,53/4. Positive Rückmeldungen: Verständlichkeit, Informativität, Praxisnähe, visuell ansprechend.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Nordamerika, aber sprachunabhängig; zeigt Machbarkeit verständlicher digitaler Psychoedukation; Lesbarkeit und Engagement sind übertragbar.</w:t>
      </w:r>
    </w:p>
    <w:p>
      <w:r>
        <w:rPr>
          <w:color w:val="5A7D3A"/>
          <w:sz w:val="18"/>
        </w:rPr>
        <w:t>https://pubmed.ncbi.nlm.nih.gov/42847838/</w:t>
      </w:r>
    </w:p>
    <w:p>
      <w:pPr>
        <w:pStyle w:val="Heading2"/>
      </w:pPr>
      <w:r>
        <w:t>Health Literacy bestimmt Wirkung von Restaurant-Nährwertkennzeichnung</w:t>
      </w:r>
    </w:p>
    <w:p>
      <w:r>
        <w:rPr>
          <w:i/>
          <w:color w:val="666666"/>
          <w:sz w:val="18"/>
        </w:rPr>
        <w:t>Yu YS et al.  ·  Ann Behav Med  ·  07.01.2026  ·  PMID 42847396</w:t>
      </w:r>
    </w:p>
    <w:p>
      <w:r>
        <w:t>Online-Randomisierte Studie mit 2829 US-amerikanischen Erwachsenen, die ein von 8 Fast-Food-Menüs wählten (Variation: Kalorien-Labels ja/nein, Natrium-Stoplicht-Symbole, Werbeaussagen); Effekt auf bestellte Kalorien und Natrium nach Health Literacy untersucht.</w:t>
      </w:r>
    </w:p>
    <w:p>
      <w:r>
        <w:rPr>
          <w:b/>
        </w:rPr>
        <w:t xml:space="preserve">Ergebnis: </w:t>
      </w:r>
      <w:r>
        <w:t>Nur Teilnehmer mit moderater Health Literacy zeigten signifikante Unterschiede: 90–135 kcal weniger und 123–154 mg Natrium weniger beim Einsatz von Labels (nominal p&lt;0,05). Bei niedriger oder hoher Literacy keine signifikanten Unterschiede. Menu Labeling wirkt nicht gleichmäßig; Effektivität hängt von Fähigkeit zur Informationsinterpretation ab.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USA, aber Befund zur Ungleichheit ist sprachunabhängig; intuitivere Labels könnten Gerechtigkeit und Effektivität von Ernährungspolitik verbessern.</w:t>
      </w:r>
    </w:p>
    <w:p>
      <w:r>
        <w:rPr>
          <w:color w:val="5A7D3A"/>
          <w:sz w:val="18"/>
        </w:rPr>
        <w:t>https://pubmed.ncbi.nlm.nih.gov/42847396/</w:t>
      </w:r>
    </w:p>
    <w:p>
      <w:pPr>
        <w:pStyle w:val="Heading2"/>
      </w:pPr>
      <w:r>
        <w:t>Strukturierte Psychoedukation verbessert Empowerment bei schweren psychischen Erkrankungen</w:t>
      </w:r>
    </w:p>
    <w:p>
      <w:r>
        <w:rPr>
          <w:i/>
          <w:color w:val="666666"/>
          <w:sz w:val="18"/>
        </w:rPr>
        <w:t>Veltro F et al.  ·  Riv Psichiatr  ·  Sept. 2026  ·  PMID 42847035</w:t>
      </w:r>
    </w:p>
    <w:p>
      <w:r>
        <w:t>Randomisierte Studie an 60 Patienten mit schweren psychischen Erkrankungen (davon 59 ausgewertet), die eine strukturierte Psychoeducational Intervention (FM&amp;R-GR) erhielten, versus Kontrollgruppe mit weniger strukturiertem Manual über 12 Monate.</w:t>
      </w:r>
    </w:p>
    <w:p>
      <w:r>
        <w:rPr>
          <w:b/>
        </w:rPr>
        <w:t xml:space="preserve">Ergebnis: </w:t>
      </w:r>
      <w:r>
        <w:t>Empowerment (NEL-Score), Distress und psychosoziale Funktionsfähigkeit (PSPS) zeigten statistisch signifikante Verbesserungen (p&lt;0,001 bzw. p&lt;0,05). In der Interventionsgruppe 56,3% (27/48), in der Kontrollgruppe 43,75% (21/48) schlossen ab. Strukturierte Psychoedukation wirkt messbar auf primäre Zielgrößen.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Italien, vergleichbares EU-Gesundheitssystem; Übertragbarkeit auf spezialisierte psychosoziale Versorgung in Deutschland gegeben.</w:t>
      </w:r>
    </w:p>
    <w:p>
      <w:r>
        <w:rPr>
          <w:color w:val="5A7D3A"/>
          <w:sz w:val="18"/>
        </w:rPr>
        <w:t>https://pubmed.ncbi.nlm.nih.gov/42847035/</w:t>
      </w:r>
    </w:p>
    <w:p>
      <w:pPr>
        <w:pStyle w:val="Heading2"/>
      </w:pPr>
      <w:r>
        <w:t>Medikamentenkompetenz bei älteren Patienten mit Herzkrankheit und Diabetes</w:t>
      </w:r>
    </w:p>
    <w:p>
      <w:r>
        <w:rPr>
          <w:i/>
          <w:color w:val="666666"/>
          <w:sz w:val="18"/>
        </w:rPr>
        <w:t>Pan X et al.  ·  Front Public Health  ·  23.09.2026  ·  PMID 42846411</w:t>
      </w:r>
    </w:p>
    <w:p>
      <w:r>
        <w:t>Querschnittstudie an 254 hospitalisierten Patienten mittleren Alters und älter mit koexistierender koronarer Herzkrankheit und Typ-2-Diabetes in einer Klinik in Chongqing, China; Messung von Medikamentenkompetenz und assoziierten Faktoren.</w:t>
      </w:r>
    </w:p>
    <w:p>
      <w:r>
        <w:rPr>
          <w:b/>
        </w:rPr>
        <w:t xml:space="preserve">Ergebnis: </w:t>
      </w:r>
      <w:r>
        <w:t>Mittlerer Medikamentenkompetenz-Score 74,05±12,23. Hierarchische Regression zeigte signifikante Assoziationen mit: Beteiligung an Medikationsentscheidungen, soziale Unterstützung, Bildungsniveau, Selbstwirksamkeit, Wohnort und Fähigkeit, Beipackzettel zu verstehen (alle p&lt;0,05). Medikamentenkompetenz hat Verbesserungspotential und hängt von individuellen, sozialen und Versorgungsfaktoren ab.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China, ähnliche chronische Krankheitslast; Befund zur Bedeutung von Shared Decision Making und Sozialunterstützung generalisierbar.</w:t>
      </w:r>
    </w:p>
    <w:p>
      <w:r>
        <w:rPr>
          <w:color w:val="5A7D3A"/>
          <w:sz w:val="18"/>
        </w:rPr>
        <w:t>https://pubmed.ncbi.nlm.nih.gov/42846411/</w:t>
      </w:r>
    </w:p>
    <w:p>
      <w:pPr>
        <w:pStyle w:val="Heading2"/>
      </w:pPr>
      <w:r>
        <w:t>Patientenbeteiligung in der Intensivmedizin: Wie sinnvoll ist die Mitwirkung wirklich?</w:t>
      </w:r>
    </w:p>
    <w:p>
      <w:r>
        <w:rPr>
          <w:i/>
          <w:color w:val="666666"/>
          <w:sz w:val="18"/>
        </w:rPr>
        <w:t>Collet MO et al.  ·  Nurs Crit Care  ·  Nov. 2026  ·  PMID 42844890</w:t>
      </w:r>
    </w:p>
    <w:p>
      <w:r>
        <w:t>Befragung von 37 Teilnehmern (80,4% Rücklauf) an dänischen Forschungsgremien zur Entwicklung von Kernergebnisindikatoren für Intensivpatienten, um Qualität der Patientenbeteiligung (PEIRS-22-Skala) zu messen.</w:t>
      </w:r>
    </w:p>
    <w:p>
      <w:r>
        <w:rPr>
          <w:b/>
        </w:rPr>
        <w:t xml:space="preserve">Ergebnis: </w:t>
      </w:r>
      <w:r>
        <w:t>Median-Score 78 (Spanne 68–93), 72% erreichten Wert ≥70,1 für sinnvolle Beteiligung. Unterschiede nach Rolle signifikant (p=0,004): Forscher 97, Patienten/Angehörige 89, klinisches Personal 74. Beteiligung insgesamt sinnvoll, aber Unterschiede zwischen Stakeholdern und Defizite in Entscheidungsmitsprache.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Dänemark, nordisches Versicherungssystem; zeigt Messbares für Verbesserung von Shared Decision Making in der Intensivforschung.</w:t>
      </w:r>
    </w:p>
    <w:p>
      <w:r>
        <w:rPr>
          <w:color w:val="5A7D3A"/>
          <w:sz w:val="18"/>
        </w:rPr>
        <w:t>https://pubmed.ncbi.nlm.nih.gov/42844890/</w:t>
      </w:r>
    </w:p>
    <w:p>
      <w:pPr>
        <w:pStyle w:val="Heading2"/>
      </w:pPr>
      <w:r>
        <w:t>Patientenbeteiligung in klinischen Audits: ein pragmatisches Organisationsmodell</w:t>
      </w:r>
    </w:p>
    <w:p>
      <w:r>
        <w:rPr>
          <w:i/>
          <w:color w:val="666666"/>
          <w:sz w:val="18"/>
        </w:rPr>
        <w:t>El Hadidi S et al.  ·  Health Policy  ·  23.09.2026  ·  PMID 42810162</w:t>
      </w:r>
    </w:p>
    <w:p>
      <w:r>
        <w:t>Dokumentenanalyse von 23 öffentlichen Dokumenten der irischen National Office of Clinical Audit (NOCA, 2012–2025) zu Struktur und Operationalisierung von Patientenbeteiligung in nationalen Audits.</w:t>
      </w:r>
    </w:p>
    <w:p>
      <w:r>
        <w:rPr>
          <w:b/>
        </w:rPr>
        <w:t xml:space="preserve">Ergebnis: </w:t>
      </w:r>
      <w:r>
        <w:t>Vier Implementierungsmechanismen identifiziert: Governance-Integration, Portfolio-Koordination, Co-Produktion von Öffentlichkeitsmaterialien und institutionelle Unterstützungsstrukturen. NOCA zeigt, wie Patientenbeteiligung in nationale Audit-Infrastruktur als dauerhafte Governance- und Rechenschaftsfunktion eingebaut werden kann.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Irland, vergleichbare europäische Audit-Struktur; übertragbares Modell für dezentrale deutsche Qualitätssicherungssysteme.</w:t>
      </w:r>
    </w:p>
    <w:p>
      <w:r>
        <w:rPr>
          <w:color w:val="5A7D3A"/>
          <w:sz w:val="18"/>
        </w:rPr>
        <w:t>https://pubmed.ncbi.nlm.nih.gov/42810162/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Gesundheitskompetenz und Health Literacy</dc:title>
  <dc:subject/>
  <dc:creator>Monitor Versorgungsforschung</dc:creator>
  <cp:keywords/>
  <dc:description>generated by python-docx</dc:description>
  <cp:lastModifiedBy/>
  <cp:revision>1</cp:revision>
  <dcterms:created xsi:type="dcterms:W3CDTF">2026-10-09T06:00:00Z</dcterms:created>
  <dcterms:modified xsi:type="dcterms:W3CDTF">2026-10-09T06:00:00Z</dcterms:modified>
  <cp:category/>
</cp:coreProperties>
</file>