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</w:t>
      </w:r>
    </w:p>
    <w:p>
      <w:r>
        <w:rPr>
          <w:i/>
          <w:color w:val="666666"/>
          <w:sz w:val="18"/>
        </w:rPr>
        <w:t>Stand: 12.10.2026  |  6 Studien  |  healthliteracy.m-vf.de</w:t>
      </w:r>
    </w:p>
    <w:p>
      <w:pPr>
        <w:pStyle w:val="Heading1"/>
      </w:pPr>
      <w:r>
        <w:t>Aufgenommen am 12.10.2026</w:t>
      </w:r>
    </w:p>
    <w:p>
      <w:pPr>
        <w:pStyle w:val="Heading2"/>
      </w:pPr>
      <w:r>
        <w:t>Digitale Kompetenz fördert Gesundheit älterer Menschen über Sozialbeziehungen</w:t>
      </w:r>
    </w:p>
    <w:p>
      <w:r>
        <w:rPr>
          <w:i/>
          <w:color w:val="666666"/>
          <w:sz w:val="18"/>
        </w:rPr>
        <w:t>Qi MH et al.  ·  Inquiry  ·  11.10.2026  ·  PMID 42859872</w:t>
      </w:r>
    </w:p>
    <w:p>
      <w:r>
        <w:t>Querschnittstudie mit chinesischen Daten (n nicht genannt) zur Assoziation zwischen digitaler Literacy und physischer/psychischer Gesundheit, mit Sozialinteraktion als Mediator (Kausalitätsrahmen: digitale Technologie→Sozialbeziehungen→Gesundheit).</w:t>
      </w:r>
    </w:p>
    <w:p>
      <w:r>
        <w:rPr>
          <w:b/>
        </w:rPr>
        <w:t xml:space="preserve">Ergebnis: </w:t>
      </w:r>
      <w:r>
        <w:t>Digitale Literacy war signifikant positiv mit physischer und psychischer Gesundheit assoziiert; Sozialinteraktion mediierte diese Assoziation bedeutsam. Heterogenitätsanalysen zeigten geschlechtsspezifische Muster: bei Männern Assoziation zur physischen Gesundheit signifikant, bei Frauen zur psychischen Gesundheit; urbaner/ruraler Status hatte keinen signifikanten Unterschied.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(CHARLS 2020), aber Mechanismus (digitale Kompetenz→Sozialaktivität→Gesundheit) in Alterungskontexten international relevant.</w:t>
      </w:r>
    </w:p>
    <w:p>
      <w:r>
        <w:rPr>
          <w:color w:val="5A7D3A"/>
          <w:sz w:val="18"/>
        </w:rPr>
        <w:t>https://pubmed.ncbi.nlm.nih.gov/42859872/</w:t>
      </w:r>
    </w:p>
    <w:p>
      <w:pPr>
        <w:pStyle w:val="Heading2"/>
      </w:pPr>
      <w:r>
        <w:t>Webgestützte Schulung verbessert Symptomkontrolle bei häuslicher Beatmung</w:t>
      </w:r>
    </w:p>
    <w:p>
      <w:r>
        <w:rPr>
          <w:i/>
          <w:color w:val="666666"/>
          <w:sz w:val="18"/>
        </w:rPr>
        <w:t>Eriş Ş et al.  ·  Sleep Breath  ·  10.10.2026  ·  PMID 42859312</w:t>
      </w:r>
    </w:p>
    <w:p>
      <w:r>
        <w:t>Randomisierte Studie zur Wirkung einer webgestützten Schulung auf NIV-bezogene Nebenwirkungen und Schlafqualität bei COPD-Patienten mit häuslicher Heimbeatmung (n=75).</w:t>
      </w:r>
    </w:p>
    <w:p>
      <w:r>
        <w:rPr>
          <w:b/>
        </w:rPr>
        <w:t xml:space="preserve">Ergebnis: </w:t>
      </w:r>
      <w:r>
        <w:t>In der Interventionsgruppe sanken die Schlafstörungen (Insomnia Severity Index) signifikant stärker ab als in der Kontrolle (p&lt;0,001, η²p=0,352); bei Woche 8 zeigten sich signifikante Unterschiede zwischen den Gruppen (p&lt;0,001, η²p=0,753 für Gesamt-S³-NIV-Scores). Webgestützte Bildung unterstützte die Symptombewältigung und Patientenanpassung nachweislich.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aber RCT-Design und strukturierte digitale Schulung sind systemunabhängig übertragbar.</w:t>
      </w:r>
    </w:p>
    <w:p>
      <w:r>
        <w:rPr>
          <w:color w:val="5A7D3A"/>
          <w:sz w:val="18"/>
        </w:rPr>
        <w:t>https://pubmed.ncbi.nlm.nih.gov/42859312/</w:t>
      </w:r>
    </w:p>
    <w:p>
      <w:pPr>
        <w:pStyle w:val="Heading2"/>
      </w:pPr>
      <w:r>
        <w:t>Ernährungsschulung reduziert Schlafstörungen unter Chemotherapie</w:t>
      </w:r>
    </w:p>
    <w:p>
      <w:r>
        <w:rPr>
          <w:i/>
          <w:color w:val="666666"/>
          <w:sz w:val="18"/>
        </w:rPr>
        <w:t>Cheng L et al.  ·  Support Care Cancer  ·  10.10.2026  ·  PMID 42859245</w:t>
      </w:r>
    </w:p>
    <w:p>
      <w:r>
        <w:t>RCT zur Wirkung einer 12-wöchigen Schulung zu entzündungshemmender Ernährung auf Schlafqualität bei 132 Brustkrebspatienten unter Chemotherapie.</w:t>
      </w:r>
    </w:p>
    <w:p>
      <w:r>
        <w:rPr>
          <w:b/>
        </w:rPr>
        <w:t xml:space="preserve">Ergebnis: </w:t>
      </w:r>
      <w:r>
        <w:t>Im Kompleteranalyse-Datensatz zeigten 49,2% der Interventionsgruppe vs. 78,9% der Kontrolle Schlafstörungen (p&lt;0,001); PSQI-Score sank um β=-2,10 (95%-KI: -3,01 bis -1,18; p&lt;0,001), Lebensqualität verbesserte sich um β=14,07 (95%-KI: 8,61–19,52; p&lt;0,001). Strukturierte Patientenschulung mit klaren Inhalten änderte Verhalten messbar.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evidenzbasierte Schulungsstruktur und schriftliche Materialien sind kulturübergreifend adaptierbar.</w:t>
      </w:r>
    </w:p>
    <w:p>
      <w:r>
        <w:rPr>
          <w:color w:val="5A7D3A"/>
          <w:sz w:val="18"/>
        </w:rPr>
        <w:t>https://pubmed.ncbi.nlm.nih.gov/42859245/</w:t>
      </w:r>
    </w:p>
    <w:p>
      <w:pPr>
        <w:pStyle w:val="Heading2"/>
      </w:pPr>
      <w:r>
        <w:t>Gesundheitskompetenz stärkt erfolgreiches Altern bei älteren Patienten</w:t>
      </w:r>
    </w:p>
    <w:p>
      <w:r>
        <w:rPr>
          <w:i/>
          <w:color w:val="666666"/>
          <w:sz w:val="18"/>
        </w:rPr>
        <w:t>Ibrahim HS et al.  ·  BMC Public Health  ·  09.10.2026  ·  PMID 42855688</w:t>
      </w:r>
    </w:p>
    <w:p>
      <w:r>
        <w:t>Querschnittstudie (n=246, 123 chronisch krank, 123 gesund, Alter ≥65 Jahre) zur Assoziation zwischen Gesundheitskompetenz und erfolgreichem Altern mittels Health Literacy Questionnaire und Successful Aging Scale.</w:t>
      </w:r>
    </w:p>
    <w:p>
      <w:r>
        <w:rPr>
          <w:b/>
        </w:rPr>
        <w:t xml:space="preserve">Ergebnis: </w:t>
      </w:r>
      <w:r>
        <w:t>Patienten mit chronischen Erkrankungen zeigten signifikant niedrigere Gesundheitskompetenz- und erfolgreiches-Altern-Scores als Kontrollen (p&lt;0,001). Gesundheitskompetenz korrelierte positiv mit erfolgreichem Altern (r=0,612, p&lt;0,001) und war der stärkste unabhängige Prädiktor in der Regressionsanalyse; höhere Bildung und Einkommen verbesserten erfolgreiches Altern, Alter, ländlicher Wohnort und Rauchen verschlechterten 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Ägypten, aber etablierte Instrumente und Befund (Health Literacy→Aging Outcomes) für Europa/Deutschland adaptierbar.</w:t>
      </w:r>
    </w:p>
    <w:p>
      <w:r>
        <w:rPr>
          <w:color w:val="5A7D3A"/>
          <w:sz w:val="18"/>
        </w:rPr>
        <w:t>https://pubmed.ncbi.nlm.nih.gov/42855688/</w:t>
      </w:r>
    </w:p>
    <w:p>
      <w:pPr>
        <w:pStyle w:val="Heading2"/>
      </w:pPr>
      <w:r>
        <w:t>Zielgruppengerechte Risikokommunikation zu Dopingmitteln in Fitnessstudios</w:t>
      </w:r>
    </w:p>
    <w:p>
      <w:r>
        <w:rPr>
          <w:i/>
          <w:color w:val="666666"/>
          <w:sz w:val="18"/>
        </w:rPr>
        <w:t>Paasch R et al.  ·  Harm Reduct J  ·  23.09.2026  ·  PMID 42823728</w:t>
      </w:r>
    </w:p>
    <w:p>
      <w:r>
        <w:t>Querschnittstudie (n=550 Freizeitsportler) zur Replikation einer 7-Cluster-Typologie von Einstellungen zu Dopingmitteln mittels Theory of Planned Behavior und Health Belief Model, mit qualitativen Illustrationen.</w:t>
      </w:r>
    </w:p>
    <w:p>
      <w:r>
        <w:rPr>
          <w:b/>
        </w:rPr>
        <w:t xml:space="preserve">Ergebnis: </w:t>
      </w:r>
      <w:r>
        <w:t>Sieben heterogene Motivations- und kognitiv-motivationale Profile identifiziert (Silhouetten-Index=0,22, Bootstrap-Stabilität moderat); signifikante Assoziationen mit Anabolika- und Testosterongebrauch, aber nicht mit Wachstumshormonen. Profile zeigen 'Werteabstainer', 'ambivalente Risikonehmer' und 'Leistungsrationaliserer' – heterogene Präventionebedarfe statt Risikokontinuum.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deutschsprachige Fitnessstudio-Population; Typologien für zielgruppengenaue Harm-Reduction-Kommunikation direkt einsetzbar.</w:t>
      </w:r>
    </w:p>
    <w:p>
      <w:r>
        <w:rPr>
          <w:color w:val="5A7D3A"/>
          <w:sz w:val="18"/>
        </w:rPr>
        <w:t>https://pubmed.ncbi.nlm.nih.gov/42823728/</w:t>
      </w:r>
    </w:p>
    <w:p>
      <w:pPr>
        <w:pStyle w:val="Heading2"/>
      </w:pPr>
      <w:r>
        <w:t>Künstliche Sprachmodelle liefern präzise, aber unpersonalisierte Patienteninformationen</w:t>
      </w:r>
    </w:p>
    <w:p>
      <w:r>
        <w:rPr>
          <w:i/>
          <w:color w:val="666666"/>
          <w:sz w:val="18"/>
        </w:rPr>
        <w:t>Li J et al.  ·  Front Public Health  ·  15.09.2026  ·  PMID 42812281</w:t>
      </w:r>
    </w:p>
    <w:p>
      <w:r>
        <w:t>Vergleichende Bewertung von sechs Large Language Models (ChatGPT, Claude, DeepSeek, Gemini, Grok, Qwen) bei der Beantwortung von 40 Patientenfragen zu Achalasie (n=240 Responses) anhand von Sicherheit, Genauigkeit, Empathie, Informationsqualität und Lesbarkeit.</w:t>
      </w:r>
    </w:p>
    <w:p>
      <w:r>
        <w:rPr>
          <w:b/>
        </w:rPr>
        <w:t xml:space="preserve">Ergebnis: </w:t>
      </w:r>
      <w:r>
        <w:t>27 von 240 Responses (11,3%) als potenziell unsicher bewertet; Genauigkeit unterschied sich signifikant zwischen Modellen (kleiner Effekt). Größere Unterschiede in Empathie, Informationszuverlässigkeit und Lesbarkeit: ChatGPT 5.5 und Gemini 3.1 Pro Thinking erreichten höhere Empathie-Scores, Claude Opus 4.7 zeigte höhere Lesbarkeit-Schwierigkeit. JAMA-Benchmark-Scores waren insgesamt niedrig (mangelhafte Quellenangaben).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Evaluationsmethodik (Sicherheit/Genauigkeit/Empathie/Transparenz) für LLM-basierte Patienteninformation international anwendbar.</w:t>
      </w:r>
    </w:p>
    <w:p>
      <w:r>
        <w:rPr>
          <w:color w:val="5A7D3A"/>
          <w:sz w:val="18"/>
        </w:rPr>
        <w:t>https://pubmed.ncbi.nlm.nih.gov/42812281/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</dc:title>
  <dc:subject/>
  <dc:creator>Monitor Versorgungsforschung</dc:creator>
  <cp:keywords/>
  <dc:description>generated by python-docx</dc:description>
  <cp:lastModifiedBy/>
  <cp:revision>1</cp:revision>
  <dcterms:created xsi:type="dcterms:W3CDTF">2026-10-12T06:00:00Z</dcterms:created>
  <dcterms:modified xsi:type="dcterms:W3CDTF">2026-10-12T06:00:00Z</dcterms:modified>
  <cp:category/>
</cp:coreProperties>
</file>