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21.10.2026  |  6 Studien  |  healthliteracy.m-vf.de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Ernährungsschulung mit eiweißarmer Diät bremst Nierenerkrankung</w:t>
      </w:r>
    </w:p>
    <w:p>
      <w:r>
        <w:rPr>
          <w:i/>
          <w:color w:val="666666"/>
          <w:sz w:val="18"/>
        </w:rPr>
        <w:t>Cerón-Meza R et al.  ·  Rev Med Chil  ·  Aug. 2026  ·  PMID 42899611</w:t>
      </w:r>
    </w:p>
    <w:p>
      <w:r>
        <w:t>Narrative Übersicht von klinischen Studien (2015–2026) zur Wirkung von Ernährungsedukation und proteinarmer Diät auf Inzidenz und Progression chronischer Nierenerkrankungen in allen Stadien ohne Nierenersatztherapie.</w:t>
      </w:r>
    </w:p>
    <w:p>
      <w:r>
        <w:rPr>
          <w:b/>
        </w:rPr>
        <w:t xml:space="preserve">Ergebnis: </w:t>
      </w:r>
      <w:r>
        <w:t>Interventionen zur proteinarmen Ernährung verzögerten CKD-Progression, besonders in frühen Stadien, durch Reduktion stickstoffhaltiger Abbauprodukte. Jedes zusätzliche Gramm Protein war mit jährlichem GFR-Rückgang assoziiert. Strukturierte Ernährungsberatung mit kontinuierlicher Überwachung führte zu partieller Erhaltung der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Mexikanische Klinikdaten; Ernährungsberatung und Monitoring sind in deutschem Versorgungskontext etabliert</w:t>
      </w:r>
    </w:p>
    <w:p>
      <w:r>
        <w:rPr>
          <w:color w:val="5A7D3A"/>
          <w:sz w:val="18"/>
        </w:rPr>
        <w:t>https://pubmed.ncbi.nlm.nih.gov/42899611/</w:t>
      </w:r>
    </w:p>
    <w:p>
      <w:pPr>
        <w:pStyle w:val="Heading2"/>
      </w:pPr>
      <w:r>
        <w:t>Gesundheitskompetenz verbessert Lebensqualität bei Leberzirrhose unabhängig von Ernährung</w:t>
      </w:r>
    </w:p>
    <w:p>
      <w:r>
        <w:rPr>
          <w:i/>
          <w:color w:val="666666"/>
          <w:sz w:val="18"/>
        </w:rPr>
        <w:t>Liu Y et al.  ·  Front Public Health  ·  05.10.2026  ·  PMID 42898274</w:t>
      </w:r>
    </w:p>
    <w:p>
      <w:r>
        <w:t>Querschnittstudie an 202 Patienten mit dekompensierter Leberzirrhose zur Assoziation von Health Literacy, Ernährungsstatus und Lebensstilfaktoren mit gesundheitsbezogener Lebensqualität.</w:t>
      </w:r>
    </w:p>
    <w:p>
      <w:r>
        <w:rPr>
          <w:b/>
        </w:rPr>
        <w:t xml:space="preserve">Ergebnis: </w:t>
      </w:r>
      <w:r>
        <w:t>Health Literacy war unabhängig mit Lebensqualität assoziiert und erhöhte die Erklärungskraft des Modells signifikant (R²-Anstieg). Kommunikationsfähigkeit (B = −0,177, p = 0,007), körperliche Aktivität und Schlafqualität waren unabhängige Prädiktoren für die physische und psychische Dimension.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Klinikdaten; Beziehungen zwischen Health Literacy und Selbstmanagement sind systemübergreifend relevant</w:t>
      </w:r>
    </w:p>
    <w:p>
      <w:r>
        <w:rPr>
          <w:color w:val="5A7D3A"/>
          <w:sz w:val="18"/>
        </w:rPr>
        <w:t>https://pubmed.ncbi.nlm.nih.gov/42898274/</w:t>
      </w:r>
    </w:p>
    <w:p>
      <w:pPr>
        <w:pStyle w:val="Heading2"/>
      </w:pPr>
      <w:r>
        <w:t>Digitale Interventionen zur Gesundheitskompetenz in der EU: Mobile Apps und Entscheidungshilfen wirksam</w:t>
      </w:r>
    </w:p>
    <w:p>
      <w:r>
        <w:rPr>
          <w:i/>
          <w:color w:val="666666"/>
          <w:sz w:val="18"/>
        </w:rPr>
        <w:t>Šakare EA et al.  ·  BMC Public Health  ·  24.07.2026  ·  PMID 42897531</w:t>
      </w:r>
    </w:p>
    <w:p>
      <w:r>
        <w:t>Systematische Übersicht von 26 europäischen Studien (2018–2024) zur Wirkung digitaler Kommunikationsmittel auf Health Literacy, Wissen, Selbstwirksamkeit und Gesundheitsstatus.</w:t>
      </w:r>
    </w:p>
    <w:p>
      <w:r>
        <w:rPr>
          <w:b/>
        </w:rPr>
        <w:t xml:space="preserve">Ergebnis: </w:t>
      </w:r>
      <w:r>
        <w:t>Mobile Apps verbesserten Gesundheitsstatus mit andauernden Effekten; Entscheidungshilfen zeigten Potenzial zur Wissensverbesserung. Digitale Lerntools und Multimedia-Interventionen waren weitgehend unwirksam. Multi-Komponenten-Interventionen waren nicht wirksamer als Einzel-Interventionen. Personen mit niedrigerem sozioökonomischem Status profitierten gleichermaßen.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EU-Daten, direkt auf deutsches Versicherungssystem übertragbar</w:t>
      </w:r>
    </w:p>
    <w:p>
      <w:r>
        <w:rPr>
          <w:color w:val="5A7D3A"/>
          <w:sz w:val="18"/>
        </w:rPr>
        <w:t>https://pubmed.ncbi.nlm.nih.gov/42897531/</w:t>
      </w:r>
    </w:p>
    <w:p>
      <w:pPr>
        <w:pStyle w:val="Heading2"/>
      </w:pPr>
      <w:r>
        <w:t>KI-gestützte Patientenschulung vor Magen-Darm-Operationen senkt Angst und verbessert eHealth-Literacy</w:t>
      </w:r>
    </w:p>
    <w:p>
      <w:r>
        <w:rPr>
          <w:i/>
          <w:color w:val="666666"/>
          <w:sz w:val="18"/>
        </w:rPr>
        <w:t>Liu L et al.  ·  Front Public Health  ·  30.09.2026  ·  PMID 42876704</w:t>
      </w:r>
    </w:p>
    <w:p>
      <w:r>
        <w:t>Protokoll einer randomisierten kontrollierten Studie mit 120 Patienten zur WeChat-basierten, von Expertenwissen kontrollierten KI-Schulungsintervention (3 Monate) gegen Standardberatung vor gastroenterologischen Eingriffen.</w:t>
      </w:r>
    </w:p>
    <w:p>
      <w:r>
        <w:rPr>
          <w:b/>
        </w:rPr>
        <w:t xml:space="preserve">Ergebnis: </w:t>
      </w:r>
      <w:r>
        <w:t>Primärer Endpunkt: Angst (Hospital Anxiety and Depression Scale-Angst). Sekundäre Endpunkte: Depression, wahrgenommene soziale Unterstützung, Selbstwirksamkeit, gesundheitsbezogene Lebensqualität und eHealth-Literacy. Outcome-Messung zu Baseline, Entlassung, 3 und 6 Monaten; Analyse nach Intention-to-treat.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Patientenedukation digital; systemgebunden an WeChat-Infrastruktur; Konzept der Expertenkontrolle auf deutsche Plattformen adaptierbar</w:t>
      </w:r>
    </w:p>
    <w:p>
      <w:r>
        <w:rPr>
          <w:color w:val="5A7D3A"/>
          <w:sz w:val="18"/>
        </w:rPr>
        <w:t>https://pubmed.ncbi.nlm.nih.gov/42876704/</w:t>
      </w:r>
    </w:p>
    <w:p>
      <w:pPr>
        <w:pStyle w:val="Heading2"/>
      </w:pPr>
      <w:r>
        <w:t>Vorhersagemodell identifiziert Bevölkerungsgruppen mit niedriger Gesundheitskompetenz</w:t>
      </w:r>
    </w:p>
    <w:p>
      <w:r>
        <w:rPr>
          <w:i/>
          <w:color w:val="666666"/>
          <w:sz w:val="18"/>
        </w:rPr>
        <w:t>Zhang X et al.  ·  JMIR Med Inform  ·  13.10.2026  ·  PMID 42868277</w:t>
      </w:r>
    </w:p>
    <w:p>
      <w:r>
        <w:t>Entwicklung und externe Validierung eines Nomogramm-Modells zur Vorhersage niedriger Health Literacy in einer Bevölkerung von 56.340 Einwohnern (2023) und 2024-Validierungsdaten aus der chinesischen Provinz Zhejiang.</w:t>
      </w:r>
    </w:p>
    <w:p>
      <w:r>
        <w:rPr>
          <w:b/>
        </w:rPr>
        <w:t xml:space="preserve">Ergebnis: </w:t>
      </w:r>
      <w:r>
        <w:t>Nomogramm-Modelle zeigten robuste Stabilität: AUC 0,821 (intern) und 0,814 (extern validiert); Sensitivität und Spezifität &gt;60 % bzw. &gt;75 %. Fünf Kerndeterminanten identifiziert: Bildungsstand, Alter, Haushaltseinkommen, Rauchen und Beruf. Positiver und negativer prädiktiver Wert beide &gt;60 %.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Faktor-Struktur (Bildung, Einkommen, Alter) international vergleichbar; deutsches System erfordert Validierung</w:t>
      </w:r>
    </w:p>
    <w:p>
      <w:r>
        <w:rPr>
          <w:color w:val="5A7D3A"/>
          <w:sz w:val="18"/>
        </w:rPr>
        <w:t>https://pubmed.ncbi.nlm.nih.gov/42868277/</w:t>
      </w:r>
    </w:p>
    <w:p>
      <w:pPr>
        <w:pStyle w:val="Heading2"/>
      </w:pPr>
      <w:r>
        <w:t>Therapeutische Patientenschulung stärkt Autonomie bei Borderline-Persönlichkeitsstörung</w:t>
      </w:r>
    </w:p>
    <w:p>
      <w:r>
        <w:rPr>
          <w:i/>
          <w:color w:val="666666"/>
          <w:sz w:val="18"/>
        </w:rPr>
        <w:t>Lefort-Picard M et al.  ·  Soins Psychiatr  ·  06.07.2026  ·  PMID 42476710</w:t>
      </w:r>
    </w:p>
    <w:p>
      <w:r>
        <w:t>Fünfjähriges Patientenbildungsprogramm (Programme d'Éducation Thérapeutique) am Centre Hospitalier du Rouvray für Personen mit Borderline-Persönlichkeitsstörung, basierend auf integrativer therapeutischer Herangehensweise.</w:t>
      </w:r>
    </w:p>
    <w:p>
      <w:r>
        <w:rPr>
          <w:b/>
        </w:rPr>
        <w:t xml:space="preserve">Ergebnis: </w:t>
      </w:r>
      <w:r>
        <w:t>Das Programm zielt auf Stärkung innerer Ressourcen und Autonomie zur Erleichterung der Reintegration in soziales, emotionales und berufliches Leben ab. Kernfaktoren: integrativer therapeutischer Ansatz, Fokus auf Empowerment und Selbstmanagement, langfristige Betreuung als Kontinuität.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– Psychische Erkrankung; ETP-Modell mit deutscher Tradition; Kernprinzipien auf deutsches System übertragbar</w:t>
      </w:r>
    </w:p>
    <w:p>
      <w:r>
        <w:rPr>
          <w:color w:val="5A7D3A"/>
          <w:sz w:val="18"/>
        </w:rPr>
        <w:t>https://pubmed.ncbi.nlm.nih.gov/42476710/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