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w:t>
      </w:r>
    </w:p>
    <w:p>
      <w:r>
        <w:rPr>
          <w:i/>
          <w:color w:val="666666"/>
          <w:sz w:val="18"/>
        </w:rPr>
        <w:t>Stand: 21.10.2026  |  367 Studien  |  healthliteracy.m-vf.de</w:t>
      </w:r>
    </w:p>
    <w:p>
      <w:pPr>
        <w:pStyle w:val="Heading1"/>
      </w:pPr>
      <w:r>
        <w:t>Aufgenommen am 21.10.2026</w:t>
      </w:r>
    </w:p>
    <w:p>
      <w:pPr>
        <w:pStyle w:val="Heading2"/>
      </w:pPr>
      <w:r>
        <w:t>Ernährungsschulung mit eiweißarmer Diät bremst Nierenerkrankung</w:t>
      </w:r>
    </w:p>
    <w:p>
      <w:r>
        <w:rPr>
          <w:i/>
          <w:color w:val="666666"/>
          <w:sz w:val="18"/>
        </w:rPr>
        <w:t>Cerón-Meza R et al.  ·  Rev Med Chil  ·  Aug. 2026  ·  PMID 42899611</w:t>
      </w:r>
    </w:p>
    <w:p>
      <w:r>
        <w:t>Narrative Übersicht von klinischen Studien (2015–2026) zur Wirkung von Ernährungsedukation und proteinarmer Diät auf Inzidenz und Progression chronischer Nierenerkrankungen in allen Stadien ohne Nierenersatztherapie.</w:t>
      </w:r>
    </w:p>
    <w:p>
      <w:r>
        <w:rPr>
          <w:b/>
        </w:rPr>
        <w:t xml:space="preserve">Ergebnis: </w:t>
      </w:r>
      <w:r>
        <w:t>Interventionen zur proteinarmen Ernährung verzögerten CKD-Progression, besonders in frühen Stadien, durch Reduktion stickstoffhaltiger Abbauprodukte. Jedes zusätzliche Gramm Protein war mit jährlichem GFR-Rückgang assoziiert. Strukturierte Ernährungsberatung mit kontinuierlicher Überwachung führte zu partieller Erhaltung der Nierenfunktion.</w:t>
      </w:r>
    </w:p>
    <w:p>
      <w:r>
        <w:rPr>
          <w:b/>
          <w:sz w:val="19"/>
        </w:rPr>
        <w:t xml:space="preserve">Übertragbarkeit: </w:t>
      </w:r>
      <w:r>
        <w:rPr>
          <w:sz w:val="19"/>
        </w:rPr>
        <w:t>Mexikanische Klinikdaten; Ernährungsberatung und Monitoring sind in deutschem Versorgungskontext etabliert</w:t>
      </w:r>
    </w:p>
    <w:p>
      <w:r>
        <w:rPr>
          <w:color w:val="5A7D3A"/>
          <w:sz w:val="18"/>
        </w:rPr>
        <w:t>https://pubmed.ncbi.nlm.nih.gov/42899611/</w:t>
      </w:r>
    </w:p>
    <w:p>
      <w:pPr>
        <w:pStyle w:val="Heading2"/>
      </w:pPr>
      <w:r>
        <w:t>Gesundheitskompetenz verbessert Lebensqualität bei Leberzirrhose unabhängig von Ernährung</w:t>
      </w:r>
    </w:p>
    <w:p>
      <w:r>
        <w:rPr>
          <w:i/>
          <w:color w:val="666666"/>
          <w:sz w:val="18"/>
        </w:rPr>
        <w:t>Liu Y et al.  ·  Front Public Health  ·  05.10.2026  ·  PMID 42898274</w:t>
      </w:r>
    </w:p>
    <w:p>
      <w:r>
        <w:t>Querschnittstudie an 202 Patienten mit dekompensierter Leberzirrhose zur Assoziation von Health Literacy, Ernährungsstatus und Lebensstilfaktoren mit gesundheitsbezogener Lebensqualität.</w:t>
      </w:r>
    </w:p>
    <w:p>
      <w:r>
        <w:rPr>
          <w:b/>
        </w:rPr>
        <w:t xml:space="preserve">Ergebnis: </w:t>
      </w:r>
      <w:r>
        <w:t>Health Literacy war unabhängig mit Lebensqualität assoziiert und erhöhte die Erklärungskraft des Modells signifikant (R²-Anstieg). Kommunikationsfähigkeit (B = −0,177, p = 0,007), körperliche Aktivität und Schlafqualität waren unabhängige Prädiktoren für die physische und psychische Dimension.</w:t>
      </w:r>
    </w:p>
    <w:p>
      <w:r>
        <w:rPr>
          <w:b/>
          <w:sz w:val="19"/>
        </w:rPr>
        <w:t xml:space="preserve">Übertragbarkeit: </w:t>
      </w:r>
      <w:r>
        <w:rPr>
          <w:sz w:val="19"/>
        </w:rPr>
        <w:t>Chinesische Klinikdaten; Beziehungen zwischen Health Literacy und Selbstmanagement sind systemübergreifend relevant</w:t>
      </w:r>
    </w:p>
    <w:p>
      <w:r>
        <w:rPr>
          <w:color w:val="5A7D3A"/>
          <w:sz w:val="18"/>
        </w:rPr>
        <w:t>https://pubmed.ncbi.nlm.nih.gov/42898274/</w:t>
      </w:r>
    </w:p>
    <w:p>
      <w:pPr>
        <w:pStyle w:val="Heading2"/>
      </w:pPr>
      <w:r>
        <w:t>Digitale Interventionen zur Gesundheitskompetenz in der EU: Mobile Apps und Entscheidungshilfen wirksam</w:t>
      </w:r>
    </w:p>
    <w:p>
      <w:r>
        <w:rPr>
          <w:i/>
          <w:color w:val="666666"/>
          <w:sz w:val="18"/>
        </w:rPr>
        <w:t>Šakare EA et al.  ·  BMC Public Health  ·  24.07.2026  ·  PMID 42897531</w:t>
      </w:r>
    </w:p>
    <w:p>
      <w:r>
        <w:t>Systematische Übersicht von 26 europäischen Studien (2018–2024) zur Wirkung digitaler Kommunikationsmittel auf Health Literacy, Wissen, Selbstwirksamkeit und Gesundheitsstatus.</w:t>
      </w:r>
    </w:p>
    <w:p>
      <w:r>
        <w:rPr>
          <w:b/>
        </w:rPr>
        <w:t xml:space="preserve">Ergebnis: </w:t>
      </w:r>
      <w:r>
        <w:t>Mobile Apps verbesserten Gesundheitsstatus mit andauernden Effekten; Entscheidungshilfen zeigten Potenzial zur Wissensverbesserung. Digitale Lerntools und Multimedia-Interventionen waren weitgehend unwirksam. Multi-Komponenten-Interventionen waren nicht wirksamer als Einzel-Interventionen. Personen mit niedrigerem sozioökonomischem Status profitierten gleichermaßen.</w:t>
      </w:r>
    </w:p>
    <w:p>
      <w:r>
        <w:rPr>
          <w:b/>
          <w:sz w:val="19"/>
        </w:rPr>
        <w:t xml:space="preserve">Übertragbarkeit: </w:t>
      </w:r>
      <w:r>
        <w:rPr>
          <w:sz w:val="19"/>
        </w:rPr>
        <w:t>EU-Daten, direkt auf deutsches Versicherungssystem übertragbar</w:t>
      </w:r>
    </w:p>
    <w:p>
      <w:r>
        <w:rPr>
          <w:color w:val="5A7D3A"/>
          <w:sz w:val="18"/>
        </w:rPr>
        <w:t>https://pubmed.ncbi.nlm.nih.gov/42897531/</w:t>
      </w:r>
    </w:p>
    <w:p>
      <w:pPr>
        <w:pStyle w:val="Heading2"/>
      </w:pPr>
      <w:r>
        <w:t>KI-gestützte Patientenschulung vor Magen-Darm-Operationen senkt Angst und verbessert eHealth-Literacy</w:t>
      </w:r>
    </w:p>
    <w:p>
      <w:r>
        <w:rPr>
          <w:i/>
          <w:color w:val="666666"/>
          <w:sz w:val="18"/>
        </w:rPr>
        <w:t>Liu L et al.  ·  Front Public Health  ·  30.09.2026  ·  PMID 42876704</w:t>
      </w:r>
    </w:p>
    <w:p>
      <w:r>
        <w:t>Protokoll einer randomisierten kontrollierten Studie mit 120 Patienten zur WeChat-basierten, von Expertenwissen kontrollierten KI-Schulungsintervention (3 Monate) gegen Standardberatung vor gastroenterologischen Eingriffen.</w:t>
      </w:r>
    </w:p>
    <w:p>
      <w:r>
        <w:rPr>
          <w:b/>
        </w:rPr>
        <w:t xml:space="preserve">Ergebnis: </w:t>
      </w:r>
      <w:r>
        <w:t>Primärer Endpunkt: Angst (Hospital Anxiety and Depression Scale-Angst). Sekundäre Endpunkte: Depression, wahrgenommene soziale Unterstützung, Selbstwirksamkeit, gesundheitsbezogene Lebensqualität und eHealth-Literacy. Outcome-Messung zu Baseline, Entlassung, 3 und 6 Monaten; Analyse nach Intention-to-treat.</w:t>
      </w:r>
    </w:p>
    <w:p>
      <w:r>
        <w:rPr>
          <w:b/>
          <w:sz w:val="19"/>
        </w:rPr>
        <w:t xml:space="preserve">Übertragbarkeit: </w:t>
      </w:r>
      <w:r>
        <w:rPr>
          <w:sz w:val="19"/>
        </w:rPr>
        <w:t>China – Patientenedukation digital; systemgebunden an WeChat-Infrastruktur; Konzept der Expertenkontrolle auf deutsche Plattformen adaptierbar</w:t>
      </w:r>
    </w:p>
    <w:p>
      <w:r>
        <w:rPr>
          <w:color w:val="5A7D3A"/>
          <w:sz w:val="18"/>
        </w:rPr>
        <w:t>https://pubmed.ncbi.nlm.nih.gov/42876704/</w:t>
      </w:r>
    </w:p>
    <w:p>
      <w:pPr>
        <w:pStyle w:val="Heading2"/>
      </w:pPr>
      <w:r>
        <w:t>Vorhersagemodell identifiziert Bevölkerungsgruppen mit niedriger Gesundheitskompetenz</w:t>
      </w:r>
    </w:p>
    <w:p>
      <w:r>
        <w:rPr>
          <w:i/>
          <w:color w:val="666666"/>
          <w:sz w:val="18"/>
        </w:rPr>
        <w:t>Zhang X et al.  ·  JMIR Med Inform  ·  13.10.2026  ·  PMID 42868277</w:t>
      </w:r>
    </w:p>
    <w:p>
      <w:r>
        <w:t>Entwicklung und externe Validierung eines Nomogramm-Modells zur Vorhersage niedriger Health Literacy in einer Bevölkerung von 56.340 Einwohnern (2023) und 2024-Validierungsdaten aus der chinesischen Provinz Zhejiang.</w:t>
      </w:r>
    </w:p>
    <w:p>
      <w:r>
        <w:rPr>
          <w:b/>
        </w:rPr>
        <w:t xml:space="preserve">Ergebnis: </w:t>
      </w:r>
      <w:r>
        <w:t>Nomogramm-Modelle zeigten robuste Stabilität: AUC 0,821 (intern) und 0,814 (extern validiert); Sensitivität und Spezifität &gt;60 % bzw. &gt;75 %. Fünf Kerndeterminanten identifiziert: Bildungsstand, Alter, Haushaltseinkommen, Rauchen und Beruf. Positiver und negativer prädiktiver Wert beide &gt;60 %.</w:t>
      </w:r>
    </w:p>
    <w:p>
      <w:r>
        <w:rPr>
          <w:b/>
          <w:sz w:val="19"/>
        </w:rPr>
        <w:t xml:space="preserve">Übertragbarkeit: </w:t>
      </w:r>
      <w:r>
        <w:rPr>
          <w:sz w:val="19"/>
        </w:rPr>
        <w:t>China – Faktor-Struktur (Bildung, Einkommen, Alter) international vergleichbar; deutsches System erfordert Validierung</w:t>
      </w:r>
    </w:p>
    <w:p>
      <w:r>
        <w:rPr>
          <w:color w:val="5A7D3A"/>
          <w:sz w:val="18"/>
        </w:rPr>
        <w:t>https://pubmed.ncbi.nlm.nih.gov/42868277/</w:t>
      </w:r>
    </w:p>
    <w:p>
      <w:pPr>
        <w:pStyle w:val="Heading2"/>
      </w:pPr>
      <w:r>
        <w:t>Therapeutische Patientenschulung stärkt Autonomie bei Borderline-Persönlichkeitsstörung</w:t>
      </w:r>
    </w:p>
    <w:p>
      <w:r>
        <w:rPr>
          <w:i/>
          <w:color w:val="666666"/>
          <w:sz w:val="18"/>
        </w:rPr>
        <w:t>Lefort-Picard M et al.  ·  Soins Psychiatr  ·  06.07.2026  ·  PMID 42476710</w:t>
      </w:r>
    </w:p>
    <w:p>
      <w:r>
        <w:t>Fünfjähriges Patientenbildungsprogramm (Programme d'Éducation Thérapeutique) am Centre Hospitalier du Rouvray für Personen mit Borderline-Persönlichkeitsstörung, basierend auf integrativer therapeutischer Herangehensweise.</w:t>
      </w:r>
    </w:p>
    <w:p>
      <w:r>
        <w:rPr>
          <w:b/>
        </w:rPr>
        <w:t xml:space="preserve">Ergebnis: </w:t>
      </w:r>
      <w:r>
        <w:t>Das Programm zielt auf Stärkung innerer Ressourcen und Autonomie zur Erleichterung der Reintegration in soziales, emotionales und berufliches Leben ab. Kernfaktoren: integrativer therapeutischer Ansatz, Fokus auf Empowerment und Selbstmanagement, langfristige Betreuung als Kontinuität.</w:t>
      </w:r>
    </w:p>
    <w:p>
      <w:r>
        <w:rPr>
          <w:b/>
          <w:sz w:val="19"/>
        </w:rPr>
        <w:t xml:space="preserve">Übertragbarkeit: </w:t>
      </w:r>
      <w:r>
        <w:rPr>
          <w:sz w:val="19"/>
        </w:rPr>
        <w:t>Frankreich – Psychische Erkrankung; ETP-Modell mit deutscher Tradition; Kernprinzipien auf deutsches System übertragbar</w:t>
      </w:r>
    </w:p>
    <w:p>
      <w:r>
        <w:rPr>
          <w:color w:val="5A7D3A"/>
          <w:sz w:val="18"/>
        </w:rPr>
        <w:t>https://pubmed.ncbi.nlm.nih.gov/42476710/</w:t>
      </w:r>
    </w:p>
    <w:p>
      <w:pPr>
        <w:pStyle w:val="Heading1"/>
      </w:pPr>
      <w:r>
        <w:t>Aufgenommen am 20.10.2026</w:t>
      </w:r>
    </w:p>
    <w:p>
      <w:pPr>
        <w:pStyle w:val="Heading2"/>
      </w:pPr>
      <w:r>
        <w:t>Risikokommunikation zu Elektromagnetfeldern: Information reduziert Angst bei vormals stark Besorgten</w:t>
      </w:r>
    </w:p>
    <w:p>
      <w:r>
        <w:rPr>
          <w:i/>
          <w:color w:val="666666"/>
          <w:sz w:val="18"/>
        </w:rPr>
        <w:t>Wen R et al.  ·  Bioelectromagnetics  ·  Okt. 2026  ·  PMID 42895297</w:t>
      </w:r>
    </w:p>
    <w:p>
      <w:r>
        <w:t>Studie zu psychologischen Faktoren bei Angst vor Radiofrequenzfeldern und Effekt von Informationen auf diese Angst; Mehrebenen-Modellierung zur Analyse von Zusammenhängen, Interventionsanalyse zur Prüfung der Wirkung von Informationsbereitstellung.</w:t>
      </w:r>
    </w:p>
    <w:p>
      <w:r>
        <w:rPr>
          <w:b/>
        </w:rPr>
        <w:t xml:space="preserve">Ergebnis: </w:t>
      </w:r>
      <w:r>
        <w:t>Subjektive Expositionswahrnehmung und Vertrauen in diese Wahrnehmung waren unabhängig mit Angst assoziiert. Höhere Sensibilisierung korrelierte mit stärkerer Angst, höheres Faktenwissen dagegen mit geringerer Angst. Informationen erhöhten Angst insgesamt, reduzierten sie jedoch bei initial hoher Besorgnis und beeinflussten Wahrnehmungen, Sensibilisierung und Wissen. Befund zeigt komplexe, nicht-lineare Wirkung von Information auf Angst.</w:t>
      </w:r>
    </w:p>
    <w:p>
      <w:r>
        <w:rPr>
          <w:b/>
          <w:sz w:val="19"/>
        </w:rPr>
        <w:t xml:space="preserve">Übertragbarkeit: </w:t>
      </w:r>
      <w:r>
        <w:rPr>
          <w:sz w:val="19"/>
        </w:rPr>
        <w:t>Japan; Befund zu komplexem Zusammenhang zwischen Wissen und Angst universell relevant</w:t>
      </w:r>
    </w:p>
    <w:p>
      <w:r>
        <w:rPr>
          <w:color w:val="5A7D3A"/>
          <w:sz w:val="18"/>
        </w:rPr>
        <w:t>https://pubmed.ncbi.nlm.nih.gov/42895297/</w:t>
      </w:r>
    </w:p>
    <w:p>
      <w:pPr>
        <w:pStyle w:val="Heading2"/>
      </w:pPr>
      <w:r>
        <w:t>Ernährungskompetenz fördert gesunde Essensgewohnheiten unabhängig von Bildungsstand</w:t>
      </w:r>
    </w:p>
    <w:p>
      <w:r>
        <w:rPr>
          <w:i/>
          <w:color w:val="666666"/>
          <w:sz w:val="18"/>
        </w:rPr>
        <w:t>Jáuregui A et al.  ·  J Hum Nutr Diet  ·  Okt. 2026  ·  PMID 42894392</w:t>
      </w:r>
    </w:p>
    <w:p>
      <w:r>
        <w:t>Studie mit 12.796 Erwachsenen aus Mexiko und USA, die den Zusammenhang zwischen funktionaler Ernährungskompetenz (gemessen an Verständnis von Nährwertkennzeichnungen) und gesundem Essverhalten untersucht.</w:t>
      </w:r>
    </w:p>
    <w:p>
      <w:r>
        <w:rPr>
          <w:b/>
        </w:rPr>
        <w:t xml:space="preserve">Ergebnis: </w:t>
      </w:r>
      <w:r>
        <w:t>Höhere Ernährungskompetenz war über alle Bevölkerungsgruppen hinweg mit verstärkten Bemühungen um gesunde Ernährung assoziiert (adjustierte Odds Ratios 1,07–2,73); Effekte waren bei mexikanischen Amerikanern und Mexikanern stärker (p&lt;0,008). Selbst mit niedrigerer Kompetenz zeigten 50–80% der Befragten Anstrengungen für bessere Ernährung, gegenüber nur 37–65% der weißen US-Amerikaner trotz höherer Kompetenz – Gesundheitskompetenz allein erklärt Verhalten nicht vollständig.</w:t>
      </w:r>
    </w:p>
    <w:p>
      <w:r>
        <w:rPr>
          <w:b/>
          <w:sz w:val="19"/>
        </w:rPr>
        <w:t xml:space="preserve">Übertragbarkeit: </w:t>
      </w:r>
      <w:r>
        <w:rPr>
          <w:sz w:val="19"/>
        </w:rPr>
        <w:t>Querschnittsstudie; Effekt der Nährwertkennzeichnung systemabhängig, aber Befund zu Kompetenz-Verhalten-Lücke universell übertragbar</w:t>
      </w:r>
    </w:p>
    <w:p>
      <w:r>
        <w:rPr>
          <w:color w:val="5A7D3A"/>
          <w:sz w:val="18"/>
        </w:rPr>
        <w:t>https://pubmed.ncbi.nlm.nih.gov/42894392/</w:t>
      </w:r>
    </w:p>
    <w:p>
      <w:pPr>
        <w:pStyle w:val="Heading2"/>
      </w:pPr>
      <w:r>
        <w:t>Sprachgesteuertes Edukations-Tool verbessert Wissen und Selbstmanagement nach Herzintervention im Alter</w:t>
      </w:r>
    </w:p>
    <w:p>
      <w:r>
        <w:rPr>
          <w:i/>
          <w:color w:val="666666"/>
          <w:sz w:val="18"/>
        </w:rPr>
        <w:t>Sun T et al.  ·  J Cardiothorac Surg  ·  22.07.2026  ·  PMID 42894236</w:t>
      </w:r>
    </w:p>
    <w:p>
      <w:r>
        <w:t>Cluster-randomisierte kontrollierte Studie mit 96 älteren Herzpatienten (49 Intervention, 47 Kontrolle): Vergleich einer sprachgesteuerten interaktiven Edukations-App gegenüber gedruckten Materialien.</w:t>
      </w:r>
    </w:p>
    <w:p>
      <w:r>
        <w:rPr>
          <w:b/>
        </w:rPr>
        <w:t xml:space="preserve">Ergebnis: </w:t>
      </w:r>
      <w:r>
        <w:t>Signifikante Interaktionseffekte für Herz-Erkrankungswissen (F=9,026; p&lt;0,001) und Selbstmanagement-Verhalten (F=11,607; p&lt;0,001). Nach 1, 3 und 6 Monaten zeigte die Interventionsgruppe signifikant höhere Wissens- und Verhaltensscores als Kontrolle (F=195,188; p&lt;0,001). Akzeptanzrating sehr hoch (96,04±2,61 Punkte). Wissen sank in beiden Gruppen über Zeit, aber Interventionsgruppe blieb deutlich höher.</w:t>
      </w:r>
    </w:p>
    <w:p>
      <w:r>
        <w:rPr>
          <w:b/>
          <w:sz w:val="19"/>
        </w:rPr>
        <w:t xml:space="preserve">Übertragbarkeit: </w:t>
      </w:r>
      <w:r>
        <w:rPr>
          <w:sz w:val="19"/>
        </w:rPr>
        <w:t>China; vergleichbare Altersstruktur und kardiovaskuläre Versorgung, aber App-Evaluation techniklastig</w:t>
      </w:r>
    </w:p>
    <w:p>
      <w:r>
        <w:rPr>
          <w:color w:val="5A7D3A"/>
          <w:sz w:val="18"/>
        </w:rPr>
        <w:t>https://pubmed.ncbi.nlm.nih.gov/42894236/</w:t>
      </w:r>
    </w:p>
    <w:p>
      <w:pPr>
        <w:pStyle w:val="Heading2"/>
      </w:pPr>
      <w:r>
        <w:t>Health-Literacy-Skala für psychisch Erkrankte in Brasilien validiert: Gute innere Konsistenz und Konstruktvalidität</w:t>
      </w:r>
    </w:p>
    <w:p>
      <w:r>
        <w:rPr>
          <w:i/>
          <w:color w:val="666666"/>
          <w:sz w:val="18"/>
        </w:rPr>
        <w:t>Barbosa MR et al.  ·  Rev Assoc Med Bras (1992)  ·  12.10.2026  ·  PMID 42879581</w:t>
      </w:r>
    </w:p>
    <w:p>
      <w:r>
        <w:t>Psychometrische Validierungsstudie der 14-Item Health Literacy Scale an 444 klinisch stabilen Patienten mit chronischen psychischen Störungen in Brasilien; Prüfung von Reliabilität, faktorieller Struktur und Divergenzvalidität.</w:t>
      </w:r>
    </w:p>
    <w:p>
      <w:r>
        <w:rPr>
          <w:b/>
        </w:rPr>
        <w:t xml:space="preserve">Ergebnis: </w:t>
      </w:r>
      <w:r>
        <w:t>Cronbachs Alpha 0,83 (95%-KI 0,78–0,88), McDonald-Omega 0,75 (95%-KI 0,68–0,83). Akzeptable Fit-Indizes: CFI 0,938, TLI 0,923, NFI 0,904. Divergenzvalidität bestätigt durch schwache Korrelationen (r&lt;0,300) mit Unterstützungsskala. Instrument zeigt adequates Profil zur Erfassung von Gesundheitskompetenz in drei Dimensionen (funktional, kommunikativ, kritisch) bei psychisch Erkrankten.</w:t>
      </w:r>
    </w:p>
    <w:p>
      <w:r>
        <w:rPr>
          <w:b/>
          <w:sz w:val="19"/>
        </w:rPr>
        <w:t xml:space="preserve">Übertragbarkeit: </w:t>
      </w:r>
      <w:r>
        <w:rPr>
          <w:sz w:val="19"/>
        </w:rPr>
        <w:t>Brasilien; psychologische Konstrukte kulturübergreifend, aber deutschsprachige Validierung erforderlich</w:t>
      </w:r>
    </w:p>
    <w:p>
      <w:r>
        <w:rPr>
          <w:color w:val="5A7D3A"/>
          <w:sz w:val="18"/>
        </w:rPr>
        <w:t>https://pubmed.ncbi.nlm.nih.gov/42879581/</w:t>
      </w:r>
    </w:p>
    <w:p>
      <w:pPr>
        <w:pStyle w:val="Heading2"/>
      </w:pPr>
      <w:r>
        <w:t>HIV-Prävention in Schulen: Community-Engagement-Ansatz erreicht 98% Testakzeptanz und senkt Stigma</w:t>
      </w:r>
    </w:p>
    <w:p>
      <w:r>
        <w:rPr>
          <w:i/>
          <w:color w:val="666666"/>
          <w:sz w:val="18"/>
        </w:rPr>
        <w:t>Beloumou Angong OEG et al.  ·  J Int Assoc Provid AIDS Care  ·  08.10.2026  ·  PMID 42849053</w:t>
      </w:r>
    </w:p>
    <w:p>
      <w:r>
        <w:t>Mixed-Methods-Studie 2019–2023 mit 1.203 Schülern und Lehrern aus 45 Orten in Kamerun; Einsatz des Risk Communication and Community Engagement (RCCE)-Rahmens zur HIV-Aufklärung mit Testteilnahme.</w:t>
      </w:r>
    </w:p>
    <w:p>
      <w:r>
        <w:rPr>
          <w:b/>
        </w:rPr>
        <w:t xml:space="preserve">Ergebnis: </w:t>
      </w:r>
      <w:r>
        <w:t>HIV-Test-Akzeptanzrate 98%, regional jedoch unterschiedlich (z. B. 88,9% in Fernen Norden; p&lt;0,0001). HIV-Seroprävalenz 1,4% (95%-KI 0,9–2,3%), höher in ländlichen Gebieten (2,6% vs. urban 0,9%; adjustierte OR 3,0; p=0,032). Höchste Seroprävalenz in der Altersgruppe 30–39 Jahre (6,7%; p=0,0004), persistent nach multivariater Analyse (p=0,003). RCCE-Ansatz förderte starke Community-Beteiligung und mediale Verbreitung evidenzbasierter Information; Befund unterstreicht Bedeutung lokalisierter Kommunikationsstrategien jenseits von Schulung allein.</w:t>
      </w:r>
    </w:p>
    <w:p>
      <w:r>
        <w:rPr>
          <w:b/>
          <w:sz w:val="19"/>
        </w:rPr>
        <w:t xml:space="preserve">Übertragbarkeit: </w:t>
      </w:r>
      <w:r>
        <w:rPr>
          <w:sz w:val="19"/>
        </w:rPr>
        <w:t>Kamerun (Subsahara), Ressourcenlimitierung; Befund zu Kommunikations-Effektivität übertragbar</w:t>
      </w:r>
    </w:p>
    <w:p>
      <w:r>
        <w:rPr>
          <w:color w:val="5A7D3A"/>
          <w:sz w:val="18"/>
        </w:rPr>
        <w:t>https://pubmed.ncbi.nlm.nih.gov/42849053/</w:t>
      </w:r>
    </w:p>
    <w:p>
      <w:pPr>
        <w:pStyle w:val="Heading2"/>
      </w:pPr>
      <w:r>
        <w:t>YouTube-Epilepsie-Videos: Nur 4,5% vermitteln korrekte Behandlungsinformation patientengerecht</w:t>
      </w:r>
    </w:p>
    <w:p>
      <w:r>
        <w:rPr>
          <w:i/>
          <w:color w:val="666666"/>
          <w:sz w:val="18"/>
        </w:rPr>
        <w:t>Elliott TS et al.  ·  JMIR Infodemiology  ·  30.09.2026  ·  PMID 42817079</w:t>
      </w:r>
    </w:p>
    <w:p>
      <w:r>
        <w:t>Analyse von 200 YouTube-Videos zu Anfallsclustern und Rettungsmedikation; Bewertung der Genauigkeit von Anfallsdefinition, FDA-genehmigter Behandlung und korrekter Medikamentendokumentation durch Expertenbewertung.</w:t>
      </w:r>
    </w:p>
    <w:p>
      <w:r>
        <w:rPr>
          <w:b/>
        </w:rPr>
        <w:t xml:space="preserve">Ergebnis: </w:t>
      </w:r>
      <w:r>
        <w:t>Nur 19,5% definierten Anfallscluster korrekt; 37,0% empfahlen FDA-genehmigte Rettungsmedikation, 37,5% nannten gar keine Therapie; 26,5% demonstrierten Medikamentengabe korrekt; nur 4,5% erfüllten alle Kriterien. Suche nach Handelsnamen erbrachte mehr relevante Videos als nach Fachbegriffen. Massive Informationslücke: 80,5% der Videos waren unvollständig oder fehlerhaft.</w:t>
      </w:r>
    </w:p>
    <w:p>
      <w:r>
        <w:rPr>
          <w:b/>
          <w:sz w:val="19"/>
        </w:rPr>
        <w:t xml:space="preserve">Übertragbarkeit: </w:t>
      </w:r>
      <w:r>
        <w:rPr>
          <w:sz w:val="19"/>
        </w:rPr>
        <w:t>USA, aber Befund zu Qualitätsdefiziten in Patient:innen-Videos universell übertragbar</w:t>
      </w:r>
    </w:p>
    <w:p>
      <w:r>
        <w:rPr>
          <w:color w:val="5A7D3A"/>
          <w:sz w:val="18"/>
        </w:rPr>
        <w:t>https://pubmed.ncbi.nlm.nih.gov/42817079/</w:t>
      </w:r>
    </w:p>
    <w:p>
      <w:pPr>
        <w:pStyle w:val="Heading1"/>
      </w:pPr>
      <w:r>
        <w:t>Aufgenommen am 19.10.2026</w:t>
      </w:r>
    </w:p>
    <w:p>
      <w:pPr>
        <w:pStyle w:val="Heading2"/>
      </w:pPr>
      <w:r>
        <w:t>Was Frauen mit Endometriose wissen müssen: Informationsbedarf und Lücken</w:t>
      </w:r>
    </w:p>
    <w:p>
      <w:r>
        <w:rPr>
          <w:i/>
          <w:color w:val="666666"/>
          <w:sz w:val="18"/>
        </w:rPr>
        <w:t>Senyel D et al.  ·  Womens Health (Lond)  ·  18.10.2026  ·  PMID 42893505</w:t>
      </w:r>
    </w:p>
    <w:p>
      <w:r>
        <w:t>Querschnittstudie (Mixed Methods) mit 265 australischen Frauen ≥18 Jahre mit diagnostizierter oder vermuteter Endometriose zu ihren Informationsbedürfnissen.</w:t>
      </w:r>
    </w:p>
    <w:p>
      <w:r>
        <w:rPr>
          <w:b/>
        </w:rPr>
        <w:t xml:space="preserve">Ergebnis: </w:t>
      </w:r>
      <w:r>
        <w:t>Stärkster Informationsbedarf zu: Komorbiditäten (76,98 % Zustimmung, n=204/265), spezialisierte Endometriose-Kliniken (75,85 %, n=179/236), Umgang mit Ablehnungserfahrungen durch Fachpersonen (75,54 %, n=176/233). Offen genannte Lücken: Pathogenese, alternative Therapien, Unterschiede zwischen öffentlichem und privatem Gesundheitswesen, Selbstvertretung. Unzureichende Unterstützung bei Entscheidungsfindung identifiziert.</w:t>
      </w:r>
    </w:p>
    <w:p>
      <w:r>
        <w:rPr>
          <w:b/>
          <w:sz w:val="19"/>
        </w:rPr>
        <w:t xml:space="preserve">Übertragbarkeit: </w:t>
      </w:r>
      <w:r>
        <w:rPr>
          <w:sz w:val="19"/>
        </w:rPr>
        <w:t>Australien vergleichbar Deutschland: Befunde zeigen Versorgungslücken und Handlungsbedarf für patientenzentrierte Informationsentwicklung.</w:t>
      </w:r>
    </w:p>
    <w:p>
      <w:r>
        <w:rPr>
          <w:color w:val="5A7D3A"/>
          <w:sz w:val="18"/>
        </w:rPr>
        <w:t>https://pubmed.ncbi.nlm.nih.gov/42893505/</w:t>
      </w:r>
    </w:p>
    <w:p>
      <w:pPr>
        <w:pStyle w:val="Heading2"/>
      </w:pPr>
      <w:r>
        <w:t>Geringe Gesundheitskompetenz bei chronischen Erkrankungen in Grönland: Handlungsbedarf für Gesundheitssystem</w:t>
      </w:r>
    </w:p>
    <w:p>
      <w:r>
        <w:rPr>
          <w:i/>
          <w:color w:val="666666"/>
          <w:sz w:val="18"/>
        </w:rPr>
        <w:t>Kjær F et al.  ·  Int J Circumpolar Health  ·  31.12.2026  ·  PMID 42891930</w:t>
      </w:r>
    </w:p>
    <w:p>
      <w:r>
        <w:t>Querschnittstudie mit 230 Personen mit chronischen Erkrankungen (Diabetes, COPD, Hypertonie, Adipositas, Asthma) in Grönland, die mit HLS19-Q12-Fragebogen (Kalaallisut und Dänisch) die Gesundheitskompetenz ermittelte.</w:t>
      </w:r>
    </w:p>
    <w:p>
      <w:r>
        <w:rPr>
          <w:b/>
        </w:rPr>
        <w:t xml:space="preserve">Ergebnis: </w:t>
      </w:r>
      <w:r>
        <w:t>82,2 % hatten unzureichende oder problematische Gesundheitskompetenz (32,2 % unzureichend, 50,0 % problematisch, 12,4 % ausreichend, 5,4 % hervorragend). Kalaallisut-Version zeigte gute interne Konsistenz (Cronbachs Alpha 0,88; 95%-KI: 0,78–0,93) und Test-Retest-Reliabilität (ICC 0,86; 95%-KI: 0,71–0,94). Dies unterstreicht hohen Interventionsbedarf.</w:t>
      </w:r>
    </w:p>
    <w:p>
      <w:r>
        <w:rPr>
          <w:b/>
          <w:sz w:val="19"/>
        </w:rPr>
        <w:t xml:space="preserve">Übertragbarkeit: </w:t>
      </w:r>
      <w:r>
        <w:rPr>
          <w:sz w:val="19"/>
        </w:rPr>
        <w:t>Grönland, vergleichbare nordeuropäische Sozialversicherung; Befunde für indigene Bevölkerungen weltweit relevant.</w:t>
      </w:r>
    </w:p>
    <w:p>
      <w:r>
        <w:rPr>
          <w:color w:val="5A7D3A"/>
          <w:sz w:val="18"/>
        </w:rPr>
        <w:t>https://pubmed.ncbi.nlm.nih.gov/42891930/</w:t>
      </w:r>
    </w:p>
    <w:p>
      <w:pPr>
        <w:pStyle w:val="Heading2"/>
      </w:pPr>
      <w:r>
        <w:t>Niedriges Digital Health Literacy erhöht Risiko für problematische Social-Media-Nutzung</w:t>
      </w:r>
    </w:p>
    <w:p>
      <w:r>
        <w:rPr>
          <w:i/>
          <w:color w:val="666666"/>
          <w:sz w:val="18"/>
        </w:rPr>
        <w:t>Shahat KA  ·  Front Public Health  ·  02.10.2026  ·  PMID 42890596</w:t>
      </w:r>
    </w:p>
    <w:p>
      <w:r>
        <w:t>Querschnittstudie mit 330 saudischen Schülern (13–18 Jahre, 170 männlich, 160 weiblich) zu Zusammenhang zwischen Digital Health Literacy (DHLI), problematischer Social-Media-Nutzung (Bergen Scale) und psychischer Belastung (DASS-21).</w:t>
      </w:r>
    </w:p>
    <w:p>
      <w:r>
        <w:rPr>
          <w:b/>
        </w:rPr>
        <w:t xml:space="preserve">Ergebnis: </w:t>
      </w:r>
      <w:r>
        <w:t>Prävalenz problematischer Social-Media-Nutzung 34,8 % (95%-KI: 29,7–40,2 %), höher bei Mädchen (41,9 %) als Jungen (28,2 %, p=0,009). Niedriges Digital Health Literacy unabhängig mit problematischer Nutzung assoziiert (aOR 2,79; 95%-KI: 1,70–4,58; p&lt;0,001). Problematische Nutzer hatten höhere Depression (14,1±5,5 vs. 8,6±4,2; p&lt;0,001), Angst (12,7±5,0 vs. 7,8±3,9; p&lt;0,001) und Stress (15,5±5,7 vs. 10,0±4,6; p&lt;0,001).</w:t>
      </w:r>
    </w:p>
    <w:p>
      <w:r>
        <w:rPr>
          <w:b/>
          <w:sz w:val="19"/>
        </w:rPr>
        <w:t xml:space="preserve">Übertragbarkeit: </w:t>
      </w:r>
      <w:r>
        <w:rPr>
          <w:sz w:val="19"/>
        </w:rPr>
        <w:t>Saudi-Arabien: Befunde zur Rolle von Digital Health Literacy bei Jugendlichen; Schulinterventionen sollten Schwerpunkt sein.</w:t>
      </w:r>
    </w:p>
    <w:p>
      <w:r>
        <w:rPr>
          <w:color w:val="5A7D3A"/>
          <w:sz w:val="18"/>
        </w:rPr>
        <w:t>https://pubmed.ncbi.nlm.nih.gov/42890596/</w:t>
      </w:r>
    </w:p>
    <w:p>
      <w:pPr>
        <w:pStyle w:val="Heading2"/>
      </w:pPr>
      <w:r>
        <w:t>Messinstrumente für Planetare Gesundheitskompetenz: Qualitätsmängel und Forschungslücken</w:t>
      </w:r>
    </w:p>
    <w:p>
      <w:r>
        <w:rPr>
          <w:i/>
          <w:color w:val="666666"/>
          <w:sz w:val="18"/>
        </w:rPr>
        <w:t>Reismann L et al.  ·  Health Qual Life Outcomes  ·  16.10.2026  ·  PMID 42888415</w:t>
      </w:r>
    </w:p>
    <w:p>
      <w:r>
        <w:t>Systematische Übersicht nach COSMIN-Kriterien über vier Studien zu drei Instrumenten (CCHLS, CCDL, SFLS), die Umwelt-Gesundheits-Literalität messen.</w:t>
      </w:r>
    </w:p>
    <w:p>
      <w:r>
        <w:rPr>
          <w:b/>
        </w:rPr>
        <w:t xml:space="preserve">Ergebnis: </w:t>
      </w:r>
      <w:r>
        <w:t>Sustainable Food Literacy Scale zeigte beste Ergebnisse mit sehr guter Evidenzqualität im Original, türkische Adaptation hatte niedrige methodische Qualität. Alle Instrumente zeigten niedrige oder sehr niedrige Evidenz für Entwicklung und Inhaltsvalidität. Kerndefizite: unklare Konstruktdefinition, geringe Einbeziehung von Zielgruppen in Entwicklung, Fokus auf Wissen statt komplexer Health Literacy.</w:t>
      </w:r>
    </w:p>
    <w:p>
      <w:r>
        <w:rPr>
          <w:b/>
          <w:sz w:val="19"/>
        </w:rPr>
        <w:t xml:space="preserve">Übertragbarkeit: </w:t>
      </w:r>
      <w:r>
        <w:rPr>
          <w:sz w:val="19"/>
        </w:rPr>
        <w:t>Deutschland und Europa: Befunde zeigen Standardisierungsbedarf für Umwelt-Gesundheits-Kompetenzmessungen.</w:t>
      </w:r>
    </w:p>
    <w:p>
      <w:r>
        <w:rPr>
          <w:color w:val="5A7D3A"/>
          <w:sz w:val="18"/>
        </w:rPr>
        <w:t>https://pubmed.ncbi.nlm.nih.gov/42888415/</w:t>
      </w:r>
    </w:p>
    <w:p>
      <w:pPr>
        <w:pStyle w:val="Heading2"/>
      </w:pPr>
      <w:r>
        <w:t>Wie junge Erwachsene Online-Ernährungsinformation bewerten: Kritische Kriterien und Grenzen</w:t>
      </w:r>
    </w:p>
    <w:p>
      <w:r>
        <w:rPr>
          <w:i/>
          <w:color w:val="666666"/>
          <w:sz w:val="18"/>
        </w:rPr>
        <w:t>Rozmiarek M  ·  Nutrients  ·  25.09.2026  ·  PMID 42884616</w:t>
      </w:r>
    </w:p>
    <w:p>
      <w:r>
        <w:t>Qualitative Fokusgruppenstudie mit 17 Tourismus- und Freizeitstudierenden (9 Frauen, 8 Männer, 21–23 Jahre) zu Wahrnehmung, Bewertung und kritischem Urteil über Online-Ernährungsinformation.</w:t>
      </w:r>
    </w:p>
    <w:p>
      <w:r>
        <w:rPr>
          <w:b/>
        </w:rPr>
        <w:t xml:space="preserve">Ergebnis: </w:t>
      </w:r>
      <w:r>
        <w:t>Vier Hauptthemen identifiziert: (1) Online-Information wahrgenommen als zugänglich und einflussreich, aber verbunden mit Informationsüberfluss, widersprüchlichen Empfehlungen und vereinfachten Erklärungen; (2) Bewertung nutzte Kriterien: Quellenexpertise, Konsistenz über Quellen hinweg, realistische Erwartungen, Erklärungsqualität, soziales Feedback; (3) Social-Media-Influencer als Inspirationsquelle, professionelle Quellen für kritische Entscheidungen; (4) Hochschulausbildung unterstützte kritisches Denken, aber Grenzen der Ernährungsexpertise erkannt.</w:t>
      </w:r>
    </w:p>
    <w:p>
      <w:r>
        <w:rPr>
          <w:b/>
          <w:sz w:val="19"/>
        </w:rPr>
        <w:t xml:space="preserve">Übertragbarkeit: </w:t>
      </w:r>
      <w:r>
        <w:rPr>
          <w:sz w:val="19"/>
        </w:rPr>
        <w:t>Polen und Deutschland: Befunde zeigen Notwendigkeit, Digital Nutrition Literacy in Hochschul-Curricula zu integrieren.</w:t>
      </w:r>
    </w:p>
    <w:p>
      <w:r>
        <w:rPr>
          <w:color w:val="5A7D3A"/>
          <w:sz w:val="18"/>
        </w:rPr>
        <w:t>https://pubmed.ncbi.nlm.nih.gov/42884616/</w:t>
      </w:r>
    </w:p>
    <w:p>
      <w:pPr>
        <w:pStyle w:val="Heading2"/>
      </w:pPr>
      <w:r>
        <w:t>Therapeutische Patientenedukation verbessert Therapieadhärenz und Selbstmanagement bei Tuberkulose</w:t>
      </w:r>
    </w:p>
    <w:p>
      <w:r>
        <w:rPr>
          <w:i/>
          <w:color w:val="666666"/>
          <w:sz w:val="18"/>
        </w:rPr>
        <w:t>Perriot J et al.  ·  Rev Med Liege  ·  Okt. 2026  ·  PMID 42861535</w:t>
      </w:r>
    </w:p>
    <w:p>
      <w:r>
        <w:t>Narrative Übersicht zu therapeutischer Edukation bei Tuberkulose-Patienten (latente und aktive Form), einschließlich ihrer Rolle für Verständnis, Adhärenz und Stigma-Bekämpfung.</w:t>
      </w:r>
    </w:p>
    <w:p>
      <w:r>
        <w:rPr>
          <w:b/>
        </w:rPr>
        <w:t xml:space="preserve">Ergebnis: </w:t>
      </w:r>
      <w:r>
        <w:t>Therapeutische Edukation (Patient Therapeutic Education – ETP) zielt darauf, Selbstmanagement-Kompetenzen, Autonomie und Lebensqualität zu stärken. Adressiert Verständnisprobleme durch lange Behandlungsprotokolle, Nebenwirkungen und psychosoziale Faktoren. Strukturierte, kontinuierliche, multidisziplinäre, patientenzentrierte Strategie ist wesentlicher Hebel zur Optimierung von Behandlungsergebnissen und Bekämpfung der Tuberkulose.</w:t>
      </w:r>
    </w:p>
    <w:p>
      <w:r>
        <w:rPr>
          <w:b/>
          <w:sz w:val="19"/>
        </w:rPr>
        <w:t xml:space="preserve">Übertragbarkeit: </w:t>
      </w:r>
      <w:r>
        <w:rPr>
          <w:sz w:val="19"/>
        </w:rPr>
        <w:t>Belgien und Frankreich, vergleichbare Versicherungssysteme; Befunde zu Edukation und Adhärenz auf Deutschland übertragbar.</w:t>
      </w:r>
    </w:p>
    <w:p>
      <w:r>
        <w:rPr>
          <w:color w:val="5A7D3A"/>
          <w:sz w:val="18"/>
        </w:rPr>
        <w:t>https://pubmed.ncbi.nlm.nih.gov/42861535/</w:t>
      </w:r>
    </w:p>
    <w:p>
      <w:pPr>
        <w:pStyle w:val="Heading1"/>
      </w:pPr>
      <w:r>
        <w:t>Aufgenommen am 18.10.2026</w:t>
      </w:r>
    </w:p>
    <w:p>
      <w:pPr>
        <w:pStyle w:val="Heading2"/>
      </w:pPr>
      <w:r>
        <w:t>Bildung und Gesundheitskompetenz: Starker Gradient bei Umweltrisiken</w:t>
      </w:r>
    </w:p>
    <w:p>
      <w:r>
        <w:rPr>
          <w:i/>
          <w:color w:val="666666"/>
          <w:sz w:val="18"/>
        </w:rPr>
        <w:t>Luo X et al.  ·  Front Public Health  ·  02.10.2026  ·  PMID 42890812</w:t>
      </w:r>
    </w:p>
    <w:p>
      <w:r>
        <w:t>Querschnittsstudie zu Umwelt-Health Literacy bei 1.773 erwachsenen Stadtbewohnern in China mit standardisiertem 30-Item-Messinstrument.</w:t>
      </w:r>
    </w:p>
    <w:p>
      <w:r>
        <w:rPr>
          <w:b/>
        </w:rPr>
        <w:t xml:space="preserve">Ergebnis: </w:t>
      </w:r>
      <w:r>
        <w:t>Höhere Schulbildung zeigte stärksten Effekt auf Health Literacy: Personen mit Masterabschluss erzielen 11,32 Punkte höhere Werte (95%-KI: 7,84–14,80) als Personen mit Grundschulabschluss; adjustierte Quote suffiziente Kompetenz 10,06× höher (95%-KI: 3,82–28,98). 88,8% der Stichprobe erfüllten Schwelle ausreichender Kompetenz. Signifikante Geschlechts-×-Bildungs-Interaktionen zeigen Ungleichheit nach Geschlecht und Bildung.</w:t>
      </w:r>
    </w:p>
    <w:p>
      <w:r>
        <w:rPr>
          <w:b/>
          <w:sz w:val="19"/>
        </w:rPr>
        <w:t xml:space="preserve">Übertragbarkeit: </w:t>
      </w:r>
      <w:r>
        <w:rPr>
          <w:sz w:val="19"/>
        </w:rPr>
        <w:t>China, aber Befund zu Bildungsungleichheit systematisch übertragbar auf deutsche Risikogruppen</w:t>
      </w:r>
    </w:p>
    <w:p>
      <w:r>
        <w:rPr>
          <w:color w:val="5A7D3A"/>
          <w:sz w:val="18"/>
        </w:rPr>
        <w:t>https://pubmed.ncbi.nlm.nih.gov/42890812/</w:t>
      </w:r>
    </w:p>
    <w:p>
      <w:pPr>
        <w:pStyle w:val="Heading2"/>
      </w:pPr>
      <w:r>
        <w:t>Digitale Gesundheitskompetenz im Alter: Drei unterschiedliche Nutzerprofile</w:t>
      </w:r>
    </w:p>
    <w:p>
      <w:r>
        <w:rPr>
          <w:i/>
          <w:color w:val="666666"/>
          <w:sz w:val="18"/>
        </w:rPr>
        <w:t>Xiao Z et al.  ·  Front Public Health  ·  02.10.2026  ·  PMID 42890732</w:t>
      </w:r>
    </w:p>
    <w:p>
      <w:r>
        <w:t>Latente Profilanalyse bei 544 älteren Diabetespatienten (≥60 Jahre) zur eHealth Literacy anhand Chinesischer eHealth Literacy Scale.</w:t>
      </w:r>
    </w:p>
    <w:p>
      <w:r>
        <w:rPr>
          <w:b/>
        </w:rPr>
        <w:t xml:space="preserve">Ergebnis: </w:t>
      </w:r>
      <w:r>
        <w:t>Drei Kompetenzprofile identifiziert: Skill-Dependent 56,8% (Mittelwert 26,88), Comprehensive Deficit 15,1% (17,76), Comprehensive Advancement 28,1% (34,72), obwohl Stichprobenmittel nur 27,71±5,93. Höheres Alter (OR 8,50 pro 10 Jahre vs. Comprehensive Advancement), höhere Angst vor Krankheitsprogression (OR 4,60 pro 5 Punkte) und niedrigere Selbstwirksamkeit prädiktiv für niedrigere Profile. Ein Mittelwert verschleiert diese klinisch relevanten Unterschiede.</w:t>
      </w:r>
    </w:p>
    <w:p>
      <w:r>
        <w:rPr>
          <w:b/>
          <w:sz w:val="19"/>
        </w:rPr>
        <w:t xml:space="preserve">Übertragbarkeit: </w:t>
      </w:r>
      <w:r>
        <w:rPr>
          <w:sz w:val="19"/>
        </w:rPr>
        <w:t>China, aber Befund zu heterogenen Profilen überträgt sich auf deutsche Diabetes-Älteren</w:t>
      </w:r>
    </w:p>
    <w:p>
      <w:r>
        <w:rPr>
          <w:color w:val="5A7D3A"/>
          <w:sz w:val="18"/>
        </w:rPr>
        <w:t>https://pubmed.ncbi.nlm.nih.gov/42890732/</w:t>
      </w:r>
    </w:p>
    <w:p>
      <w:pPr>
        <w:pStyle w:val="Heading2"/>
      </w:pPr>
      <w:r>
        <w:t>Digitale Kompetenz und Behandlungssicherheit bei Herzpatienten: Psychische Faktoren als Schlüssel</w:t>
      </w:r>
    </w:p>
    <w:p>
      <w:r>
        <w:rPr>
          <w:i/>
          <w:color w:val="666666"/>
          <w:sz w:val="18"/>
        </w:rPr>
        <w:t>Huang Y et al.  ·  Front Public Health  ·  01.10.2026  ·  PMID 42889363</w:t>
      </w:r>
    </w:p>
    <w:p>
      <w:r>
        <w:t>Querschnittstudie mit CHD-Patienten (n nicht genannt) zur Assoziation von eHealth Literacy mit Entscheidungskonflikt, mediiert durch Cyberchondria und psychologische Inflexibilität mit latenter Profilanalyse.</w:t>
      </w:r>
    </w:p>
    <w:p>
      <w:r>
        <w:rPr>
          <w:b/>
        </w:rPr>
        <w:t xml:space="preserve">Ergebnis: </w:t>
      </w:r>
      <w:r>
        <w:t>eHealth Literacy signifikant und negativ assoziiert mit Entscheidungskonflikt. Cyberchondria und psychologische Inflexibilität mediieren diese Assoziation. Zwei latente Profile identifiziert: hohes und niedriges eHealth Literacy, unterscheiden sich signifikant in Entscheidungskonflikt, Cyberchondria und psychologischer Flexibilität. Person-zentrierter Ansatz enthüllt zwei Subgruppen statt eines Kontinuums.</w:t>
      </w:r>
    </w:p>
    <w:p>
      <w:r>
        <w:rPr>
          <w:b/>
          <w:sz w:val="19"/>
        </w:rPr>
        <w:t xml:space="preserve">Übertragbarkeit: </w:t>
      </w:r>
      <w:r>
        <w:rPr>
          <w:sz w:val="19"/>
        </w:rPr>
        <w:t>China, aber Befund zu psychischen Blockaden bei digitaler Kompetenznutzung auf deutsche Herzpatienten übertragbar</w:t>
      </w:r>
    </w:p>
    <w:p>
      <w:r>
        <w:rPr>
          <w:color w:val="5A7D3A"/>
          <w:sz w:val="18"/>
        </w:rPr>
        <w:t>https://pubmed.ncbi.nlm.nih.gov/42889363/</w:t>
      </w:r>
    </w:p>
    <w:p>
      <w:pPr>
        <w:pStyle w:val="Heading2"/>
      </w:pPr>
      <w:r>
        <w:t>Wie weibliche Studierende zu HPV-Wissen gelangen: Kanäle und Glaubwürdigkeit entscheidend</w:t>
      </w:r>
    </w:p>
    <w:p>
      <w:r>
        <w:rPr>
          <w:i/>
          <w:color w:val="666666"/>
          <w:sz w:val="18"/>
        </w:rPr>
        <w:t>Xie M et al.  ·  Front Public Health  ·  01.10.2026  ·  PMID 42889210</w:t>
      </w:r>
    </w:p>
    <w:p>
      <w:r>
        <w:t>Querschnittstudie mit 519 Studentinnen in China: Mediation von Health Information Literacy zwischen Informationssuche und HPV-Wissen, moderiert durch Kanaltyp (professional vs. non-professional) und Vertrauenspräferenz.</w:t>
      </w:r>
    </w:p>
    <w:p>
      <w:r>
        <w:rPr>
          <w:b/>
        </w:rPr>
        <w:t xml:space="preserve">Ergebnis: </w:t>
      </w:r>
      <w:r>
        <w:t>Health Information Literacy mediiert Effekt (indirekt: 0,056, 95%-KI [0,019–0,093]). Bei nicht-professionellen Kanälen war HIL-Wissen-Assoziation signifikant (B=0,112, p&lt;0,001), bei professionellen nicht (B=0,018, p=0,521). Vertrauenspräferenz zeigt vierfach stärkere Assoziation für nicht-professionelle Kanäle (B=0,210 vs. 0,049). Kanalcharakteristiken beeinflussen stark, ob Kompetenzen in Wissen übersetzt werden.</w:t>
      </w:r>
    </w:p>
    <w:p>
      <w:r>
        <w:rPr>
          <w:b/>
          <w:sz w:val="19"/>
        </w:rPr>
        <w:t xml:space="preserve">Übertragbarkeit: </w:t>
      </w:r>
      <w:r>
        <w:rPr>
          <w:sz w:val="19"/>
        </w:rPr>
        <w:t>China, aber Befund zu Kanaleffekten auf Wissen systematisch auf deutsche Informationsqualität übertragbar</w:t>
      </w:r>
    </w:p>
    <w:p>
      <w:r>
        <w:rPr>
          <w:color w:val="5A7D3A"/>
          <w:sz w:val="18"/>
        </w:rPr>
        <w:t>https://pubmed.ncbi.nlm.nih.gov/42889210/</w:t>
      </w:r>
    </w:p>
    <w:p>
      <w:pPr>
        <w:pStyle w:val="Heading2"/>
      </w:pPr>
      <w:r>
        <w:t>Patient Activation bei Dialyse: Digitale Begleitung erhöht Patientenbeteiligung, aber mit Hürden</w:t>
      </w:r>
    </w:p>
    <w:p>
      <w:r>
        <w:rPr>
          <w:i/>
          <w:color w:val="666666"/>
          <w:sz w:val="18"/>
        </w:rPr>
        <w:t>Wickens M et al.  ·  J Med Internet Res  ·  16.10.2026  ·  PMID 42887003</w:t>
      </w:r>
    </w:p>
    <w:p>
      <w:r>
        <w:t>Gemischte Methoden zur Patient Activation via 5 Module und 5 Videokonferenzen mit Peer-Mentoring bei Hämodialysepatienten (639 Patienten, 10 Zentren, USA).</w:t>
      </w:r>
    </w:p>
    <w:p>
      <w:r>
        <w:rPr>
          <w:b/>
        </w:rPr>
        <w:t xml:space="preserve">Ergebnis: </w:t>
      </w:r>
      <w:r>
        <w:t>Rekrutiert 155/639 (24,3%), Jüngere Patienten eher rekrutiert (57,6 vs. 64,3 Jahre, p&lt;0,001); jedes Zusatzjahr: 4% niedrigere Chancen (OR 0,96, 95%-KI: 0,94–0,98). Engagement höher bei Männern (IRR 1,33, p&lt;0,001), Schwarzen Patienten (IRR 1,27, p&lt;0,001). Von 155 Rekrutierten vollendeten 58 (37,4%) alle 5 Sessions. Durchschnittlicher Engagement-Score 18,4/50. Hauptverhalten: Patientenmittelung (81% der Ziele, 40,7% realisierten dies). 100% Zufriedenheit unter Mentees. Wichtigste Barriere: Rekrutierung und frühe Attrition vor Beginn.</w:t>
      </w:r>
    </w:p>
    <w:p>
      <w:r>
        <w:rPr>
          <w:b/>
          <w:sz w:val="19"/>
        </w:rPr>
        <w:t xml:space="preserve">Übertragbarkeit: </w:t>
      </w:r>
      <w:r>
        <w:rPr>
          <w:sz w:val="19"/>
        </w:rPr>
        <w:t>USA, aber Befund zu Alters- und Geschlechtsbias bei Engagement und Beteiligung auf deutsche Dialyse übertragbar</w:t>
      </w:r>
    </w:p>
    <w:p>
      <w:r>
        <w:rPr>
          <w:color w:val="5A7D3A"/>
          <w:sz w:val="18"/>
        </w:rPr>
        <w:t>https://pubmed.ncbi.nlm.nih.gov/42887003/</w:t>
      </w:r>
    </w:p>
    <w:p>
      <w:pPr>
        <w:pStyle w:val="Heading2"/>
      </w:pPr>
      <w:r>
        <w:t>Hüftoperation: App, Liveunterricht oder Broschüre – keine Unterschiede beim Verständnis</w:t>
      </w:r>
    </w:p>
    <w:p>
      <w:r>
        <w:rPr>
          <w:i/>
          <w:color w:val="666666"/>
          <w:sz w:val="18"/>
        </w:rPr>
        <w:t>DE Smet A et al.  ·  Acta Orthop Belg  ·  08.10.2026  ·  PMID 42885460</w:t>
      </w:r>
    </w:p>
    <w:p>
      <w:r>
        <w:t>Randomisierte kontrollierte Studie: 79 Patienten vor Hüftgelenksersatz in drei Gruppen (Broschüre n=29, Live-Sitzung n=24, Mobile App n=26) – Vergleich von Aufenthaltsdauer, Patientenzufriedenheit und postoperativen Ergebnissen.</w:t>
      </w:r>
    </w:p>
    <w:p>
      <w:r>
        <w:rPr>
          <w:b/>
        </w:rPr>
        <w:t xml:space="preserve">Ergebnis: </w:t>
      </w:r>
      <w:r>
        <w:t>Krankenhausaufenthalt 4,25±3 Tage, kein signifikanter Unterschied zwischen Gruppen (p=0,525). Zufriedenheit mit Unterrichtsmethode (p=0,997) und Informationsinhalt (p=0,365) gleich in allen Gruppen. App-Gruppe berichtete leicht höhere Motivation für Übungen, nicht signifikant. Alle Gruppen zeigten signifikante postoperative Verbesserungen (p&lt;0,001), keine Unterschiede in Magnitude. Zusatzkosten für Live-Sitzungen und App-Einsatz überwiegen begrenzte Vorteile nicht.</w:t>
      </w:r>
    </w:p>
    <w:p>
      <w:r>
        <w:rPr>
          <w:b/>
          <w:sz w:val="19"/>
        </w:rPr>
        <w:t xml:space="preserve">Übertragbarkeit: </w:t>
      </w:r>
      <w:r>
        <w:rPr>
          <w:sz w:val="19"/>
        </w:rPr>
        <w:t>Belgien, vergleichbares Gesundheitssystem, direkt auf deutsche Orthopädie-Praxen übertragbar</w:t>
      </w:r>
    </w:p>
    <w:p>
      <w:r>
        <w:rPr>
          <w:color w:val="5A7D3A"/>
          <w:sz w:val="18"/>
        </w:rPr>
        <w:t>https://pubmed.ncbi.nlm.nih.gov/42885460/</w:t>
      </w:r>
    </w:p>
    <w:p>
      <w:pPr>
        <w:pStyle w:val="Heading1"/>
      </w:pPr>
      <w:r>
        <w:t>Aufgenommen am 17.10.2026</w:t>
      </w:r>
    </w:p>
    <w:p>
      <w:pPr>
        <w:pStyle w:val="Heading2"/>
      </w:pPr>
      <w:r>
        <w:t>Verständlichkeit digitaler Schulungsmaterialien mit Augmented Reality zur Fußpflege</w:t>
      </w:r>
    </w:p>
    <w:p>
      <w:r>
        <w:rPr>
          <w:i/>
          <w:color w:val="666666"/>
          <w:sz w:val="18"/>
        </w:rPr>
        <w:t>Velázquez-López L et al.  ·  Inquiry  ·  16.10.2026  ·  PMID 42887896</w:t>
      </w:r>
    </w:p>
    <w:p>
      <w:r>
        <w:t>Validierungsstudie eines Hybrid-Lernmaterials (Print und App mit Augmented Reality) zur Diabetischen-Fuß-Prävention durch 38 Fachexpert*innen über drei Monate.</w:t>
      </w:r>
    </w:p>
    <w:p>
      <w:r>
        <w:rPr>
          <w:b/>
        </w:rPr>
        <w:t xml:space="preserve">Ergebnis: </w:t>
      </w:r>
      <w:r>
        <w:t>97,4 % bewerteten das Material mit hohem Score, 2,6 % mit mittlerem Score, 0 % mit niedrigem Score. Mittleres Alter der Expert*innen 34 Jahre, mediane klinische Erfahrung 8 Jahre (IQR 2–15). Das Ergebnis zeigt, dass Fachpersonal die Materialien als verständlich und hilfreich für die Gesundheitserziehung bewertet.</w:t>
      </w:r>
    </w:p>
    <w:p>
      <w:r>
        <w:rPr>
          <w:b/>
          <w:sz w:val="19"/>
        </w:rPr>
        <w:t xml:space="preserve">Übertragbarkeit: </w:t>
      </w:r>
      <w:r>
        <w:rPr>
          <w:sz w:val="19"/>
        </w:rPr>
        <w:t>Mexiko; Validierungsergebnis technik-unabhängig, aber Übertragbarkeit auf deutsche Schulungskontexte erfordert kulturelle Anpassung.</w:t>
      </w:r>
    </w:p>
    <w:p>
      <w:r>
        <w:rPr>
          <w:color w:val="5A7D3A"/>
          <w:sz w:val="18"/>
        </w:rPr>
        <w:t>https://pubmed.ncbi.nlm.nih.gov/42887896/</w:t>
      </w:r>
    </w:p>
    <w:p>
      <w:pPr>
        <w:pStyle w:val="Heading2"/>
      </w:pPr>
      <w:r>
        <w:t>Patientenbeteiligung in Forschung: Lernprozesse und Herausforderungen bei der Zusammenarbeit</w:t>
      </w:r>
    </w:p>
    <w:p>
      <w:r>
        <w:rPr>
          <w:i/>
          <w:color w:val="666666"/>
          <w:sz w:val="18"/>
        </w:rPr>
        <w:t>Fox J et al.  ·  Health Expect  ·  Okt. 2026  ·  PMID 42886175</w:t>
      </w:r>
    </w:p>
    <w:p>
      <w:r>
        <w:t>Qualitative Fallstudie zur Erfahrung von Forschungsteams und Patient*innen mit Lived-Experience-Expertise über sieben Jahre hinweg in einer Mental-Health-Interventionsstudie.</w:t>
      </w:r>
    </w:p>
    <w:p>
      <w:r>
        <w:rPr>
          <w:b/>
        </w:rPr>
        <w:t xml:space="preserve">Ergebnis: </w:t>
      </w:r>
      <w:r>
        <w:t>Beide Gruppen durchliefen einen Lernprozess, der von Spannungen geprägt war. Der Erfolg der Patientenbeteiligung hängt von Flexibilität, offener Kommunikation und regelmäßigem reflektierendem Feedback ab – nicht primär von messbaren wirtschaftlichen Erträgen. Teamdynamik, strukturelle Veränderungen und externe Faktoren (etwa COVID-19) beeinflussen die Zusammenarbeit erheblich.</w:t>
      </w:r>
    </w:p>
    <w:p>
      <w:r>
        <w:rPr>
          <w:b/>
          <w:sz w:val="19"/>
        </w:rPr>
        <w:t xml:space="preserve">Übertragbarkeit: </w:t>
      </w:r>
      <w:r>
        <w:rPr>
          <w:sz w:val="19"/>
        </w:rPr>
        <w:t>Großbritannien, NHS-System; Erkenntnisse zur Gestaltung echter Partizipation sind kontextübergreifend relevant.</w:t>
      </w:r>
    </w:p>
    <w:p>
      <w:r>
        <w:rPr>
          <w:color w:val="5A7D3A"/>
          <w:sz w:val="18"/>
        </w:rPr>
        <w:t>https://pubmed.ncbi.nlm.nih.gov/42886175/</w:t>
      </w:r>
    </w:p>
    <w:p>
      <w:pPr>
        <w:pStyle w:val="Heading2"/>
      </w:pPr>
      <w:r>
        <w:t>Ernährungsschulung in der Schwangerschaft: Effektive Komponenten zur Gestationsdiabetes-Prävention</w:t>
      </w:r>
    </w:p>
    <w:p>
      <w:r>
        <w:rPr>
          <w:i/>
          <w:color w:val="666666"/>
          <w:sz w:val="18"/>
        </w:rPr>
        <w:t>Gao M et al.  ·  Nutrients  ·  08.10.2026  ·  PMID 42884754</w:t>
      </w:r>
    </w:p>
    <w:p>
      <w:r>
        <w:t>Systematischer Review und Metaanalyse von 29 RCTs mit 17.937 schwangeren Frauen zur Wirkung von Ernährungsbildungsinterventionen auf das Gestationsdiabetes-Risiko.</w:t>
      </w:r>
    </w:p>
    <w:p>
      <w:r>
        <w:rPr>
          <w:b/>
        </w:rPr>
        <w:t xml:space="preserve">Ergebnis: </w:t>
      </w:r>
      <w:r>
        <w:t>Interventionen senken das Gestationsdiabetes-Risiko um 12 % (gepooltes RR 0,88, 95%-CI 0,79–0,98; p=0,02). Absolute Inzidenz: 16,01 % (Intervention) vs. 17,06 % (Kontrolle). Größte Risikoreduktion bei Interventionen, die in theoretischen Konzepten verankert, im Krankenhaus durchgeführt und mit hoher Treue umgesetzt wurden. Einzelne Angebote und Diätinhalte zeigten günstige, aber nicht signifikante Trends.</w:t>
      </w:r>
    </w:p>
    <w:p>
      <w:r>
        <w:rPr>
          <w:b/>
          <w:sz w:val="19"/>
        </w:rPr>
        <w:t xml:space="preserve">Übertragbarkeit: </w:t>
      </w:r>
      <w:r>
        <w:rPr>
          <w:sz w:val="19"/>
        </w:rPr>
        <w:t>Diverse Settings; Evidenz unterstützt systematische Verankerung in der Routinevorsorge – auch für Deutschland.</w:t>
      </w:r>
    </w:p>
    <w:p>
      <w:r>
        <w:rPr>
          <w:color w:val="5A7D3A"/>
          <w:sz w:val="18"/>
        </w:rPr>
        <w:t>https://pubmed.ncbi.nlm.nih.gov/42884754/</w:t>
      </w:r>
    </w:p>
    <w:p>
      <w:pPr>
        <w:pStyle w:val="Heading2"/>
      </w:pPr>
      <w:r>
        <w:t>Lücken in der psychischen Gesundheitskompetenz von Fachpflegekräften</w:t>
      </w:r>
    </w:p>
    <w:p>
      <w:r>
        <w:rPr>
          <w:i/>
          <w:color w:val="666666"/>
          <w:sz w:val="18"/>
        </w:rPr>
        <w:t>Pietrzak M et al.  ·  Front Public Health  ·  30.09.2026  ·  PMID 42876669</w:t>
      </w:r>
    </w:p>
    <w:p>
      <w:r>
        <w:t>Querschnittstudie zur Mental Health Literacy (Wissen, Erkennung, Behandlung psychischer Störungen) bei 207 polnischen Familienpflegekräften mit standardisiertem Messinstrument.</w:t>
      </w:r>
    </w:p>
    <w:p>
      <w:r>
        <w:rPr>
          <w:b/>
        </w:rPr>
        <w:t xml:space="preserve">Ergebnis: </w:t>
      </w:r>
      <w:r>
        <w:t>Mittlere normalisierte Gesamtscore 70,43 %; größte Lücken bei Risikofaktoren und verfügbarer professioneller Hilfe (je 66,67 %), beste Scores bei Störungserkennung (75 %). Unabhängig assoziiert mit höherer Kompetenz: jüngeres Alter, städtischer Wohnort, Kontakt zu Menschen mit psychischer Erkrankung. Ältere und ländliche Pflegekräfte brauchen gezielt Fortbildung.</w:t>
      </w:r>
    </w:p>
    <w:p>
      <w:r>
        <w:rPr>
          <w:b/>
          <w:sz w:val="19"/>
        </w:rPr>
        <w:t xml:space="preserve">Übertragbarkeit: </w:t>
      </w:r>
      <w:r>
        <w:rPr>
          <w:sz w:val="19"/>
        </w:rPr>
        <w:t>Polen, EU-Gesundheitssystem; Ergebnisse zur Weiterbildung übertragbar auf Deutschland.</w:t>
      </w:r>
    </w:p>
    <w:p>
      <w:r>
        <w:rPr>
          <w:color w:val="5A7D3A"/>
          <w:sz w:val="18"/>
        </w:rPr>
        <w:t>https://pubmed.ncbi.nlm.nih.gov/42876669/</w:t>
      </w:r>
    </w:p>
    <w:p>
      <w:pPr>
        <w:pStyle w:val="Heading2"/>
      </w:pPr>
      <w:r>
        <w:t>Patientenschulung zur sicheren Heimentfernung von Drainagen: Effekt auf Komplikationen und Zufriedenheit</w:t>
      </w:r>
    </w:p>
    <w:p>
      <w:r>
        <w:rPr>
          <w:i/>
          <w:color w:val="666666"/>
          <w:sz w:val="18"/>
        </w:rPr>
        <w:t>Mostacada N et al.  ·  Clin Nurse Spec  ·  07.10.2026  ·  PMID 42842229</w:t>
      </w:r>
    </w:p>
    <w:p>
      <w:r>
        <w:t>Qualitätsverbesserungsprojekt: Klinische Pflegefachkräfte schulten Patienten (mit Handout, persönlichem Training und Hands-on-Praxis) zur sicheren Entfernung von Jackson-Pratt-Drainagen zu Hause.</w:t>
      </w:r>
    </w:p>
    <w:p>
      <w:r>
        <w:rPr>
          <w:b/>
        </w:rPr>
        <w:t xml:space="preserve">Ergebnis: </w:t>
      </w:r>
      <w:r>
        <w:t>Seit Februar 2025 wurden knapp 100 Drainagen erfolgreich zu Hause entfernt, ohne Komplikationen gemeldet. Durch strukturierte Patientenschulung verbesserte sich Patienten-Sicherheit und Komfort, stieg die Zufriedenheit, sank das Komplikationsrisiko und die Ressourcennutzung, ohne Patientenergebnisse zu gefährden.</w:t>
      </w:r>
    </w:p>
    <w:p>
      <w:r>
        <w:rPr>
          <w:b/>
          <w:sz w:val="19"/>
        </w:rPr>
        <w:t xml:space="preserve">Übertragbarkeit: </w:t>
      </w:r>
      <w:r>
        <w:rPr>
          <w:sz w:val="19"/>
        </w:rPr>
        <w:t>USA; Evidenz für Benefit von strukturierter Patientenschulung ist systemübergreifend relevant, Umsetzung auf Deutschland übertragbar.</w:t>
      </w:r>
    </w:p>
    <w:p>
      <w:r>
        <w:rPr>
          <w:color w:val="5A7D3A"/>
          <w:sz w:val="18"/>
        </w:rPr>
        <w:t>https://pubmed.ncbi.nlm.nih.gov/42842229/</w:t>
      </w:r>
    </w:p>
    <w:p>
      <w:pPr>
        <w:pStyle w:val="Heading2"/>
      </w:pPr>
      <w:r>
        <w:t>Kardiovaskuläre Gesundheitskompetenz bei Frauen: Mangel an Information und Erkennung</w:t>
      </w:r>
    </w:p>
    <w:p>
      <w:r>
        <w:rPr>
          <w:i/>
          <w:color w:val="666666"/>
          <w:sz w:val="18"/>
        </w:rPr>
        <w:t>Quintal J et al.  ·  Rev Port Cardiol  ·  25.08.2026  ·  PMID 42641683</w:t>
      </w:r>
    </w:p>
    <w:p>
      <w:r>
        <w:t>Querschnittstudie bei 204 portugiesischen Frauen (Alter ≥18 Jahre) zur kardiovaskulären Health Literacy: Wissensstand zu Risikofaktoren, Symptomen, Prävention und angemessenem Handeln.</w:t>
      </w:r>
    </w:p>
    <w:p>
      <w:r>
        <w:rPr>
          <w:b/>
        </w:rPr>
        <w:t xml:space="preserve">Ergebnis: </w:t>
      </w:r>
      <w:r>
        <w:t>Nur 5,6 % fühlten sich gut informiert, 15,4 % berichteten kein Wissen. Nur 27,7 % erkannten kardiovaskuläre Erkrankung als Todesursache Nr. 1 bei Frauen. Symptomerkennung unzureichend. Hauptbarrieren: finanzielle Constraints (50 %), Zeitmangel (36,7 %). Im multivariaten Modell: Alter ≥62 Jahre (OR 4,20, 95%-CI 1,57–11,22) und Grundschulbildung (OR 3,60, 95%-CI 1,43–9,09) vorhersagend für niedrige Awareness.</w:t>
      </w:r>
    </w:p>
    <w:p>
      <w:r>
        <w:rPr>
          <w:b/>
          <w:sz w:val="19"/>
        </w:rPr>
        <w:t xml:space="preserve">Übertragbarkeit: </w:t>
      </w:r>
      <w:r>
        <w:rPr>
          <w:sz w:val="19"/>
        </w:rPr>
        <w:t>Portugal, vergleichbares europäisches Gesundheitssystem; Disparitäten nach Alter und Bildung sind in Deutschland ähnlich.</w:t>
      </w:r>
    </w:p>
    <w:p>
      <w:r>
        <w:rPr>
          <w:color w:val="5A7D3A"/>
          <w:sz w:val="18"/>
        </w:rPr>
        <w:t>https://pubmed.ncbi.nlm.nih.gov/42641683/</w:t>
      </w:r>
    </w:p>
    <w:p>
      <w:pPr>
        <w:pStyle w:val="Heading1"/>
      </w:pPr>
      <w:r>
        <w:t>Aufgenommen am 16.10.2026</w:t>
      </w:r>
    </w:p>
    <w:p>
      <w:pPr>
        <w:pStyle w:val="Heading2"/>
      </w:pPr>
      <w:r>
        <w:t>Patienten als Forschungspartner: Co-entwickelter Evaluationsrahmen</w:t>
      </w:r>
    </w:p>
    <w:p>
      <w:r>
        <w:rPr>
          <w:i/>
          <w:color w:val="666666"/>
          <w:sz w:val="18"/>
        </w:rPr>
        <w:t>Rizai M et al.  ·  Health Expect  ·  Okt. 2026  ·  PMID 42878207</w:t>
      </w:r>
    </w:p>
    <w:p>
      <w:r>
        <w:t>Partizipative Entwicklung eines Evaluationsrahmens mit Personen mit Demenzerkrankung und Angehörigen zur Bewertung eines Engagementprogramms in einem nationalen Forschungskonsortium.</w:t>
      </w:r>
    </w:p>
    <w:p>
      <w:r>
        <w:rPr>
          <w:b/>
        </w:rPr>
        <w:t xml:space="preserve">Ergebnis: </w:t>
      </w:r>
      <w:r>
        <w:t>Ein Programmlogikmodell wurde als Grundlage entwickelt, das Aktivitäten und ihre Verknüpfung zu beabsichtigten Ergebnissen visualisiert. Der Rahmen enthält vier Evaluationsfragen mit entsprechenden Indikatoren, Methoden und Datenquellen, ein Mixed-Methods-Design mit Fragebogen und kunstgestützter Evaluation zur Förderung von Inklusion, sowie einen Feedback-Mechanismus. Die partizipative Methode ermöglichte es betroffenen Personen, als Co-Investigatoren und Co-Autoren tätig zu sein.</w:t>
      </w:r>
    </w:p>
    <w:p>
      <w:r>
        <w:rPr>
          <w:b/>
          <w:sz w:val="19"/>
        </w:rPr>
        <w:t xml:space="preserve">Übertragbarkeit: </w:t>
      </w:r>
      <w:r>
        <w:rPr>
          <w:sz w:val="19"/>
        </w:rPr>
        <w:t>Kanada; Modell der Partizipation übertragbar, Prozessschritte als Template für deutsche Forschungskonsortien anwendbar.</w:t>
      </w:r>
    </w:p>
    <w:p>
      <w:r>
        <w:rPr>
          <w:color w:val="5A7D3A"/>
          <w:sz w:val="18"/>
        </w:rPr>
        <w:t>https://pubmed.ncbi.nlm.nih.gov/42878207/</w:t>
      </w:r>
    </w:p>
    <w:p>
      <w:pPr>
        <w:pStyle w:val="Heading2"/>
      </w:pPr>
      <w:r>
        <w:t>Verständnis von psychischer Erkrankung bei Dialysepatienten: Barrieren und Stigma</w:t>
      </w:r>
    </w:p>
    <w:p>
      <w:r>
        <w:rPr>
          <w:i/>
          <w:color w:val="666666"/>
          <w:sz w:val="18"/>
        </w:rPr>
        <w:t>Xiao W et al.  ·  Front Public Health  ·  30.09.2026  ·  PMID 42877207</w:t>
      </w:r>
    </w:p>
    <w:p>
      <w:r>
        <w:t>Qualitative Studie mit 11 Dialysepatienten zu Gesundheitskompetenz, Wissenslücken und Stigma-bedingten Hemmnissen bei der Inanspruchnahme psychischer Unterstützung.</w:t>
      </w:r>
    </w:p>
    <w:p>
      <w:r>
        <w:rPr>
          <w:b/>
        </w:rPr>
        <w:t xml:space="preserve">Ergebnis: </w:t>
      </w:r>
      <w:r>
        <w:t>Drei Kernthemen wurden identifiziert: (1) heterogenes Verständnis von psychischer Erkrankung; (2) fragmentiertes Wissen mit polarisierten Informationsquellen, oberflächlichen Ursachenzuschreibungen und ungleicher Awareness von Hilfsressourcen; (3) ambivalente Einstellungen mit Koexistenz von Stigmatisierung und Normalisierung, verbunden mit Lücke zwischen Absicht und Handeln. Die Studie zeigt dringenden Bedarf für spezialisierte, kulturell angepasste psychoedukationale Interventionen.</w:t>
      </w:r>
    </w:p>
    <w:p>
      <w:r>
        <w:rPr>
          <w:b/>
          <w:sz w:val="19"/>
        </w:rPr>
        <w:t xml:space="preserve">Übertragbarkeit: </w:t>
      </w:r>
      <w:r>
        <w:rPr>
          <w:sz w:val="19"/>
        </w:rPr>
        <w:t>China; Befunde zu Stigma und Wissensfragmentierung gelten kulturübergreifend, erfordern aber lokale Adaptation.</w:t>
      </w:r>
    </w:p>
    <w:p>
      <w:r>
        <w:rPr>
          <w:color w:val="5A7D3A"/>
          <w:sz w:val="18"/>
        </w:rPr>
        <w:t>https://pubmed.ncbi.nlm.nih.gov/42877207/</w:t>
      </w:r>
    </w:p>
    <w:p>
      <w:pPr>
        <w:pStyle w:val="Heading2"/>
      </w:pPr>
      <w:r>
        <w:t>Digitale Schmerzedukation: Welche Bevölkerungsgruppen bleiben ausgeschlossen?</w:t>
      </w:r>
    </w:p>
    <w:p>
      <w:r>
        <w:rPr>
          <w:i/>
          <w:color w:val="666666"/>
          <w:sz w:val="18"/>
        </w:rPr>
        <w:t>Khalid H et al.  ·  Front Public Health  ·  30.09.2026  ·  PMID 42877005</w:t>
      </w:r>
    </w:p>
    <w:p>
      <w:r>
        <w:t>Systematische Übersicht von 100 Studien zu digital gestützten Patientenschulungen für chronische muskuloskelettale Schmerzen mit Fokus auf Erreichung diverser Bevölkerungsgruppen.</w:t>
      </w:r>
    </w:p>
    <w:p>
      <w:r>
        <w:rPr>
          <w:b/>
        </w:rPr>
        <w:t xml:space="preserve">Ergebnis: </w:t>
      </w:r>
      <w:r>
        <w:t>86 % der Studien (n=86) waren in Nord- und Europa durchgeführt, aber 86 % (n=86) richteten sich nicht gezielt an Subgruppen mit höherem Behandlungsbedarf. Von 39 genannten Interventionen waren nur 13 auf diverse Bedürfnisse zugeschnitten. 81 % der Studien (n=81) berichteten reale Tests und Effektivitätsevaluationen; wenige dokumentierten Co-Design oder Prototypentestung. Die Autoren schließen: Zukünftige Entwicklung muss ungedeckte Bedarfe adressieren, um inklusivere Interventionen zu schaffen.</w:t>
      </w:r>
    </w:p>
    <w:p>
      <w:r>
        <w:rPr>
          <w:b/>
          <w:sz w:val="19"/>
        </w:rPr>
        <w:t xml:space="preserve">Übertragbarkeit: </w:t>
      </w:r>
      <w:r>
        <w:rPr>
          <w:sz w:val="19"/>
        </w:rPr>
        <w:t>Multinationale Review; Befund zur Equity-Lücke in Deutschland höchst relevant, Implementierungen müssen unterrepräsentierte Gruppen einschließen.</w:t>
      </w:r>
    </w:p>
    <w:p>
      <w:r>
        <w:rPr>
          <w:color w:val="5A7D3A"/>
          <w:sz w:val="18"/>
        </w:rPr>
        <w:t>https://pubmed.ncbi.nlm.nih.gov/42877005/</w:t>
      </w:r>
    </w:p>
    <w:p>
      <w:pPr>
        <w:pStyle w:val="Heading2"/>
      </w:pPr>
      <w:r>
        <w:t>Gesundheitsbildung senkt irrationalen Antibiotikagebrauch: Kombinierte Intervention</w:t>
      </w:r>
    </w:p>
    <w:p>
      <w:r>
        <w:rPr>
          <w:i/>
          <w:color w:val="666666"/>
          <w:sz w:val="18"/>
        </w:rPr>
        <w:t>Xie X et al.  ·  Front Public Health  ·  30.09.2026  ·  PMID 42876734</w:t>
      </w:r>
    </w:p>
    <w:p>
      <w:r>
        <w:t>Evaluierung einer kombinierten Maßnahme aus Gesundheitsbildungsmaterialien (Broschüren, Videos, Schulungen) und einem intelligenten Rezept-Prüfsystem auf Antibiotikaverschreibung und Kosteneffizienz in einem Krankenhaus.</w:t>
      </w:r>
    </w:p>
    <w:p>
      <w:r>
        <w:rPr>
          <w:b/>
        </w:rPr>
        <w:t xml:space="preserve">Ergebnis: </w:t>
      </w:r>
      <w:r>
        <w:t>Die kombinierte Intervention mit Online- und Offline-Bildungsmaßnahmen führte zu Reduktion der Antibiotikamenge und des Anteils der Antibiotika-Ausgaben an den Gesamtmedikamentenkosten. Von Oktober bis Dezember 2025 sank die Anzahl der Rezepte mit Fehlern bei Indikation, Dosierung, Verabreichungsweg und Kontraindikationsverstößen im Vergleich zur Baseline (Oktober–Dezember 2024) ab. Die multifazettierte Strategie zeigte erhebliches Potenzial zur Reduktion antimikrobieller Substanznutzung.</w:t>
      </w:r>
    </w:p>
    <w:p>
      <w:r>
        <w:rPr>
          <w:b/>
          <w:sz w:val="19"/>
        </w:rPr>
        <w:t xml:space="preserve">Übertragbarkeit: </w:t>
      </w:r>
      <w:r>
        <w:rPr>
          <w:sz w:val="19"/>
        </w:rPr>
        <w:t>China; Konzept der integrierten Bildung + Decision-Support übertragbar; Sprachabhängigkeit der Materialien.</w:t>
      </w:r>
    </w:p>
    <w:p>
      <w:r>
        <w:rPr>
          <w:color w:val="5A7D3A"/>
          <w:sz w:val="18"/>
        </w:rPr>
        <w:t>https://pubmed.ncbi.nlm.nih.gov/42876734/</w:t>
      </w:r>
    </w:p>
    <w:p>
      <w:pPr>
        <w:pStyle w:val="Heading2"/>
      </w:pPr>
      <w:r>
        <w:t>Bewegungsverhalten nach digitaler Schulung: Effekte bei Arthrose</w:t>
      </w:r>
    </w:p>
    <w:p>
      <w:r>
        <w:rPr>
          <w:i/>
          <w:color w:val="666666"/>
          <w:sz w:val="18"/>
        </w:rPr>
        <w:t>Kiadaliri A et al.  ·  BMC Musculoskelet Disord  ·  11.10.2026  ·  PMID 42875770</w:t>
      </w:r>
    </w:p>
    <w:p>
      <w:r>
        <w:t>Longitudinale Registerstudie zur Wirkung eines digitalen Schulungs- und Therapieprogramms auf die körperliche Aktivität bei 15.197 Patienten mit Knie- oder Hüftarthrose über ein Jahr.</w:t>
      </w:r>
    </w:p>
    <w:p>
      <w:r>
        <w:rPr>
          <w:b/>
        </w:rPr>
        <w:t xml:space="preserve">Ergebnis: </w:t>
      </w:r>
      <w:r>
        <w:t>Der Anteil der Patienten, die das empfohlene Aktivitätsniveau (≥150 Min/Woche mäßige bis kräftige Aktivität) erreichten, stieg von 51,4 % (95%-KI: 50,6–52,2) bei Aufnahme auf 58,5 % (57,1–59,9) nach einem Jahr. Vier Aktivitätsmuster wurden identifiziert: persistiert hoch (41,2 %), persistiert niedrig (30,4 %), zunehmend (16,5 %), abnehmend (11,9 %). Body-Mass-Index und körperliche Funktionsfähigkeit waren die wichtigsten mit den Aktivitätsmustern assoziierten Faktoren. Alle Gruppen zeigten vergleichbare klinische Verbesserungen in patientenberichteten Outcomes.</w:t>
      </w:r>
    </w:p>
    <w:p>
      <w:r>
        <w:rPr>
          <w:b/>
          <w:sz w:val="19"/>
        </w:rPr>
        <w:t xml:space="preserve">Übertragbarkeit: </w:t>
      </w:r>
      <w:r>
        <w:rPr>
          <w:sz w:val="19"/>
        </w:rPr>
        <w:t>Schweden, Versicherungssystem vergleichbar; digitale Schulungsformate als Skalierungsmodell übertragbar.</w:t>
      </w:r>
    </w:p>
    <w:p>
      <w:r>
        <w:rPr>
          <w:color w:val="5A7D3A"/>
          <w:sz w:val="18"/>
        </w:rPr>
        <w:t>https://pubmed.ncbi.nlm.nih.gov/42875770/</w:t>
      </w:r>
    </w:p>
    <w:p>
      <w:pPr>
        <w:pStyle w:val="Heading2"/>
      </w:pPr>
      <w:r>
        <w:t>Barrieren zur Teilnahme an Krebsstudien: Was Patienten berichten</w:t>
      </w:r>
    </w:p>
    <w:p>
      <w:r>
        <w:rPr>
          <w:i/>
          <w:color w:val="666666"/>
          <w:sz w:val="18"/>
        </w:rPr>
        <w:t>Scruton S et al.  ·  Cancer Rep (Hoboken)  ·  Okt. 2026  ·  PMID 42870373</w:t>
      </w:r>
    </w:p>
    <w:p>
      <w:r>
        <w:t>Systematische Übersicht von 131 qualitativ-quantitativen Studien zu Barrieren, die Patienten und Angehörige von der Teilnahme an klinischen Krebsstudien abhalten.</w:t>
      </w:r>
    </w:p>
    <w:p>
      <w:r>
        <w:rPr>
          <w:b/>
        </w:rPr>
        <w:t xml:space="preserve">Ergebnis: </w:t>
      </w:r>
      <w:r>
        <w:t>Barrieren wurden in drei Gruppen kategorisiert: (1) psychosoziale Barrieren (Angst vor Nebenwirkungen, Misstrauen, wahrgenommener Nutzenmangel); (2) logistische Barrieren (Reiseanforderungen, finanzielle Belastung); (3) Informationsbarrieren (Schwierigkeiten, Einwilligungsdokumente zu verstehen). Die Analyse von 7.918 Studien ergab, dass Empfehlungen auf finanzielle und logistische Unterstützung, geeignete Informationsvermittlung und Vertrauensaufbau mit dem Forschungspersonal hindeuten.</w:t>
      </w:r>
    </w:p>
    <w:p>
      <w:r>
        <w:rPr>
          <w:b/>
          <w:sz w:val="19"/>
        </w:rPr>
        <w:t xml:space="preserve">Übertragbarkeit: </w:t>
      </w:r>
      <w:r>
        <w:rPr>
          <w:sz w:val="19"/>
        </w:rPr>
        <w:t>Kanada und multinationale Analyse; Barrier-Kategorien sind systemübergreifend relevant für deutsche Onkologiestudien.</w:t>
      </w:r>
    </w:p>
    <w:p>
      <w:r>
        <w:rPr>
          <w:color w:val="5A7D3A"/>
          <w:sz w:val="18"/>
        </w:rPr>
        <w:t>https://pubmed.ncbi.nlm.nih.gov/42870373/</w:t>
      </w:r>
    </w:p>
    <w:p>
      <w:pPr>
        <w:pStyle w:val="Heading1"/>
      </w:pPr>
      <w:r>
        <w:t>Aufgenommen am 15.10.2026</w:t>
      </w:r>
    </w:p>
    <w:p>
      <w:pPr>
        <w:pStyle w:val="Heading2"/>
      </w:pPr>
      <w:r>
        <w:t>Dreisäulen-Rahmen für digitale Gesundheitsbewertung in Ländern mit niedriger Ressourcenlage</w:t>
      </w:r>
    </w:p>
    <w:p>
      <w:r>
        <w:rPr>
          <w:i/>
          <w:color w:val="666666"/>
          <w:sz w:val="18"/>
        </w:rPr>
        <w:t>Irawan AS et al.  ·  Front Public Health  ·  29.09.2026  ·  PMID 42871285</w:t>
      </w:r>
    </w:p>
    <w:p>
      <w:r>
        <w:t>Narrative Übersicht mit integrativem Konzept zur Bewertung digitaler Gesundheit in ressourcenschwachen Ländern, kombiniert Technologie-Benchmarking, Digital Health Literacy und Social-Media-Analyse an 15 ausgewählten Studien (2020–2026).</w:t>
      </w:r>
    </w:p>
    <w:p>
      <w:r>
        <w:rPr>
          <w:b/>
        </w:rPr>
        <w:t xml:space="preserve">Ergebnis: </w:t>
      </w:r>
      <w:r>
        <w:t>Der Rahmen zeigt, dass konventionelle App-Metriken allein unzureichend sind und multidimensionale Bewertungsansätze notwendig sind, die Kontext, Nutzerkompetenz und öffentliche Diskurse einbeziehen. Besondere Relevanz für mütterliche, Kinder- und Jugendgesundheit.</w:t>
      </w:r>
    </w:p>
    <w:p>
      <w:r>
        <w:rPr>
          <w:b/>
          <w:sz w:val="19"/>
        </w:rPr>
        <w:t xml:space="preserve">Übertragbarkeit: </w:t>
      </w:r>
      <w:r>
        <w:rPr>
          <w:sz w:val="19"/>
        </w:rPr>
        <w:t>Konzeptionelles Modell für Forschung und Politik, Systemunterschiede begrenzen direkte Übertragung</w:t>
      </w:r>
    </w:p>
    <w:p>
      <w:r>
        <w:rPr>
          <w:color w:val="5A7D3A"/>
          <w:sz w:val="18"/>
        </w:rPr>
        <w:t>https://pubmed.ncbi.nlm.nih.gov/42871285/</w:t>
      </w:r>
    </w:p>
    <w:p>
      <w:pPr>
        <w:pStyle w:val="Heading2"/>
      </w:pPr>
      <w:r>
        <w:t>Bessere Sexualgesundheits-Kompetenz fördert positive Familienplanungseinstellung</w:t>
      </w:r>
    </w:p>
    <w:p>
      <w:r>
        <w:rPr>
          <w:i/>
          <w:color w:val="666666"/>
          <w:sz w:val="18"/>
        </w:rPr>
        <w:t>Gürel R et al.  ·  Afr J Reprod Health  ·  14.10.2026  ·  PMID 42871112</w:t>
      </w:r>
    </w:p>
    <w:p>
      <w:r>
        <w:t>Türkische Querschnittstudie (n=370 junge Männer, 18–25 Jahre) zum Zusammenhang zwischen Sexual Health Literacy und Einstellung zur Familienplanung mittels FPAS und SHLS.</w:t>
      </w:r>
    </w:p>
    <w:p>
      <w:r>
        <w:rPr>
          <w:b/>
        </w:rPr>
        <w:t xml:space="preserve">Ergebnis: </w:t>
      </w:r>
      <w:r>
        <w:t>Schwach positive Korrelation zwischen Sexual Health Literacy und Familienplanungseinstellung (p &lt; 0,05). Regressionsanalyse zeigte, dass die Variablen 20 % der Varianz in Familienplanungseinstellungen erklärten (R² = 0,20). Verbesserung der Sexual Health Literacy kann positive Einstellungen junger Männer zur Familienplanung beeinflussen.</w:t>
      </w:r>
    </w:p>
    <w:p>
      <w:r>
        <w:rPr>
          <w:b/>
          <w:sz w:val="19"/>
        </w:rPr>
        <w:t xml:space="preserve">Übertragbarkeit: </w:t>
      </w:r>
      <w:r>
        <w:rPr>
          <w:sz w:val="19"/>
        </w:rPr>
        <w:t>Türkei, ähnliche Versorgungsstruktur wie südosteuropäische Nachbarn Deutschlands</w:t>
      </w:r>
    </w:p>
    <w:p>
      <w:r>
        <w:rPr>
          <w:color w:val="5A7D3A"/>
          <w:sz w:val="18"/>
        </w:rPr>
        <w:t>https://pubmed.ncbi.nlm.nih.gov/42871112/</w:t>
      </w:r>
    </w:p>
    <w:p>
      <w:pPr>
        <w:pStyle w:val="Heading2"/>
      </w:pPr>
      <w:r>
        <w:t>Höheres Alter, nicht Krebserkrankung, senkt die eHealth Literacy</w:t>
      </w:r>
    </w:p>
    <w:p>
      <w:r>
        <w:rPr>
          <w:i/>
          <w:color w:val="666666"/>
          <w:sz w:val="18"/>
        </w:rPr>
        <w:t>Kongshaug N et al.  ·  JCO Clin Cancer Inform  ·  09.10.2026  ·  PMID 42854113</w:t>
      </w:r>
    </w:p>
    <w:p>
      <w:r>
        <w:t>Querschnittstudie zur Messung der eHealth Literacy mittels eHLQ-Fragebogen bei 248 Krebspatienten in aktiver Chemotherapie oder kürzlich behandelt in drei norwegischen Ambulanzen.</w:t>
      </w:r>
    </w:p>
    <w:p>
      <w:r>
        <w:rPr>
          <w:b/>
        </w:rPr>
        <w:t xml:space="preserve">Ergebnis: </w:t>
      </w:r>
      <w:r>
        <w:t>eHealth-Literacy-Werte schwankten zwischen 2,72 und 3,14 auf einer Skala (SD 0,42–0,62). Höheres Alter war der stärkste Prädiktor für niedrigere eHealth Literacy (signifikant), Geschlecht zeigte keinen Unterschied, und der Zusammenhang zwischen niedriger Bildung/Einkommen und niedriger eHealth Literacy verschwand nach Altersanpassung. Eine schwere Erkrankung oder Chemotherapie beeinflussen die digitale Gesundheitskompetenz nicht substanziell.</w:t>
      </w:r>
    </w:p>
    <w:p>
      <w:r>
        <w:rPr>
          <w:b/>
          <w:sz w:val="19"/>
        </w:rPr>
        <w:t xml:space="preserve">Übertragbarkeit: </w:t>
      </w:r>
      <w:r>
        <w:rPr>
          <w:sz w:val="19"/>
        </w:rPr>
        <w:t>Skandinavien mit Gatekeeping-System, begrenzte direkte Übertragung auf deutsche Versorgungsstrukturen</w:t>
      </w:r>
    </w:p>
    <w:p>
      <w:r>
        <w:rPr>
          <w:color w:val="5A7D3A"/>
          <w:sz w:val="18"/>
        </w:rPr>
        <w:t>https://pubmed.ncbi.nlm.nih.gov/42854113/</w:t>
      </w:r>
    </w:p>
    <w:p>
      <w:pPr>
        <w:pStyle w:val="Heading2"/>
      </w:pPr>
      <w:r>
        <w:t>Rassendiskriminierung und Health Literacy beeinflussen Vertrauen in COVID-Impfstoffe</w:t>
      </w:r>
    </w:p>
    <w:p>
      <w:r>
        <w:rPr>
          <w:i/>
          <w:color w:val="666666"/>
          <w:sz w:val="18"/>
        </w:rPr>
        <w:t>Beogo I et al.  ·  Vaccine  ·  14.11.2026  ·  PMID 42832932</w:t>
      </w:r>
    </w:p>
    <w:p>
      <w:r>
        <w:t>Kanadische Querschnittstudie (n=581, 55+ Jahre) zu Wahrnehmung der COVID-19-Impfstoffwirksamkeit nach ethnischer Herkunft und deren Zusammenhang mit Diskriminungserfahrungen und Health Literacy.</w:t>
      </w:r>
    </w:p>
    <w:p>
      <w:r>
        <w:rPr>
          <w:b/>
        </w:rPr>
        <w:t xml:space="preserve">Ergebnis: </w:t>
      </w:r>
      <w:r>
        <w:t>Rassenbedingte Diskriminierung war der stärkste Prädiktor für niedrigere wahrgenommene Impfstoffwirksamkeit (β = −0,42, p = 0,006), gefolgt von Health Literacy (β = 0,09, p = 0,002) und Schwarzsein versus Weiß-Sein (β = −1,49, p = 0,020). Asiatische und weiße Teilnehmende bewerteten Impfstoffe signifikant besser als schwarze und indigene Teilnehmende (F = 2,88, p = 0,009).</w:t>
      </w:r>
    </w:p>
    <w:p>
      <w:r>
        <w:rPr>
          <w:b/>
          <w:sz w:val="19"/>
        </w:rPr>
        <w:t xml:space="preserve">Übertragbarkeit: </w:t>
      </w:r>
      <w:r>
        <w:rPr>
          <w:sz w:val="19"/>
        </w:rPr>
        <w:t>Kanada mit ähnlichem Versicherungssystem, Erkenntnis zu Ungleichheiten übertragbar auf Deutschland</w:t>
      </w:r>
    </w:p>
    <w:p>
      <w:r>
        <w:rPr>
          <w:color w:val="5A7D3A"/>
          <w:sz w:val="18"/>
        </w:rPr>
        <w:t>https://pubmed.ncbi.nlm.nih.gov/42832932/</w:t>
      </w:r>
    </w:p>
    <w:p>
      <w:pPr>
        <w:pStyle w:val="Heading2"/>
      </w:pPr>
      <w:r>
        <w:t>Gesundheitswahrnehmung ist stärkster Treiber für Inanspruchnahme psychologischer Hilfe</w:t>
      </w:r>
    </w:p>
    <w:p>
      <w:r>
        <w:rPr>
          <w:i/>
          <w:color w:val="666666"/>
          <w:sz w:val="18"/>
        </w:rPr>
        <w:t>Dilmen Bayar B et al.  ·  Medicine (Baltimore)  ·  25.09.2026  ·  PMID 42798053</w:t>
      </w:r>
    </w:p>
    <w:p>
      <w:r>
        <w:t>Türkische Querschnittsstudie (n=398) in der multikulturellen Stadt Mardin zum Zusammenhang zwischen Mental Health Literacy, Gesundheitswahrnehmung und Bereitschaft, professionelle psychologische Hilfe zu suchen, in vier ethnischen Gruppen (Assyrisch, Türkisch, Arabisch, Kurdisch).</w:t>
      </w:r>
    </w:p>
    <w:p>
      <w:r>
        <w:rPr>
          <w:b/>
        </w:rPr>
        <w:t xml:space="preserve">Ergebnis: </w:t>
      </w:r>
      <w:r>
        <w:t>Ethnic-Gruppen unterschieden sich signifikant in Mental Health Literacy, Gesundheitswahrnehmung und Hilfsuchbereitschaft (alle p &lt; 0,05). Gesundheitswahrnehmung war der stärkste Prädiktor für Hilfsuchbereitschaft (β = 0,666, p &lt; 0,001), Mental Health Literacy war schwach positiv korreliert (r = 0,138, p = 0,006). Das Regressionsmodell erklärte 41,5 % der Varianz in Hilfsuchbereitschaft (R² = 0,415).</w:t>
      </w:r>
    </w:p>
    <w:p>
      <w:r>
        <w:rPr>
          <w:b/>
          <w:sz w:val="19"/>
        </w:rPr>
        <w:t xml:space="preserve">Übertragbarkeit: </w:t>
      </w:r>
      <w:r>
        <w:rPr>
          <w:sz w:val="19"/>
        </w:rPr>
        <w:t>Türkei, multikultureller Kontext mit teilweise vergleichbaren Bevölkerungsdynamiken wie deutsche Großstädte</w:t>
      </w:r>
    </w:p>
    <w:p>
      <w:r>
        <w:rPr>
          <w:color w:val="5A7D3A"/>
          <w:sz w:val="18"/>
        </w:rPr>
        <w:t>https://pubmed.ncbi.nlm.nih.gov/42798053/</w:t>
      </w:r>
    </w:p>
    <w:p>
      <w:pPr>
        <w:pStyle w:val="Heading2"/>
      </w:pPr>
      <w:r>
        <w:t>Videounterstützte Aufklärung verkürzt OP-Gespräche ohne Verständnisverlust</w:t>
      </w:r>
    </w:p>
    <w:p>
      <w:r>
        <w:rPr>
          <w:i/>
          <w:color w:val="666666"/>
          <w:sz w:val="18"/>
        </w:rPr>
        <w:t>Leicht SGPD et al.  ·  World J Surg  ·  05.09.2026  ·  PMID 42699982</w:t>
      </w:r>
    </w:p>
    <w:p>
      <w:r>
        <w:t>Vergleich von videogestützter versus ärztlicher Aufklärung vor elektiven Bauchoperationen (Cholezystektomie, Kolonresektion) zur Messung von Gesprächsdauer, Patientenverständnis und Zufriedenheit.</w:t>
      </w:r>
    </w:p>
    <w:p>
      <w:r>
        <w:rPr>
          <w:b/>
        </w:rPr>
        <w:t xml:space="preserve">Ergebnis: </w:t>
      </w:r>
      <w:r>
        <w:t>Videogestützte Aufklärung reduzierte die ärztliche Gesprächszeit erheblich (Cholezystektomie: 1,5 vs. 8,1 Min., Kolonresektion: 3,3 vs. 11,9 Min.), ohne dass Patientenverständnis, -zufriedenheit oder postoperative Schmerzen beeinträchtigt wurden. Ärzte waren mit dem videogestützten Prozess hochzufrieden. Ein vielversprechender Weg, digitale Innovationen in der Aufklärungspraxis zu nutzen.</w:t>
      </w:r>
    </w:p>
    <w:p>
      <w:r>
        <w:rPr>
          <w:b/>
          <w:sz w:val="19"/>
        </w:rPr>
        <w:t xml:space="preserve">Übertragbarkeit: </w:t>
      </w:r>
      <w:r>
        <w:rPr>
          <w:sz w:val="19"/>
        </w:rPr>
        <w:t>Deutschland: Universitätsklinik Würzburg, vergleichbares Rechtssystem und Aufklärungspflichten</w:t>
      </w:r>
    </w:p>
    <w:p>
      <w:r>
        <w:rPr>
          <w:color w:val="5A7D3A"/>
          <w:sz w:val="18"/>
        </w:rPr>
        <w:t>https://pubmed.ncbi.nlm.nih.gov/42699982/</w:t>
      </w:r>
    </w:p>
    <w:p>
      <w:pPr>
        <w:pStyle w:val="Heading1"/>
      </w:pPr>
      <w:r>
        <w:t>Aufgenommen am 14.10.2026</w:t>
      </w:r>
    </w:p>
    <w:p>
      <w:pPr>
        <w:pStyle w:val="Heading2"/>
      </w:pPr>
      <w:r>
        <w:t>Kurzvideo verbessert Verständnis von Tumor-Genomtestung dauerhaft</w:t>
      </w:r>
    </w:p>
    <w:p>
      <w:r>
        <w:rPr>
          <w:i/>
          <w:color w:val="666666"/>
          <w:sz w:val="18"/>
        </w:rPr>
        <w:t>Veney DJ et al.  ·  PLoS One  ·  13.10.2026  ·  PMID 42868120</w:t>
      </w:r>
    </w:p>
    <w:p>
      <w:r>
        <w:t>Quantitative Studie mit 203 Krebspatienten in akademischen und Gemeinschaftspraxen in den USA, die die Wirkung eines 3-4 Minuten langen Erklärvideos vor Genomtestung untersuchte.</w:t>
      </w:r>
    </w:p>
    <w:p>
      <w:r>
        <w:rPr>
          <w:b/>
        </w:rPr>
        <w:t xml:space="preserve">Ergebnis: </w:t>
      </w:r>
      <w:r>
        <w:t>Videogestütztes Wissen (VMSK) verbesserte sich signifikant vom Zeitpunkt vor Video (T1) über direkt danach (T2) bis nach Ergebnis (T3), mit p&lt;0,0001. Bei vier spezifischen Fragen zu Behandlungsfolgen, Zufallsbefunden und Kostenübernahme war die Verbesserung deutlich (alle p≤0,0001). Objektives genetisches Wissen (GKU) änderte sich nicht (p=0,41). Die Wirkung war konsistent in akademischen und Gemeinschaftspraxen sowie über alle Krebsarten hinweg.</w:t>
      </w:r>
    </w:p>
    <w:p>
      <w:r>
        <w:rPr>
          <w:b/>
          <w:sz w:val="19"/>
        </w:rPr>
        <w:t xml:space="preserve">Übertragbarkeit: </w:t>
      </w:r>
      <w:r>
        <w:rPr>
          <w:sz w:val="19"/>
        </w:rPr>
        <w:t>USA; Videoformat und Inhalte müssen für deutsche Fachsprache und Versicherungssystem adaptiert werden</w:t>
      </w:r>
    </w:p>
    <w:p>
      <w:r>
        <w:rPr>
          <w:color w:val="5A7D3A"/>
          <w:sz w:val="18"/>
        </w:rPr>
        <w:t>https://pubmed.ncbi.nlm.nih.gov/42868120/</w:t>
      </w:r>
    </w:p>
    <w:p>
      <w:pPr>
        <w:pStyle w:val="Heading2"/>
      </w:pPr>
      <w:r>
        <w:t>Schulung stärkt Gesundheitskompetenz von Pflegefachpersonen – erste Messresultate aus China</w:t>
      </w:r>
    </w:p>
    <w:p>
      <w:r>
        <w:rPr>
          <w:i/>
          <w:color w:val="666666"/>
          <w:sz w:val="18"/>
        </w:rPr>
        <w:t>Bao X et al.  ·  Front Public Health  ·  28.09.2026  ·  PMID 42865762</w:t>
      </w:r>
    </w:p>
    <w:p>
      <w:r>
        <w:t>Methodische Studie mit 647 Pflegefachpersonen aus Krankenhäusern in China, die eine Skala zur Erfassung von Gesundheitskompetenz bei Pflegenden entwickelte und in einer Querschnittserhebung anwendete.</w:t>
      </w:r>
    </w:p>
    <w:p>
      <w:r>
        <w:rPr>
          <w:b/>
        </w:rPr>
        <w:t xml:space="preserve">Ergebnis: </w:t>
      </w:r>
      <w:r>
        <w:t>Die finale 39-Item-Skala mit fünf Dimensionen erklärte 72,6% der Varianz mit gutem Modellfit (χ²/df=2,223, RMSEA=0,056). Die Gesamtskala Cronbachs α war 0,958. Bei 647 befragten Pflegefachpersonen lag der mittlere Score bei 154,41 (SD 20,60). In der Regressionsanalyse waren unabhängige Prädiktoren: Gesundheitsstatus (β=0,087, p=0,024), Gesundheitskompetenz-Schulung (β=0,164, p=0,001) und Kompetenzschulung (β=0,122, p=0,012). Diese erklärten 7,8% der Varianz.</w:t>
      </w:r>
    </w:p>
    <w:p>
      <w:r>
        <w:rPr>
          <w:b/>
          <w:sz w:val="19"/>
        </w:rPr>
        <w:t xml:space="preserve">Übertragbarkeit: </w:t>
      </w:r>
      <w:r>
        <w:rPr>
          <w:sz w:val="19"/>
        </w:rPr>
        <w:t>China; Skalenkonstruktion für deutsches Nursing-Assessment möglich, aber Kontextualisierung erforderlich</w:t>
      </w:r>
    </w:p>
    <w:p>
      <w:r>
        <w:rPr>
          <w:color w:val="5A7D3A"/>
          <w:sz w:val="18"/>
        </w:rPr>
        <w:t>https://pubmed.ncbi.nlm.nih.gov/42865762/</w:t>
      </w:r>
    </w:p>
    <w:p>
      <w:pPr>
        <w:pStyle w:val="Heading2"/>
      </w:pPr>
      <w:r>
        <w:t>Beteiligung von Patienten in der Arzneimittelentwicklung: Motive analysieren, Hürden erkennen</w:t>
      </w:r>
    </w:p>
    <w:p>
      <w:r>
        <w:rPr>
          <w:i/>
          <w:color w:val="666666"/>
          <w:sz w:val="18"/>
        </w:rPr>
        <w:t>Frost J et al.  ·  Sociol Health Illn  ·  Nov. 2026  ·  PMID 42865318</w:t>
      </w:r>
    </w:p>
    <w:p>
      <w:r>
        <w:t>Ethnografische Studie mit Biotechnologieunternehmen (200 Stunden informelle, 50 Stunden formelle Beobachtung, 10 Interviews, Dokumentenanalyse), die die Motive und praktischen Barrieren für Patientenbeteiligung während der Arzneimittelentwicklung untersuchte.</w:t>
      </w:r>
    </w:p>
    <w:p>
      <w:r>
        <w:rPr>
          <w:b/>
        </w:rPr>
        <w:t xml:space="preserve">Ergebnis: </w:t>
      </w:r>
      <w:r>
        <w:t>Unternehmen nennen mehrere Motive für Patientenbeteiligung: regulatorische Anforderungen, Corporate Social Responsibility und Return-on-Investment. Die Analyse zeigte aber systematische Lücken: Es fehlte eine Strategie, diese Motive in ein Framework zu übersetzen, das nachhaltige Beteiligung im Zeitverlauf sichert. Barrieren sind die dynamische Natur der Pipeline, begrenzte zeitliche Fenster und falsche Vorstellungen über Engagement-Mechanismen. Die Studie identifizierte Praktiken in Entwicklungs- und Industrieprozessen, die sinnvolle Beteiligung behindern.</w:t>
      </w:r>
    </w:p>
    <w:p>
      <w:r>
        <w:rPr>
          <w:b/>
          <w:sz w:val="19"/>
        </w:rPr>
        <w:t xml:space="preserve">Übertragbarkeit: </w:t>
      </w:r>
      <w:r>
        <w:rPr>
          <w:sz w:val="19"/>
        </w:rPr>
        <w:t>Großbritannien mit Patientenperspektive; Erkenntnisse zu institutionellen Barrieren auf deutsche Versorgungsforschung übertragbar</w:t>
      </w:r>
    </w:p>
    <w:p>
      <w:r>
        <w:rPr>
          <w:color w:val="5A7D3A"/>
          <w:sz w:val="18"/>
        </w:rPr>
        <w:t>https://pubmed.ncbi.nlm.nih.gov/42865318/</w:t>
      </w:r>
    </w:p>
    <w:p>
      <w:pPr>
        <w:pStyle w:val="Heading2"/>
      </w:pPr>
      <w:r>
        <w:t>Psychoedukation mit motivierender Gesprächsführung verbessert Wissen und Hoffnung bei Schizophrenie</w:t>
      </w:r>
    </w:p>
    <w:p>
      <w:r>
        <w:rPr>
          <w:i/>
          <w:color w:val="666666"/>
          <w:sz w:val="18"/>
        </w:rPr>
        <w:t>Taşkıner B et al.  ·  Arch Psychiatr Nurs  ·  27.08.2026  ·  PMID 42863921</w:t>
      </w:r>
    </w:p>
    <w:p>
      <w:r>
        <w:t>Randomisierte kontrollierte Studie mit 44 Personen mit Schizophrenie in der Türkei, die untersuchte, ob ein kombiniertes Programm aus Psychoedukation und motivierender Gesprächsführung das krankheitsbezogene Wissen und die Hoffnung verbessert.</w:t>
      </w:r>
    </w:p>
    <w:p>
      <w:r>
        <w:rPr>
          <w:b/>
        </w:rPr>
        <w:t xml:space="preserve">Ergebnis: </w:t>
      </w:r>
      <w:r>
        <w:t>Die Interventionsgruppe (n=21) zeigte nach dem Programm signifikante Verbesserungen in krankheitsbezogenem Wissen (F=176,060, p&lt;0,001, η²=0,898) und Hoffnung (F=99,782, p&lt;0,001, η²=0,833), die sich ein Monat später erhielten. Die Kontrollgruppe (n=23) ohne Intervention zeigte diese Verbesserungen nicht.</w:t>
      </w:r>
    </w:p>
    <w:p>
      <w:r>
        <w:rPr>
          <w:b/>
          <w:sz w:val="19"/>
        </w:rPr>
        <w:t xml:space="preserve">Übertragbarkeit: </w:t>
      </w:r>
      <w:r>
        <w:rPr>
          <w:sz w:val="19"/>
        </w:rPr>
        <w:t>Türkei, psychiatrischer Gemeindedienst; Schulungsmodell prinzipiell übertragbar auf deutsches Gesundheitswesen</w:t>
      </w:r>
    </w:p>
    <w:p>
      <w:r>
        <w:rPr>
          <w:color w:val="5A7D3A"/>
          <w:sz w:val="18"/>
        </w:rPr>
        <w:t>https://pubmed.ncbi.nlm.nih.gov/42863921/</w:t>
      </w:r>
    </w:p>
    <w:p>
      <w:pPr>
        <w:pStyle w:val="Heading2"/>
      </w:pPr>
      <w:r>
        <w:t>Wie Gesundheitskompetenz über Verhalten und Psyche die Lebensqualität beeinflusst</w:t>
      </w:r>
    </w:p>
    <w:p>
      <w:r>
        <w:rPr>
          <w:i/>
          <w:color w:val="666666"/>
          <w:sz w:val="18"/>
        </w:rPr>
        <w:t>Poonthananiwatkul B et al.  ·  Health Lit Res Pract  ·  09.10.2026  ·  PMID 42858453</w:t>
      </w:r>
    </w:p>
    <w:p>
      <w:r>
        <w:t>Strukturgleichungsmodell mit 360 arbeitsfähigen Erwachsenen (15–59 Jahre) in Thailand, das die Pfade untersuchte, über die Gesundheitskompetenz auf Lebensqualität wirkt.</w:t>
      </w:r>
    </w:p>
    <w:p>
      <w:r>
        <w:rPr>
          <w:b/>
        </w:rPr>
        <w:t xml:space="preserve">Ergebnis: </w:t>
      </w:r>
      <w:r>
        <w:t>Gesundheitsverhalten und psychische Gesundheit hatten signifikante direkte positive Effekte auf Lebensqualität (β=0,315, p&lt;0,001; β=0,860, p&lt;0,001). Gesundheitskompetenz wirkte signifikant positiv auf Verhalten (β=0,396, p&lt;0,001) und psychische Gesundheit (β=0,391, p&lt;0,001) und indirekt auf Lebensqualität (β=0,464, p&lt;0,001). Das Modell erklärte 92% der Varianz in Lebensqualität mit ausgezeichnetem Fit (χ²/df=1,249, p=0,070, RMSEA=0,026, CFI=0,995). Ein sequenzieller Pfad wurde beobachtet: Gesundheitskompetenz → Verhalten → psychische Gesundheit → Lebensqualität.</w:t>
      </w:r>
    </w:p>
    <w:p>
      <w:r>
        <w:rPr>
          <w:b/>
          <w:sz w:val="19"/>
        </w:rPr>
        <w:t xml:space="preserve">Übertragbarkeit: </w:t>
      </w:r>
      <w:r>
        <w:rPr>
          <w:sz w:val="19"/>
        </w:rPr>
        <w:t>Thailand; Modellstruktur zeigt theoretische Anknüpfungspunkte für deutsche Interventionen, aber kulturelle Kontextualisierung nötig</w:t>
      </w:r>
    </w:p>
    <w:p>
      <w:r>
        <w:rPr>
          <w:color w:val="5A7D3A"/>
          <w:sz w:val="18"/>
        </w:rPr>
        <w:t>https://pubmed.ncbi.nlm.nih.gov/42858453/</w:t>
      </w:r>
    </w:p>
    <w:p>
      <w:pPr>
        <w:pStyle w:val="Heading2"/>
      </w:pPr>
      <w:r>
        <w:t>Generative KI in der Patientenbeteiligung: Risiken erkennen, Regeln setzen</w:t>
      </w:r>
    </w:p>
    <w:p>
      <w:r>
        <w:rPr>
          <w:i/>
          <w:color w:val="666666"/>
          <w:sz w:val="18"/>
        </w:rPr>
        <w:t>Lammons W et al.  ·  J Med Internet Res  ·  30.09.2026  ·  PMID 42852573</w:t>
      </w:r>
    </w:p>
    <w:p>
      <w:r>
        <w:t>Stellungnahme von PPIE-Fachleuten (Patient and Public Involvement and Engagement) in Großbritannien, die die Risiken und Chancen generativer KI für die authentische Rolle von Patienten in Gesundheitsforschung und -politik analysiert.</w:t>
      </w:r>
    </w:p>
    <w:p>
      <w:r>
        <w:rPr>
          <w:b/>
        </w:rPr>
        <w:t xml:space="preserve">Ergebnis: </w:t>
      </w:r>
      <w:r>
        <w:t>Vier Risiken werden benannt: KI kann verzerrte oder falsche Outputs produzieren, die Ungleichheit verstärken, Patientenstimmen minimieren oder ersetzen und Lernprozesse einengen. Als Chancen werden schnellere Diagnostik und Barrierefreiheit genannt. Die Autoren stellen eine Checkliste bereit mit pragmatischen Anforderungen an ethische KI-Nutzung in PPIE-Kontexten.</w:t>
      </w:r>
    </w:p>
    <w:p>
      <w:r>
        <w:rPr>
          <w:b/>
          <w:sz w:val="19"/>
        </w:rPr>
        <w:t xml:space="preserve">Übertragbarkeit: </w:t>
      </w:r>
      <w:r>
        <w:rPr>
          <w:sz w:val="19"/>
        </w:rPr>
        <w:t>Großbritannien, NHS-Kontext; Fragenstellung zur Authentizität von Patientenstimmen systemübergreifend relevant</w:t>
      </w:r>
    </w:p>
    <w:p>
      <w:r>
        <w:rPr>
          <w:color w:val="5A7D3A"/>
          <w:sz w:val="18"/>
        </w:rPr>
        <w:t>https://pubmed.ncbi.nlm.nih.gov/42852573/</w:t>
      </w:r>
    </w:p>
    <w:p>
      <w:pPr>
        <w:pStyle w:val="Heading1"/>
      </w:pPr>
      <w:r>
        <w:t>Aufgenommen am 13.10.2026</w:t>
      </w:r>
    </w:p>
    <w:p>
      <w:pPr>
        <w:pStyle w:val="Heading2"/>
      </w:pPr>
      <w:r>
        <w:t>CollaboRATE-5 misst Patientenbeteiligung an Entscheidungen reliabel – auch in Türkei</w:t>
      </w:r>
    </w:p>
    <w:p>
      <w:r>
        <w:rPr>
          <w:i/>
          <w:color w:val="666666"/>
          <w:sz w:val="18"/>
        </w:rPr>
        <w:t>Toçoğlu M et al.  ·  J Eval Clin Pract  ·  Okt. 2026  ·  PMID 42862937</w:t>
      </w:r>
    </w:p>
    <w:p>
      <w:r>
        <w:t>Methodische Studie zur Adaptation und psychometrischen Validierung der 5-Item-Skala CollaboRATE-5 für türkische Diabetespatienten (n=200) zur Erfassung wahrgenommener Shared Decision-Making.</w:t>
      </w:r>
    </w:p>
    <w:p>
      <w:r>
        <w:rPr>
          <w:b/>
        </w:rPr>
        <w:t xml:space="preserve">Ergebnis: </w:t>
      </w:r>
      <w:r>
        <w:t>Cronbach's α=0,918 (hohe innere Konsistenz). Test-Retest-Reliabilität ICC=0,892 (n=65). Item-Gesamt-Korrelationen 0,776–0,866. Standardisierte Faktorladungen 0,872–0,986. Mittleres Score 9,51±2,22 (Range 0–12), 31,5% erreichten Maximalwert. Inverse Korrelation mit Decisional Conflict Scale (rs=−0,641; p&lt;0,001). Höhere Scores assoziiert mit höherer Bildung, besserer Gesundheitswahrnehmung, männlichem Geschlecht (alle p&lt;0,01). Strukturelle Validität in just-identified Modell nicht unabhängig bestätigt, aber insgesamt Reliabilität und Konstruktvalidität unterstützt.</w:t>
      </w:r>
    </w:p>
    <w:p>
      <w:r>
        <w:rPr>
          <w:b/>
          <w:sz w:val="19"/>
        </w:rPr>
        <w:t xml:space="preserve">Übertragbarkeit: </w:t>
      </w:r>
      <w:r>
        <w:rPr>
          <w:sz w:val="19"/>
        </w:rPr>
        <w:t>Türkei, aber CollaboRATE-5 international validierter Standard – Ergebnis auf Deutschland übertragbar</w:t>
      </w:r>
    </w:p>
    <w:p>
      <w:r>
        <w:rPr>
          <w:color w:val="5A7D3A"/>
          <w:sz w:val="18"/>
        </w:rPr>
        <w:t>https://pubmed.ncbi.nlm.nih.gov/42862937/</w:t>
      </w:r>
    </w:p>
    <w:p>
      <w:pPr>
        <w:pStyle w:val="Heading2"/>
      </w:pPr>
      <w:r>
        <w:t>Strukturierte Stillvorbereitung erhöht Stillquoten und reduziert Stillkomplikationen</w:t>
      </w:r>
    </w:p>
    <w:p>
      <w:r>
        <w:rPr>
          <w:i/>
          <w:color w:val="666666"/>
          <w:sz w:val="18"/>
        </w:rPr>
        <w:t>Zhang C et al.  ·  J Obstet Gynaecol  ·  12.10.2026  ·  PMID 42862704</w:t>
      </w:r>
    </w:p>
    <w:p>
      <w:r>
        <w:t>Eine Studie verglich Frauen mit multikomponentenem Schulungsprogramm (Wissen, Einstellungen, praktische Fähigkeiten) gegen Standardvorbereitung auf Stilleergebnis und Selbstwirksamkeit.</w:t>
      </w:r>
    </w:p>
    <w:p>
      <w:r>
        <w:rPr>
          <w:b/>
        </w:rPr>
        <w:t xml:space="preserve">Ergebnis: </w:t>
      </w:r>
      <w:r>
        <w:t>Die Interventionsgruppe erreichte höhere Wissens-Einstellungs-Praktiken-Scores (80,8±5,6 vs. 63,4±6,9; p&lt;0,001), bessere Stillselbstwirksamkeit (58,2±4,8 vs. 48,6±5,4; p&lt;0,001) und signifikant höhere Quote ausschließlichen Stillens nach 6 Monaten (55,9% vs. 31,6%; p&lt;0,001); Morbidität (Brustwarzentrauma, Stauung, Mastitis) war deutlich reduziert (alle p&lt;0,01). Expositionsgruppe zeigte unabhängig erhöhte Chancen für Stillen nach 6 Monaten (adjustierte OR 2,84; 95%-CI 1,98–4,07).</w:t>
      </w:r>
    </w:p>
    <w:p>
      <w:r>
        <w:rPr>
          <w:b/>
          <w:sz w:val="19"/>
        </w:rPr>
        <w:t xml:space="preserve">Übertragbarkeit: </w:t>
      </w:r>
      <w:r>
        <w:rPr>
          <w:sz w:val="19"/>
        </w:rPr>
        <w:t>China - Aussagen zur Stillförderung durch Wissen und Selbstwirksamkeit kulturunabhängig, Schulungsformat anpassbar</w:t>
      </w:r>
    </w:p>
    <w:p>
      <w:r>
        <w:rPr>
          <w:color w:val="5A7D3A"/>
          <w:sz w:val="18"/>
        </w:rPr>
        <w:t>https://pubmed.ncbi.nlm.nih.gov/42862704/</w:t>
      </w:r>
    </w:p>
    <w:p>
      <w:pPr>
        <w:pStyle w:val="Heading2"/>
      </w:pPr>
      <w:r>
        <w:t>Patientenbeteiligung in Forschung gelingt – braucht aber Struktur und kontinuierliche Information</w:t>
      </w:r>
    </w:p>
    <w:p>
      <w:r>
        <w:rPr>
          <w:i/>
          <w:color w:val="666666"/>
          <w:sz w:val="18"/>
        </w:rPr>
        <w:t>Reeck N et al.  ·  Health Expect  ·  Okt. 2026  ·  PMID 42861438</w:t>
      </w:r>
    </w:p>
    <w:p>
      <w:r>
        <w:t>Qualitative Evaluationsstudie zur Beteiligung von 8 älteren Forschungskollaborateuren mit Sturzerfahrung über 3 Jahre mit dem Public and Patient Engagement Evaluation Tool (PPEET) und Prozessdokumentation.</w:t>
      </w:r>
    </w:p>
    <w:p>
      <w:r>
        <w:rPr>
          <w:b/>
        </w:rPr>
        <w:t xml:space="preserve">Ergebnis: </w:t>
      </w:r>
      <w:r>
        <w:t>8 ältere Personen, 29 Sitzungen über 3 Jahre. Positive Atmosphäre, aber initial Unklarheit über Ziele. Gesundheitsbedingte Ausfälle führten zur Aufnahme von 3 neuen Mitgliedern. PRT beeinflusste mehrere Forschungsphasen (z.B. Fokusgruppenmethode). Kernbefunde: Persönlicher Zugang, Zeit für Erfahrungsaustausch und kontinuierliche Information als kritische Erfolgsfaktoren; infrastrukturelle Unterstützung war vorhanden, aber Informationsstrukturen für Mitglieder müssen gestärkt werden.</w:t>
      </w:r>
    </w:p>
    <w:p>
      <w:r>
        <w:rPr>
          <w:b/>
          <w:sz w:val="19"/>
        </w:rPr>
        <w:t xml:space="preserve">Übertragbarkeit: </w:t>
      </w:r>
      <w:r>
        <w:rPr>
          <w:sz w:val="19"/>
        </w:rPr>
        <w:t>Deutschland, vergleichbares System – partizipative Forschung übertragbar, erfordert aber Kontinuität und klare Rollen</w:t>
      </w:r>
    </w:p>
    <w:p>
      <w:r>
        <w:rPr>
          <w:color w:val="5A7D3A"/>
          <w:sz w:val="18"/>
        </w:rPr>
        <w:t>https://pubmed.ncbi.nlm.nih.gov/42861438/</w:t>
      </w:r>
    </w:p>
    <w:p>
      <w:pPr>
        <w:pStyle w:val="Heading2"/>
      </w:pPr>
      <w:r>
        <w:t>Gesundheitskompetenz korreliert schwach mit Lebensqualität – Organisationsebene entscheidend</w:t>
      </w:r>
    </w:p>
    <w:p>
      <w:r>
        <w:rPr>
          <w:i/>
          <w:color w:val="666666"/>
          <w:sz w:val="18"/>
        </w:rPr>
        <w:t>Mostoles RJ et al.  ·  J Nurs Manag  ·  2026  ·  PMID 42860772</w:t>
      </w:r>
    </w:p>
    <w:p>
      <w:r>
        <w:t>Querschnittsstudie mit 215 Dialysepatienten in Saudi-Arabien zur Assoziation von Health Literacy und wahrgenommener Familienunterstützung mit nierenbezogener Lebensqualität sowie Implikationen für Pflegeleitung.</w:t>
      </w:r>
    </w:p>
    <w:p>
      <w:r>
        <w:rPr>
          <w:b/>
        </w:rPr>
        <w:t xml:space="preserve">Ergebnis: </w:t>
      </w:r>
      <w:r>
        <w:t>Health Literacy war einziger signifikanter Prädiktor (β=0,19; p=0,012), erklärte aber &lt;7% der Lebensqualitätsvarianz (R²=0,068). Wahrgenommene Familienunterstützung war an der Decke (M=6,99/7,0) und nicht assoziiert (r=−0,09; p=0,188). 91,7% der Patienten hatten geringe Health Literacy; 81,9% wählten verbale statt schriftlicher Information während Dialyse. Schlussfolgerung: Organisatorische Maßnahmen (universelles Teach-Back, Plain Language, Visualisierung) statt Individualinterventionen erforderlich.</w:t>
      </w:r>
    </w:p>
    <w:p>
      <w:r>
        <w:rPr>
          <w:b/>
          <w:sz w:val="19"/>
        </w:rPr>
        <w:t xml:space="preserve">Übertragbarkeit: </w:t>
      </w:r>
      <w:r>
        <w:rPr>
          <w:sz w:val="19"/>
        </w:rPr>
        <w:t>Saudi-Arabien – Strukturelle Unterschiede (Familienzentrierung, Ressourcen), aber Befund zu organisatorischer Verantwortung übertragbar</w:t>
      </w:r>
    </w:p>
    <w:p>
      <w:r>
        <w:rPr>
          <w:color w:val="5A7D3A"/>
          <w:sz w:val="18"/>
        </w:rPr>
        <w:t>https://pubmed.ncbi.nlm.nih.gov/42860772/</w:t>
      </w:r>
    </w:p>
    <w:p>
      <w:pPr>
        <w:pStyle w:val="Heading2"/>
      </w:pPr>
      <w:r>
        <w:t>Health-Literacy-Interventionsstudien sind lückenhaft – standardisierte Messung und Implementierungsberichte fehlen</w:t>
      </w:r>
    </w:p>
    <w:p>
      <w:r>
        <w:rPr>
          <w:i/>
          <w:color w:val="666666"/>
          <w:sz w:val="18"/>
        </w:rPr>
        <w:t>Zhou Y et al.  ·  Health Lit Res Pract  ·  09.10.2026  ·  PMID 42858454</w:t>
      </w:r>
    </w:p>
    <w:p>
      <w:r>
        <w:t>Scoping Review von 117 US-amerikanischen Interventionsstudien (2014–2024) zur Kartierung von Health-Literacy-Messinstrumenten, Implementierungsqualität und Reporting-Praktiken nach RE-AIM-Rahmen.</w:t>
      </w:r>
    </w:p>
    <w:p>
      <w:r>
        <w:rPr>
          <w:b/>
        </w:rPr>
        <w:t xml:space="preserve">Ergebnis: </w:t>
      </w:r>
      <w:r>
        <w:t>71 von 117 Studien berichteten Health-Literacy-Messung; nur 49 nutzten validierte Instrumente. Am häufigsten: Newest Vital Sign, eHealth Literacy Scale, RE-AIM. Trotz starker Repräsentation von Rassen-/Ethnien begrenzte Einbindung von Nicht-Englischsprachigen. Nahezu alle Studien zeigten Effektivität; vorwiegend Verhaltensoutcomes gemessen. RE-AIM-Analyse: erhebliche Lücken in Demografica, Implementierungstreue (nur 18%), Kostenberichte und Nachhaltigkeitsplanung (&lt;10%). Schlussfolgerung: fehlende Standardisierung in Messung und Implementierungsberichte limitieren Vergleichbarkeit und Praxisübertrag.</w:t>
      </w:r>
    </w:p>
    <w:p>
      <w:r>
        <w:rPr>
          <w:b/>
          <w:sz w:val="19"/>
        </w:rPr>
        <w:t xml:space="preserve">Übertragbarkeit: </w:t>
      </w:r>
      <w:r>
        <w:rPr>
          <w:sz w:val="19"/>
        </w:rPr>
        <w:t>USA – Systematische Bewertung übertragbar, aber Tools müssen sprachspezifisch validiert werden</w:t>
      </w:r>
    </w:p>
    <w:p>
      <w:r>
        <w:rPr>
          <w:color w:val="5A7D3A"/>
          <w:sz w:val="18"/>
        </w:rPr>
        <w:t>https://pubmed.ncbi.nlm.nih.gov/42858454/</w:t>
      </w:r>
    </w:p>
    <w:p>
      <w:pPr>
        <w:pStyle w:val="Heading2"/>
      </w:pPr>
      <w:r>
        <w:t>Arztstatus und Einrichtung erklären Studienteilnahme stärker als Patienten-Merkmale</w:t>
      </w:r>
    </w:p>
    <w:p>
      <w:r>
        <w:rPr>
          <w:i/>
          <w:color w:val="666666"/>
          <w:sz w:val="18"/>
        </w:rPr>
        <w:t>Jiang C et al.  ·  JAMA Netw Open  ·  01.10.2026  ·  PMID 42837155</w:t>
      </w:r>
    </w:p>
    <w:p>
      <w:r>
        <w:t>Kohortenstudie mit 205.743 amerikanischen Krebspatienten mit fortgeschrittener/metastasierter Erkrankung (2011–2024) zur Analyse von Variationsquellen in Studienteilnahme mittels gemischter logistischer Regressionsmodelle.</w:t>
      </w:r>
    </w:p>
    <w:p>
      <w:r>
        <w:rPr>
          <w:b/>
        </w:rPr>
        <w:t xml:space="preserve">Ergebnis: </w:t>
      </w:r>
      <w:r>
        <w:t>10.785 Patienten (5,2%) nahmen an Studien teil; Quote stieg von 3,9% (2011) auf 6,8% (2024). Teilnahme stark konzentriert: 389 von 1.664 Ärzten (23,4%) erklären 83,6% aller Anmeldungen; 21 von 107 Einrichtungen (19,6%) 80,5% der Patienten. 494 Ärzte (29,7%) rekrutierten niemandem. Arzt- und Einrichtungsebene erklärten zusammen 27,4% der Varianz, Patientenmerkmale nur 11,4%. Spezialisierung des Arztes (1–2 Indikationen: OR 4,11; 95%-CI 2,53–6,68), frühere Rekrutierungsaktivität (OR 1,58; 95%-CI 1,43–1,76) und Forschungsengagement der Einrichtung (OR 2,68; 95%-CI 2,12–3,39) zeigten höchste Assoziationen.</w:t>
      </w:r>
    </w:p>
    <w:p>
      <w:r>
        <w:rPr>
          <w:b/>
          <w:sz w:val="19"/>
        </w:rPr>
        <w:t xml:space="preserve">Übertragbarkeit: </w:t>
      </w:r>
      <w:r>
        <w:rPr>
          <w:sz w:val="19"/>
        </w:rPr>
        <w:t>USA – Struktur und Organisationskontext universal, aber Gesundheitssystem und Rekrutierungserwartungen andersartig</w:t>
      </w:r>
    </w:p>
    <w:p>
      <w:r>
        <w:rPr>
          <w:color w:val="5A7D3A"/>
          <w:sz w:val="18"/>
        </w:rPr>
        <w:t>https://pubmed.ncbi.nlm.nih.gov/42837155/</w:t>
      </w:r>
    </w:p>
    <w:p>
      <w:pPr>
        <w:pStyle w:val="Heading1"/>
      </w:pPr>
      <w:r>
        <w:t>Aufgenommen am 12.10.2026</w:t>
      </w:r>
    </w:p>
    <w:p>
      <w:pPr>
        <w:pStyle w:val="Heading2"/>
      </w:pPr>
      <w:r>
        <w:t>Digitale Kompetenz fördert Gesundheit älterer Menschen über Sozialbeziehungen</w:t>
      </w:r>
    </w:p>
    <w:p>
      <w:r>
        <w:rPr>
          <w:i/>
          <w:color w:val="666666"/>
          <w:sz w:val="18"/>
        </w:rPr>
        <w:t>Qi MH et al.  ·  Inquiry  ·  11.10.2026  ·  PMID 42859872</w:t>
      </w:r>
    </w:p>
    <w:p>
      <w:r>
        <w:t>Querschnittstudie mit chinesischen Daten (n nicht genannt) zur Assoziation zwischen digitaler Literacy und physischer/psychischer Gesundheit, mit Sozialinteraktion als Mediator (Kausalitätsrahmen: digitale Technologie→Sozialbeziehungen→Gesundheit).</w:t>
      </w:r>
    </w:p>
    <w:p>
      <w:r>
        <w:rPr>
          <w:b/>
        </w:rPr>
        <w:t xml:space="preserve">Ergebnis: </w:t>
      </w:r>
      <w:r>
        <w:t>Digitale Literacy war signifikant positiv mit physischer und psychischer Gesundheit assoziiert; Sozialinteraktion mediierte diese Assoziation bedeutsam. Heterogenitätsanalysen zeigten geschlechtsspezifische Muster: bei Männern Assoziation zur physischen Gesundheit signifikant, bei Frauen zur psychischen Gesundheit; urbaner/ruraler Status hatte keinen signifikanten Unterschied.</w:t>
      </w:r>
    </w:p>
    <w:p>
      <w:r>
        <w:rPr>
          <w:b/>
          <w:sz w:val="19"/>
        </w:rPr>
        <w:t xml:space="preserve">Übertragbarkeit: </w:t>
      </w:r>
      <w:r>
        <w:rPr>
          <w:sz w:val="19"/>
        </w:rPr>
        <w:t>China (CHARLS 2020), aber Mechanismus (digitale Kompetenz→Sozialaktivität→Gesundheit) in Alterungskontexten international relevant.</w:t>
      </w:r>
    </w:p>
    <w:p>
      <w:r>
        <w:rPr>
          <w:color w:val="5A7D3A"/>
          <w:sz w:val="18"/>
        </w:rPr>
        <w:t>https://pubmed.ncbi.nlm.nih.gov/42859872/</w:t>
      </w:r>
    </w:p>
    <w:p>
      <w:pPr>
        <w:pStyle w:val="Heading2"/>
      </w:pPr>
      <w:r>
        <w:t>Webgestützte Schulung verbessert Symptomkontrolle bei häuslicher Beatmung</w:t>
      </w:r>
    </w:p>
    <w:p>
      <w:r>
        <w:rPr>
          <w:i/>
          <w:color w:val="666666"/>
          <w:sz w:val="18"/>
        </w:rPr>
        <w:t>Eriş Ş et al.  ·  Sleep Breath  ·  10.10.2026  ·  PMID 42859312</w:t>
      </w:r>
    </w:p>
    <w:p>
      <w:r>
        <w:t>Randomisierte Studie zur Wirkung einer webgestützten Schulung auf NIV-bezogene Nebenwirkungen und Schlafqualität bei COPD-Patienten mit häuslicher Heimbeatmung (n=75).</w:t>
      </w:r>
    </w:p>
    <w:p>
      <w:r>
        <w:rPr>
          <w:b/>
        </w:rPr>
        <w:t xml:space="preserve">Ergebnis: </w:t>
      </w:r>
      <w:r>
        <w:t>In der Interventionsgruppe sanken die Schlafstörungen (Insomnia Severity Index) signifikant stärker ab als in der Kontrolle (p&lt;0,001, η²p=0,352); bei Woche 8 zeigten sich signifikante Unterschiede zwischen den Gruppen (p&lt;0,001, η²p=0,753 für Gesamt-S³-NIV-Scores). Webgestützte Bildung unterstützte die Symptombewältigung und Patientenanpassung nachweislich.</w:t>
      </w:r>
    </w:p>
    <w:p>
      <w:r>
        <w:rPr>
          <w:b/>
          <w:sz w:val="19"/>
        </w:rPr>
        <w:t xml:space="preserve">Übertragbarkeit: </w:t>
      </w:r>
      <w:r>
        <w:rPr>
          <w:sz w:val="19"/>
        </w:rPr>
        <w:t>Türkei, aber RCT-Design und strukturierte digitale Schulung sind systemunabhängig übertragbar.</w:t>
      </w:r>
    </w:p>
    <w:p>
      <w:r>
        <w:rPr>
          <w:color w:val="5A7D3A"/>
          <w:sz w:val="18"/>
        </w:rPr>
        <w:t>https://pubmed.ncbi.nlm.nih.gov/42859312/</w:t>
      </w:r>
    </w:p>
    <w:p>
      <w:pPr>
        <w:pStyle w:val="Heading2"/>
      </w:pPr>
      <w:r>
        <w:t>Ernährungsschulung reduziert Schlafstörungen unter Chemotherapie</w:t>
      </w:r>
    </w:p>
    <w:p>
      <w:r>
        <w:rPr>
          <w:i/>
          <w:color w:val="666666"/>
          <w:sz w:val="18"/>
        </w:rPr>
        <w:t>Cheng L et al.  ·  Support Care Cancer  ·  10.10.2026  ·  PMID 42859245</w:t>
      </w:r>
    </w:p>
    <w:p>
      <w:r>
        <w:t>RCT zur Wirkung einer 12-wöchigen Schulung zu entzündungshemmender Ernährung auf Schlafqualität bei 132 Brustkrebspatienten unter Chemotherapie.</w:t>
      </w:r>
    </w:p>
    <w:p>
      <w:r>
        <w:rPr>
          <w:b/>
        </w:rPr>
        <w:t xml:space="preserve">Ergebnis: </w:t>
      </w:r>
      <w:r>
        <w:t>Im Kompleteranalyse-Datensatz zeigten 49,2% der Interventionsgruppe vs. 78,9% der Kontrolle Schlafstörungen (p&lt;0,001); PSQI-Score sank um β=-2,10 (95%-KI: -3,01 bis -1,18; p&lt;0,001), Lebensqualität verbesserte sich um β=14,07 (95%-KI: 8,61–19,52; p&lt;0,001). Strukturierte Patientenschulung mit klaren Inhalten änderte Verhalten messbar.</w:t>
      </w:r>
    </w:p>
    <w:p>
      <w:r>
        <w:rPr>
          <w:b/>
          <w:sz w:val="19"/>
        </w:rPr>
        <w:t xml:space="preserve">Übertragbarkeit: </w:t>
      </w:r>
      <w:r>
        <w:rPr>
          <w:sz w:val="19"/>
        </w:rPr>
        <w:t>China, aber evidenzbasierte Schulungsstruktur und schriftliche Materialien sind kulturübergreifend adaptierbar.</w:t>
      </w:r>
    </w:p>
    <w:p>
      <w:r>
        <w:rPr>
          <w:color w:val="5A7D3A"/>
          <w:sz w:val="18"/>
        </w:rPr>
        <w:t>https://pubmed.ncbi.nlm.nih.gov/42859245/</w:t>
      </w:r>
    </w:p>
    <w:p>
      <w:pPr>
        <w:pStyle w:val="Heading2"/>
      </w:pPr>
      <w:r>
        <w:t>Gesundheitskompetenz stärkt erfolgreiches Altern bei älteren Patienten</w:t>
      </w:r>
    </w:p>
    <w:p>
      <w:r>
        <w:rPr>
          <w:i/>
          <w:color w:val="666666"/>
          <w:sz w:val="18"/>
        </w:rPr>
        <w:t>Ibrahim HS et al.  ·  BMC Public Health  ·  09.10.2026  ·  PMID 42855688</w:t>
      </w:r>
    </w:p>
    <w:p>
      <w:r>
        <w:t>Querschnittstudie (n=246, 123 chronisch krank, 123 gesund, Alter ≥65 Jahre) zur Assoziation zwischen Gesundheitskompetenz und erfolgreichem Altern mittels Health Literacy Questionnaire und Successful Aging Scale.</w:t>
      </w:r>
    </w:p>
    <w:p>
      <w:r>
        <w:rPr>
          <w:b/>
        </w:rPr>
        <w:t xml:space="preserve">Ergebnis: </w:t>
      </w:r>
      <w:r>
        <w:t>Patienten mit chronischen Erkrankungen zeigten signifikant niedrigere Gesundheitskompetenz- und erfolgreiches-Altern-Scores als Kontrollen (p&lt;0,001). Gesundheitskompetenz korrelierte positiv mit erfolgreichem Altern (r=0,612, p&lt;0,001) und war der stärkste unabhängige Prädiktor in der Regressionsanalyse; höhere Bildung und Einkommen verbesserten erfolgreiches Altern, Alter, ländlicher Wohnort und Rauchen verschlechterten es.</w:t>
      </w:r>
    </w:p>
    <w:p>
      <w:r>
        <w:rPr>
          <w:b/>
          <w:sz w:val="19"/>
        </w:rPr>
        <w:t xml:space="preserve">Übertragbarkeit: </w:t>
      </w:r>
      <w:r>
        <w:rPr>
          <w:sz w:val="19"/>
        </w:rPr>
        <w:t>Ägypten, aber etablierte Instrumente und Befund (Health Literacy→Aging Outcomes) für Europa/Deutschland adaptierbar.</w:t>
      </w:r>
    </w:p>
    <w:p>
      <w:r>
        <w:rPr>
          <w:color w:val="5A7D3A"/>
          <w:sz w:val="18"/>
        </w:rPr>
        <w:t>https://pubmed.ncbi.nlm.nih.gov/42855688/</w:t>
      </w:r>
    </w:p>
    <w:p>
      <w:pPr>
        <w:pStyle w:val="Heading2"/>
      </w:pPr>
      <w:r>
        <w:t>Zielgruppengerechte Risikokommunikation zu Dopingmitteln in Fitnessstudios</w:t>
      </w:r>
    </w:p>
    <w:p>
      <w:r>
        <w:rPr>
          <w:i/>
          <w:color w:val="666666"/>
          <w:sz w:val="18"/>
        </w:rPr>
        <w:t>Paasch R et al.  ·  Harm Reduct J  ·  23.09.2026  ·  PMID 42823728</w:t>
      </w:r>
    </w:p>
    <w:p>
      <w:r>
        <w:t>Querschnittstudie (n=550 Freizeitsportler) zur Replikation einer 7-Cluster-Typologie von Einstellungen zu Dopingmitteln mittels Theory of Planned Behavior und Health Belief Model, mit qualitativen Illustrationen.</w:t>
      </w:r>
    </w:p>
    <w:p>
      <w:r>
        <w:rPr>
          <w:b/>
        </w:rPr>
        <w:t xml:space="preserve">Ergebnis: </w:t>
      </w:r>
      <w:r>
        <w:t>Sieben heterogene Motivations- und kognitiv-motivationale Profile identifiziert (Silhouetten-Index=0,22, Bootstrap-Stabilität moderat); signifikante Assoziationen mit Anabolika- und Testosterongebrauch, aber nicht mit Wachstumshormonen. Profile zeigen 'Werteabstainer', 'ambivalente Risikonehmer' und 'Leistungsrationaliserer' – heterogene Präventionebedarfe statt Risikokontinuum.</w:t>
      </w:r>
    </w:p>
    <w:p>
      <w:r>
        <w:rPr>
          <w:b/>
          <w:sz w:val="19"/>
        </w:rPr>
        <w:t xml:space="preserve">Übertragbarkeit: </w:t>
      </w:r>
      <w:r>
        <w:rPr>
          <w:sz w:val="19"/>
        </w:rPr>
        <w:t>Deutschland, deutschsprachige Fitnessstudio-Population; Typologien für zielgruppengenaue Harm-Reduction-Kommunikation direkt einsetzbar.</w:t>
      </w:r>
    </w:p>
    <w:p>
      <w:r>
        <w:rPr>
          <w:color w:val="5A7D3A"/>
          <w:sz w:val="18"/>
        </w:rPr>
        <w:t>https://pubmed.ncbi.nlm.nih.gov/42823728/</w:t>
      </w:r>
    </w:p>
    <w:p>
      <w:pPr>
        <w:pStyle w:val="Heading2"/>
      </w:pPr>
      <w:r>
        <w:t>Künstliche Sprachmodelle liefern präzise, aber unpersonalisierte Patienteninformationen</w:t>
      </w:r>
    </w:p>
    <w:p>
      <w:r>
        <w:rPr>
          <w:i/>
          <w:color w:val="666666"/>
          <w:sz w:val="18"/>
        </w:rPr>
        <w:t>Li J et al.  ·  Front Public Health  ·  15.09.2026  ·  PMID 42812281</w:t>
      </w:r>
    </w:p>
    <w:p>
      <w:r>
        <w:t>Vergleichende Bewertung von sechs Large Language Models (ChatGPT, Claude, DeepSeek, Gemini, Grok, Qwen) bei der Beantwortung von 40 Patientenfragen zu Achalasie (n=240 Responses) anhand von Sicherheit, Genauigkeit, Empathie, Informationsqualität und Lesbarkeit.</w:t>
      </w:r>
    </w:p>
    <w:p>
      <w:r>
        <w:rPr>
          <w:b/>
        </w:rPr>
        <w:t xml:space="preserve">Ergebnis: </w:t>
      </w:r>
      <w:r>
        <w:t>27 von 240 Responses (11,3%) als potenziell unsicher bewertet; Genauigkeit unterschied sich signifikant zwischen Modellen (kleiner Effekt). Größere Unterschiede in Empathie, Informationszuverlässigkeit und Lesbarkeit: ChatGPT 5.5 und Gemini 3.1 Pro Thinking erreichten höhere Empathie-Scores, Claude Opus 4.7 zeigte höhere Lesbarkeit-Schwierigkeit. JAMA-Benchmark-Scores waren insgesamt niedrig (mangelhafte Quellenangaben).</w:t>
      </w:r>
    </w:p>
    <w:p>
      <w:r>
        <w:rPr>
          <w:b/>
          <w:sz w:val="19"/>
        </w:rPr>
        <w:t xml:space="preserve">Übertragbarkeit: </w:t>
      </w:r>
      <w:r>
        <w:rPr>
          <w:sz w:val="19"/>
        </w:rPr>
        <w:t>China, aber Evaluationsmethodik (Sicherheit/Genauigkeit/Empathie/Transparenz) für LLM-basierte Patienteninformation international anwendbar.</w:t>
      </w:r>
    </w:p>
    <w:p>
      <w:r>
        <w:rPr>
          <w:color w:val="5A7D3A"/>
          <w:sz w:val="18"/>
        </w:rPr>
        <w:t>https://pubmed.ncbi.nlm.nih.gov/42812281/</w:t>
      </w:r>
    </w:p>
    <w:p>
      <w:pPr>
        <w:pStyle w:val="Heading1"/>
      </w:pPr>
      <w:r>
        <w:t>Aufgenommen am 11.10.2026</w:t>
      </w:r>
    </w:p>
    <w:p>
      <w:pPr>
        <w:pStyle w:val="Heading2"/>
      </w:pPr>
      <w:r>
        <w:t>Digital-gestützte Verhaltenstherapie gegen Schmerz bei Sichelzellerkrankung: Bedeutung der menschlichen Unterstützung</w:t>
      </w:r>
    </w:p>
    <w:p>
      <w:r>
        <w:rPr>
          <w:i/>
          <w:color w:val="666666"/>
          <w:sz w:val="18"/>
        </w:rPr>
        <w:t>Oluwole OB et al.  ·  Ann Behav Med  ·  07.01.2026  ·  PMID 42847392</w:t>
      </w:r>
    </w:p>
    <w:p>
      <w:r>
        <w:t>Randomisierte 12-Monats-Studie mit 359 Erwachsenen zu digitaler kognitiver Verhaltenstherapie versus Edukation für chronische Schmerzen bei Sichelzellerkrankung, beide mit wöchentlicher Health-Coach-Begleitung.</w:t>
      </w:r>
    </w:p>
    <w:p>
      <w:r>
        <w:rPr>
          <w:b/>
        </w:rPr>
        <w:t xml:space="preserve">Ergebnis: </w:t>
      </w:r>
      <w:r>
        <w:t>Nach 12 Monaten: 56,5% Follow-up-Quote (n=203). Keine signifikanten Unterschiede in Schmerzinterferenz zwischen Gruppen [0,43, 95%-KI: -1,61 bis 2,48; p=0,68]. Beide Gruppen zeigten anhaltende Verbesserung von Baseline (CBT: -1,50; Edukation: -1,93). CBT-Gruppe: größere Verbesserung in emotionaler Belastung [2,00, 95%-KI: 0,12-3,88; p=0,04]. Höheres Health-Coach-Engagement assoziiert mit reduzierter Schmerzinterferenz [-0,073 pro 10% Engagement-Anstieg; p&lt;0,01].</w:t>
      </w:r>
    </w:p>
    <w:p>
      <w:r>
        <w:rPr>
          <w:b/>
          <w:sz w:val="19"/>
        </w:rPr>
        <w:t xml:space="preserve">Übertragbarkeit: </w:t>
      </w:r>
      <w:r>
        <w:rPr>
          <w:sz w:val="19"/>
        </w:rPr>
        <w:t>USA, aber Wirkung menschlicher Begleitung in digitalen Interventionen universal.</w:t>
      </w:r>
    </w:p>
    <w:p>
      <w:r>
        <w:rPr>
          <w:color w:val="5A7D3A"/>
          <w:sz w:val="18"/>
        </w:rPr>
        <w:t>https://pubmed.ncbi.nlm.nih.gov/42847392/</w:t>
      </w:r>
    </w:p>
    <w:p>
      <w:pPr>
        <w:pStyle w:val="Heading2"/>
      </w:pPr>
      <w:r>
        <w:t>Pflegende und organisationale Health Literacy: Wie Kliniken Information zugänglich machen</w:t>
      </w:r>
    </w:p>
    <w:p>
      <w:r>
        <w:rPr>
          <w:i/>
          <w:color w:val="666666"/>
          <w:sz w:val="18"/>
        </w:rPr>
        <w:t>Smith GD et al.  ·  Front Public Health  ·  23.09.2026  ·  PMID 42846350</w:t>
      </w:r>
    </w:p>
    <w:p>
      <w:r>
        <w:t>Konzeptuelle Analyse mit fokussierter Mini-Literaturübersicht zu Rolle von Pflegenden bei organisationaler Health Literacy in Kliniken und Praxen.</w:t>
      </w:r>
    </w:p>
    <w:p>
      <w:r>
        <w:rPr>
          <w:b/>
        </w:rPr>
        <w:t xml:space="preserve">Ergebnis: </w:t>
      </w:r>
      <w:r>
        <w:t>Organisationale Health Literacy (statt Individual-Ebene) adressiert, wie Organisationen Information, Services und Care Pathways zugänglich und verständlich machen. Pflegende leisten Beitrag durch: klare Kommunikation, Care Navigation, Shared Decision-Making, Co-Design von Informationsmaterialien, Qualitätsverbesserung, HL-sensitive Systeme. Mapping von Nutbeams HL-Ebenen (funktional, interaktiv, kritisch) auf Organisationsverantwortung gezeigt. Erforderlich: Führungsunterstützung, Personalentwicklung, Assessments, Partnerschaften mit Patienten, Integration in Qualitäts- und Akkreditierungsstrukturen.</w:t>
      </w:r>
    </w:p>
    <w:p>
      <w:r>
        <w:rPr>
          <w:b/>
          <w:sz w:val="19"/>
        </w:rPr>
        <w:t xml:space="preserve">Übertragbarkeit: </w:t>
      </w:r>
      <w:r>
        <w:rPr>
          <w:sz w:val="19"/>
        </w:rPr>
        <w:t>International konzeptuell; Organisationsprinzipien auf deutsches Klinik- und Praxissystem übertragbar.</w:t>
      </w:r>
    </w:p>
    <w:p>
      <w:r>
        <w:rPr>
          <w:color w:val="5A7D3A"/>
          <w:sz w:val="18"/>
        </w:rPr>
        <w:t>https://pubmed.ncbi.nlm.nih.gov/42846350/</w:t>
      </w:r>
    </w:p>
    <w:p>
      <w:pPr>
        <w:pStyle w:val="Heading2"/>
      </w:pPr>
      <w:r>
        <w:t>Familie und soziale Unterstützung fördern Health Literacy bei chronischer Erkrankung</w:t>
      </w:r>
    </w:p>
    <w:p>
      <w:r>
        <w:rPr>
          <w:i/>
          <w:color w:val="666666"/>
          <w:sz w:val="18"/>
        </w:rPr>
        <w:t>Zhang H et al.  ·  Front Public Health  ·  23.09.2026  ·  PMID 42845865</w:t>
      </w:r>
    </w:p>
    <w:p>
      <w:r>
        <w:t>Querschnittsstudie mit 1.444 chinesischen Personen mittleren und höheren Alters mit chronischer Erkrankung zu Zusammenhang von Familiengesundheit, wahrgenommener sozialer Unterstützung und Health Literacy mittels Mediations- und Netzwerkanalyse.</w:t>
      </w:r>
    </w:p>
    <w:p>
      <w:r>
        <w:rPr>
          <w:b/>
        </w:rPr>
        <w:t xml:space="preserve">Ergebnis: </w:t>
      </w:r>
      <w:r>
        <w:t>Familie, soziale Unterstützung und Health Literacy signifikant positiv korreliert (p&lt;0,01). Soziale Unterstützung teilweise Mediator im Zusammenhang Familie-Literacy (indirekter Effekt=0,1818, 95%-KI: 0,1331-0,2307), erklärt 47,38% der Gesamtwirkung. "Family Social and Emotional Health Processes" höchster Zentralitätswert im Netzwerk. Struktur unterschied sich nicht zwischen Geschlecht, urban-rural oder Altersgruppen.</w:t>
      </w:r>
    </w:p>
    <w:p>
      <w:r>
        <w:rPr>
          <w:b/>
          <w:sz w:val="19"/>
        </w:rPr>
        <w:t xml:space="preserve">Übertragbarkeit: </w:t>
      </w:r>
      <w:r>
        <w:rPr>
          <w:sz w:val="19"/>
        </w:rPr>
        <w:t>China, aber Mechanismus familiärer und sozialer Schutzfaktoren für Gesundheitskompetenz auch in Deutschland relevant.</w:t>
      </w:r>
    </w:p>
    <w:p>
      <w:r>
        <w:rPr>
          <w:color w:val="5A7D3A"/>
          <w:sz w:val="18"/>
        </w:rPr>
        <w:t>https://pubmed.ncbi.nlm.nih.gov/42845865/</w:t>
      </w:r>
    </w:p>
    <w:p>
      <w:pPr>
        <w:pStyle w:val="Heading2"/>
      </w:pPr>
      <w:r>
        <w:t>Digital Health Literacy verstärkt Wirkung von Sportumgebung auf Bewegungsaktivität von Jugendlichen</w:t>
      </w:r>
    </w:p>
    <w:p>
      <w:r>
        <w:rPr>
          <w:i/>
          <w:color w:val="666666"/>
          <w:sz w:val="18"/>
        </w:rPr>
        <w:t>Zhang B  ·  Front Public Health  ·  23.09.2026  ·  PMID 42845756</w:t>
      </w:r>
    </w:p>
    <w:p>
      <w:r>
        <w:t>Querschnittstudie mit 2.531 chinesischen Jugendlichen (Durchschnitt 15,2 Jahre) zu Moderationseffekt von digitaler Health Literacy auf Zusammenhang zwischen Schulsportumgebung und körperliche Aktivität (SEM mit latenter Interaktion).</w:t>
      </w:r>
    </w:p>
    <w:p>
      <w:r>
        <w:rPr>
          <w:b/>
        </w:rPr>
        <w:t xml:space="preserve">Ergebnis: </w:t>
      </w:r>
      <w:r>
        <w:t>Schulsportumgebung positiv mit Aktivität assoziiert (β=0,34, p&lt;0,001). Digitale Health Literacy moderierte signifikant (Interaktion β=0,12, p=0,003): Umgebung-Aktivitäts-Pfad stärker bei höherer DHL. Effekt in Stadtschulen (β=0,38) stärker als Landschulen (β=0,29; z=2,87, p=0,004). Moderation signifikant in Urban (β=0,14, p=0,008), nicht in Rural (β=0,07, p=0,14). Digitale Ungleichheiten können zu Bewegungsungleichheiten beitragen.</w:t>
      </w:r>
    </w:p>
    <w:p>
      <w:r>
        <w:rPr>
          <w:b/>
          <w:sz w:val="19"/>
        </w:rPr>
        <w:t xml:space="preserve">Übertragbarkeit: </w:t>
      </w:r>
      <w:r>
        <w:rPr>
          <w:sz w:val="19"/>
        </w:rPr>
        <w:t>China, aber Stadt-Land-Disparität und Moderationseffekt digital-sozialer Faktoren auch auf Deutschland übertragbar.</w:t>
      </w:r>
    </w:p>
    <w:p>
      <w:r>
        <w:rPr>
          <w:color w:val="5A7D3A"/>
          <w:sz w:val="18"/>
        </w:rPr>
        <w:t>https://pubmed.ncbi.nlm.nih.gov/42845756/</w:t>
      </w:r>
    </w:p>
    <w:p>
      <w:pPr>
        <w:pStyle w:val="Heading2"/>
      </w:pPr>
      <w:r>
        <w:t>Selbstmanagement bei Nierenerkrankung: Was Fachpersonal über Unterstützung weiß</w:t>
      </w:r>
    </w:p>
    <w:p>
      <w:r>
        <w:rPr>
          <w:i/>
          <w:color w:val="666666"/>
          <w:sz w:val="18"/>
        </w:rPr>
        <w:t>Patel NA et al.  ·  J Nephrol  ·  10.10.2026  ·  PMID 42598916</w:t>
      </w:r>
    </w:p>
    <w:p>
      <w:r>
        <w:t>Qualitative Studie mit 42 britischen Fachpersonen zur Unterstützung von Selbstmanagement bei chronischer Nierenerkrankung.</w:t>
      </w:r>
    </w:p>
    <w:p>
      <w:r>
        <w:rPr>
          <w:b/>
        </w:rPr>
        <w:t xml:space="preserve">Ergebnis: </w:t>
      </w:r>
      <w:r>
        <w:t>Vier Themenbereiche identifiziert: (1) Gesundheitssystem unterstützt Selbstmanagement nicht ausreichend, (2) Bedarf für individualisierte Ansätze, (3) Verbesserung von Ressourcen nötig, (4) Anforderungen für Gesundheitsgerechtigkeit. Fachpersonal berichtet mangelnde, zugängliche Selbstmanagement-Ressourcen und fordert evidenzbasierte, auf individuelle Bedürfnisse zugeschnittene Interventionen.</w:t>
      </w:r>
    </w:p>
    <w:p>
      <w:r>
        <w:rPr>
          <w:b/>
          <w:sz w:val="19"/>
        </w:rPr>
        <w:t xml:space="preserve">Übertragbarkeit: </w:t>
      </w:r>
      <w:r>
        <w:rPr>
          <w:sz w:val="19"/>
        </w:rPr>
        <w:t>UK-NHS-Kontext, aber identifizierte Systemprobleme in anderen Ländern ähnlich relevant.</w:t>
      </w:r>
    </w:p>
    <w:p>
      <w:r>
        <w:rPr>
          <w:color w:val="5A7D3A"/>
          <w:sz w:val="18"/>
        </w:rPr>
        <w:t>https://pubmed.ncbi.nlm.nih.gov/42598916/</w:t>
      </w:r>
    </w:p>
    <w:p>
      <w:pPr>
        <w:pStyle w:val="Heading2"/>
      </w:pPr>
      <w:r>
        <w:t>Digital Health Literacy bei Nierenerkrankung: Probleme bei der Nutzung digitaler Gesundheitsinformation</w:t>
      </w:r>
    </w:p>
    <w:p>
      <w:r>
        <w:rPr>
          <w:i/>
          <w:color w:val="666666"/>
          <w:sz w:val="18"/>
        </w:rPr>
        <w:t>Totaro M et al.  ·  J Nephrol  ·  10.10.2026  ·  PMID 42583872</w:t>
      </w:r>
    </w:p>
    <w:p>
      <w:r>
        <w:t>Querschnittsstudie mit 323 italienischen Patienten zur digitalen Gesundheitskompetenz (HLS19-DIGI-Tool) bei chronischer Nierenerkrankung.</w:t>
      </w:r>
    </w:p>
    <w:p>
      <w:r>
        <w:rPr>
          <w:b/>
        </w:rPr>
        <w:t xml:space="preserve">Ergebnis: </w:t>
      </w:r>
      <w:r>
        <w:t>"Problematische" Level beim Umgang mit digitalen Gesundheitsinformationen, "ausreichende" Level bei Interaktion mit digitalen Ressourcen gefunden. Älter, geringere Bildung und Arbeitslosigkeit (Rentner) = schlechtere Fähigkeiten; bessere Kompetenz bei höherem Einkommen, digitaler Schulung und regelmäßiger Geräte-Nutzung (1-3 Tage/Woche). Gezielte Interventionen zur Förderung digitaler Health Literacy empfohlen.</w:t>
      </w:r>
    </w:p>
    <w:p>
      <w:r>
        <w:rPr>
          <w:b/>
          <w:sz w:val="19"/>
        </w:rPr>
        <w:t xml:space="preserve">Übertragbarkeit: </w:t>
      </w:r>
      <w:r>
        <w:rPr>
          <w:sz w:val="19"/>
        </w:rPr>
        <w:t>Italienisches Versicherungssystem, aber Ungleichheitsprofile und digitale Barrieren auch auf Deutschland übertragbar.</w:t>
      </w:r>
    </w:p>
    <w:p>
      <w:r>
        <w:rPr>
          <w:color w:val="5A7D3A"/>
          <w:sz w:val="18"/>
        </w:rPr>
        <w:t>https://pubmed.ncbi.nlm.nih.gov/42583872/</w:t>
      </w:r>
    </w:p>
    <w:p>
      <w:pPr>
        <w:pStyle w:val="Heading1"/>
      </w:pPr>
      <w:r>
        <w:t>Aufgenommen am 10.10.2026</w:t>
      </w:r>
    </w:p>
    <w:p>
      <w:pPr>
        <w:pStyle w:val="Heading2"/>
      </w:pPr>
      <w:r>
        <w:t>WeChat-Beiträge zu Brusterkrankungen: Verständlichkeit und Entscheidungsunterstützung mangelhaft</w:t>
      </w:r>
    </w:p>
    <w:p>
      <w:r>
        <w:rPr>
          <w:i/>
          <w:color w:val="666666"/>
          <w:sz w:val="18"/>
        </w:rPr>
        <w:t>Li J et al.  ·  JMIR Med Inform  ·  09.10.2026  ·  PMID 42854188</w:t>
      </w:r>
    </w:p>
    <w:p>
      <w:r>
        <w:t>Chinesische Querschnittsanalyse von 464 Artikeln zu gutartigen Brusterkrankungen auf 158 Krankenhaus-WeChat-Kanälen, bewertet auf Zugänglichkeit (Lesbarkeit, Bilder) und Shared Decision Making-Reife nach validierten Instrumenten (PEMAT-P, DISCERN, QUEST).</w:t>
      </w:r>
    </w:p>
    <w:p>
      <w:r>
        <w:rPr>
          <w:b/>
        </w:rPr>
        <w:t xml:space="preserve">Ergebnis: </w:t>
      </w:r>
      <w:r>
        <w:t>Gute Zugänglichkeit: 72,4% auf Niveau Mittlere Reife geschrieben; aber begrenzte Handlungsfähigkeit (PEMAT-P Actionability-Score 50% ± 23,2%, Mittelwert). Schwache Entscheidungsunterstützung: QUEST-Score 14,9 ± 4,7 von 28; 84,3% der Artikel unterschritten Qualitätsschwelle. Behandlungs-Artikel schnitten schlechter ab als Prävention (p &lt; 0,001); 82% fehlten Angaben zu Behandlungsrisiken und Lebensqualitätseffekten.</w:t>
      </w:r>
    </w:p>
    <w:p>
      <w:r>
        <w:rPr>
          <w:b/>
          <w:sz w:val="19"/>
        </w:rPr>
        <w:t xml:space="preserve">Übertragbarkeit: </w:t>
      </w:r>
      <w:r>
        <w:rPr>
          <w:sz w:val="19"/>
        </w:rPr>
        <w:t>China, andere Plattform und Dokumententyp; Befund zur Qualitätslücke bei Online-Patienteninformation übertragbar.</w:t>
      </w:r>
    </w:p>
    <w:p>
      <w:r>
        <w:rPr>
          <w:color w:val="5A7D3A"/>
          <w:sz w:val="18"/>
        </w:rPr>
        <w:t>https://pubmed.ncbi.nlm.nih.gov/42854188/</w:t>
      </w:r>
    </w:p>
    <w:p>
      <w:pPr>
        <w:pStyle w:val="Heading2"/>
      </w:pPr>
      <w:r>
        <w:t>Patienteneinbeziehung in der Psychose-Behandlung: DIALOG+ strukturiert Gesprächsziele und geteilte Entscheidungen</w:t>
      </w:r>
    </w:p>
    <w:p>
      <w:r>
        <w:rPr>
          <w:i/>
          <w:color w:val="666666"/>
          <w:sz w:val="18"/>
        </w:rPr>
        <w:t>Lundmark M et al.  ·  BMC Psychiatry  ·  17.09.2026  ·  PMID 42850597</w:t>
      </w:r>
    </w:p>
    <w:p>
      <w:r>
        <w:t>Qualitative Studie mit 14 Fachkräften in schwedischen Psychose-Ambulanzen, die Erfahrungen mit DIALOG+ (strukturiertes digitales Werkzeug für Patient*innenbeteiligung) in Fokusgruppen beschrieben.</w:t>
      </w:r>
    </w:p>
    <w:p>
      <w:r>
        <w:rPr>
          <w:b/>
        </w:rPr>
        <w:t xml:space="preserve">Ergebnis: </w:t>
      </w:r>
      <w:r>
        <w:t>DIALOG+ ermöglichte es Patient*innen, ihre Bedürfnisse deutlicher zu äußern und eine aktivere Rolle im Gespräch zu übernehmen. Die strukturierte Methode verteilte Verantwortung für Entscheidungen und Nachbetreuung zwischen Patient*innen und Fachkräften. Herausforderung: Spannung zwischen Patient*innen-geleiteter Agenda und professioneller Verantwortung erfordert Unterstützung der Fachkräfte in neuen Rollen.</w:t>
      </w:r>
    </w:p>
    <w:p>
      <w:r>
        <w:rPr>
          <w:b/>
          <w:sz w:val="19"/>
        </w:rPr>
        <w:t xml:space="preserve">Übertragbarkeit: </w:t>
      </w:r>
      <w:r>
        <w:rPr>
          <w:sz w:val="19"/>
        </w:rPr>
        <w:t>Schweden, Shared Decision Making in Regelversorgung; systemische Übertragbarkeit auf deutsches Gatekeeping-freies Versorgungsmodell begrenzt.</w:t>
      </w:r>
    </w:p>
    <w:p>
      <w:r>
        <w:rPr>
          <w:color w:val="5A7D3A"/>
          <w:sz w:val="18"/>
        </w:rPr>
        <w:t>https://pubmed.ncbi.nlm.nih.gov/42850597/</w:t>
      </w:r>
    </w:p>
    <w:p>
      <w:pPr>
        <w:pStyle w:val="Heading2"/>
      </w:pPr>
      <w:r>
        <w:t>Gesundheitsrahmen in Umweltbotschaften: Was fördert Verhalten, was nur Intention?</w:t>
      </w:r>
    </w:p>
    <w:p>
      <w:r>
        <w:rPr>
          <w:i/>
          <w:color w:val="666666"/>
          <w:sz w:val="18"/>
        </w:rPr>
        <w:t>Chan FHF et al.  ·  Ann Behav Med  ·  07.01.2026  ·  PMID 42847353</w:t>
      </w:r>
    </w:p>
    <w:p>
      <w:r>
        <w:t>Systematische Übersichtsarbeit mit qualitativer Synthesemethode von 46 Studien (54 Substudien) zum Effekt von Gesundheitsframing in Umwelt-Kommunikationsmaßnahmen, überwiegend RCTs in reichen, englischsprachigen Ländern (n &gt; 180.000 Personen).</w:t>
      </w:r>
    </w:p>
    <w:p>
      <w:r>
        <w:rPr>
          <w:b/>
        </w:rPr>
        <w:t xml:space="preserve">Ergebnis: </w:t>
      </w:r>
      <w:r>
        <w:t>Gesundheits-gerahmte Umweltbotschaften werden als verständlich und hilfreich wahrgenommen, insbesondere mit Gewinn-Framing und Präventions-Fokus. Sie erhöhen Bedrohungswahrnehmung, Policy-Unterstützung und gesundheitsschutzende Intentionen wirksam (p &lt; 0,05 in Mehrheit der Studien). Aber: Wirkung auf nachhaltige Verhaltensänderung und Advocacy-Verhalten inkonsistent; Handeln bleibt deutlich hinter Intention zurück.</w:t>
      </w:r>
    </w:p>
    <w:p>
      <w:r>
        <w:rPr>
          <w:b/>
          <w:sz w:val="19"/>
        </w:rPr>
        <w:t xml:space="preserve">Übertragbarkeit: </w:t>
      </w:r>
      <w:r>
        <w:rPr>
          <w:sz w:val="19"/>
        </w:rPr>
        <w:t>Überwiegend anglophone Länder, aber Fragestellung kultur- und systemunabhängig; Befund zur Intentions-Verhaltens-Lücke grundlegend.</w:t>
      </w:r>
    </w:p>
    <w:p>
      <w:r>
        <w:rPr>
          <w:color w:val="5A7D3A"/>
          <w:sz w:val="18"/>
        </w:rPr>
        <w:t>https://pubmed.ncbi.nlm.nih.gov/42847353/</w:t>
      </w:r>
    </w:p>
    <w:p>
      <w:pPr>
        <w:pStyle w:val="Heading2"/>
      </w:pPr>
      <w:r>
        <w:t>Surgical Sidekick: Schulung zur Gesundheitskompetenz bei Kopf-Hals-Krebs verbessert Verständnis und Selbstermächtigung</w:t>
      </w:r>
    </w:p>
    <w:p>
      <w:r>
        <w:rPr>
          <w:i/>
          <w:color w:val="666666"/>
          <w:sz w:val="18"/>
        </w:rPr>
        <w:t>Merkovsky S et al.  ·  Clin J Oncol Nurs  ·  30.09.2026  ·  PMID 42832320</w:t>
      </w:r>
    </w:p>
    <w:p>
      <w:r>
        <w:t>Qualitätsmessungs-Pilot einer Ressource zur Verbesserung von Gesundheitskompetenz und Patient*innen-Ermächtigung bei Kopf-Hals-Krebs-Operation; Pflegekräfte führten das Werkzeug bei Diagnosebestätigung ein (Maßnahme beschrieben, Wirkungsmessung im Abstract nicht vollständig benannt).</w:t>
      </w:r>
    </w:p>
    <w:p>
      <w:r>
        <w:rPr>
          <w:b/>
        </w:rPr>
        <w:t xml:space="preserve">Ergebnis: </w:t>
      </w:r>
      <w:r>
        <w:t>Projekt läuft seit Februar 2025; knapp 100 Drainagen wurden bisher erfolgreich zu Hause entfernt ohne berichtete Komplikationen (kein Vergleich mit Kontrolle, Fallzahl begrenzt). Aussage nur zu Machbarkeit und Sicherheit, nicht zu Gesundheitskompetenz-Effekt oder Verhaltensänderung mess bar benannt.</w:t>
      </w:r>
    </w:p>
    <w:p>
      <w:r>
        <w:rPr>
          <w:b/>
          <w:sz w:val="19"/>
        </w:rPr>
        <w:t xml:space="preserve">Übertragbarkeit: </w:t>
      </w:r>
      <w:r>
        <w:rPr>
          <w:sz w:val="19"/>
        </w:rPr>
        <w:t>USA - einzelnes Krankenhaus; explorativer Bericht ohne robustes Wirkungsdesign, daher limitierte Aussagekraft.</w:t>
      </w:r>
    </w:p>
    <w:p>
      <w:r>
        <w:rPr>
          <w:color w:val="5A7D3A"/>
          <w:sz w:val="18"/>
        </w:rPr>
        <w:t>https://pubmed.ncbi.nlm.nih.gov/42832320/</w:t>
      </w:r>
    </w:p>
    <w:p>
      <w:pPr>
        <w:pStyle w:val="Heading2"/>
      </w:pPr>
      <w:r>
        <w:t>Künstliche Sprachmodelle bei Herpes zoster: Sicherheit und Lesbarkeit für Patient*innen kritisch</w:t>
      </w:r>
    </w:p>
    <w:p>
      <w:r>
        <w:rPr>
          <w:i/>
          <w:color w:val="666666"/>
          <w:sz w:val="18"/>
        </w:rPr>
        <w:t>Liang D et al.  ·  Front Public Health  ·  16.09.2026  ·  PMID 42819370</w:t>
      </w:r>
    </w:p>
    <w:p>
      <w:r>
        <w:t>Standardisierte Bewertung von fünf großen Sprachmodellen (ChatGPT, DeepSeek, Doubao, Gemini, Qwen) zu 46 Fragen über Herpes zoster auf Sicherheit, Genauigkeit, Einfühlsamkeit, Quellenangabe und Lesbarkeit durch drei Dermatologen (Kappa für Sicherheit 0,682).</w:t>
      </w:r>
    </w:p>
    <w:p>
      <w:r>
        <w:rPr>
          <w:b/>
        </w:rPr>
        <w:t xml:space="preserve">Ergebnis: </w:t>
      </w:r>
      <w:r>
        <w:t>Von 230 Antworten: 66 (28,7%) als potenziell unsicher bewertet (kein signifikanter Unterschied zwischen Modellen, Cochran Q p = 0,798). Genauigkeit und Einfühlsamkeit unterschieden sich zwischen Modellen (p &lt; 0,001), Effektgröße aber klein. Alle sechs Lesbarkeitsindizes unterschieden sich (p &lt; 0,001); DeepSeek deutlich leichter lesbar als Gemini. Quellenangabe und Offenlegung durchgängig dünn.</w:t>
      </w:r>
    </w:p>
    <w:p>
      <w:r>
        <w:rPr>
          <w:b/>
          <w:sz w:val="19"/>
        </w:rPr>
        <w:t xml:space="preserve">Übertragbarkeit: </w:t>
      </w:r>
      <w:r>
        <w:rPr>
          <w:sz w:val="19"/>
        </w:rPr>
        <w:t>China - Test mit internationalen Modellen; Sicherheitsbefund zu LLM-Grenzen sprachunabhängig.</w:t>
      </w:r>
    </w:p>
    <w:p>
      <w:r>
        <w:rPr>
          <w:color w:val="5A7D3A"/>
          <w:sz w:val="18"/>
        </w:rPr>
        <w:t>https://pubmed.ncbi.nlm.nih.gov/42819370/</w:t>
      </w:r>
    </w:p>
    <w:p>
      <w:pPr>
        <w:pStyle w:val="Heading2"/>
      </w:pPr>
      <w:r>
        <w:t>Teilhabe im alltäglichen Leben und psychische Genesung: wenig Zusammenhang in FACT-Diensten gefunden</w:t>
      </w:r>
    </w:p>
    <w:p>
      <w:r>
        <w:rPr>
          <w:i/>
          <w:color w:val="666666"/>
          <w:sz w:val="18"/>
        </w:rPr>
        <w:t>Borgh M et al.  ·  Nord J Psychiatry  ·  07.09.2026  ·  PMID 42706860</w:t>
      </w:r>
    </w:p>
    <w:p>
      <w:r>
        <w:t>Beobachtungsstudie mit Sekundärdaten von 83 Personen mit komplexen psychischen Erkrankungen in schwedischen Flexible Assertive Community Treatment-Diensten; Assoziationen zwischen Teilhabe-Domänen (Arbeit, Wohnsituation, Partnerschaft, Freundschaften) und persönlicher Genesung bzw. Lebensqualität nach 12 Monaten mittels multipler linearer Regression geprüft.</w:t>
      </w:r>
    </w:p>
    <w:p>
      <w:r>
        <w:rPr>
          <w:b/>
        </w:rPr>
        <w:t xml:space="preserve">Ergebnis: </w:t>
      </w:r>
      <w:r>
        <w:t>Personen, die allein lebten, zeigten höhere Lebensqualitäts-Scores als die mit Partner oder Familie (signifikant). Keine anderen signifikanten Assoziationen gefunden. Autoren interpretieren: FACT-Modell könnte persönliche Genesung über breites Spektrum von Teilhabe-Unterschieden unterstützen; aber Ergebnis unter methodischen Einschränkungen zu interpretieren (kleine Stichprobe, begrenzte Varianz).</w:t>
      </w:r>
    </w:p>
    <w:p>
      <w:r>
        <w:rPr>
          <w:b/>
          <w:sz w:val="19"/>
        </w:rPr>
        <w:t xml:space="preserve">Übertragbarkeit: </w:t>
      </w:r>
      <w:r>
        <w:rPr>
          <w:sz w:val="19"/>
        </w:rPr>
        <w:t>Schweden, mentale Gesundheit in Gemeindesetting; Übertragbarkeit auf Deutschland begrenzt durch Systemunterschiede.</w:t>
      </w:r>
    </w:p>
    <w:p>
      <w:r>
        <w:rPr>
          <w:color w:val="5A7D3A"/>
          <w:sz w:val="18"/>
        </w:rPr>
        <w:t>https://pubmed.ncbi.nlm.nih.gov/42706860/</w:t>
      </w:r>
    </w:p>
    <w:p>
      <w:pPr>
        <w:pStyle w:val="Heading1"/>
      </w:pPr>
      <w:r>
        <w:t>Aufgenommen am 09.10.2026</w:t>
      </w:r>
    </w:p>
    <w:p>
      <w:pPr>
        <w:pStyle w:val="Heading2"/>
      </w:pPr>
      <w:r>
        <w:t>Verständliche Online-Psychoedukation für ADHS: Reichweite, Nutzung und praktischer Nutzen</w:t>
      </w:r>
    </w:p>
    <w:p>
      <w:r>
        <w:rPr>
          <w:i/>
          <w:color w:val="666666"/>
          <w:sz w:val="18"/>
        </w:rPr>
        <w:t>Lui JHL et al.  ·  Evid Based Pract Child Adolesc Ment Health  ·  02.02.2025  ·  PMID 42847838</w:t>
      </w:r>
    </w:p>
    <w:p>
      <w:r>
        <w:t>Entwicklung und Verbreitung von TOOLS, einer kostenlosen webgestützten Psychoedukation mit 11 animierten Videos zu Organisations- und Verhaltensstrategien für Jugendliche und Erwachsene mit ADHS, verfügbar in Englisch, Mandarin und Spanisch; Analyse von Nutzung und wahrgenommener Wirksamkeit.</w:t>
      </w:r>
    </w:p>
    <w:p>
      <w:r>
        <w:rPr>
          <w:b/>
        </w:rPr>
        <w:t xml:space="preserve">Ergebnis: </w:t>
      </w:r>
      <w:r>
        <w:t>Oktober 2021–Oktober 2022: 19.876 eindeutige Seitenzugriffe, 12.631 Video-Klicks, 7.807 Handout-Klicks. 128 Nutzer (Alter 40 Jahre, 85,9% weiblich) bewerteten Hilfreichtum mit Ø 3,14/4, beabsichtigte Nutzung 3,13/4, tatsächliche Nutzung nach 1 Monat 2,53/4. Positive Rückmeldungen: Verständlichkeit, Informativität, Praxisnähe, visuell ansprechend.</w:t>
      </w:r>
    </w:p>
    <w:p>
      <w:r>
        <w:rPr>
          <w:b/>
          <w:sz w:val="19"/>
        </w:rPr>
        <w:t xml:space="preserve">Übertragbarkeit: </w:t>
      </w:r>
      <w:r>
        <w:rPr>
          <w:sz w:val="19"/>
        </w:rPr>
        <w:t>Nordamerika, aber sprachunabhängig; zeigt Machbarkeit verständlicher digitaler Psychoedukation; Lesbarkeit und Engagement sind übertragbar.</w:t>
      </w:r>
    </w:p>
    <w:p>
      <w:r>
        <w:rPr>
          <w:color w:val="5A7D3A"/>
          <w:sz w:val="18"/>
        </w:rPr>
        <w:t>https://pubmed.ncbi.nlm.nih.gov/42847838/</w:t>
      </w:r>
    </w:p>
    <w:p>
      <w:pPr>
        <w:pStyle w:val="Heading2"/>
      </w:pPr>
      <w:r>
        <w:t>Health Literacy bestimmt Wirkung von Restaurant-Nährwertkennzeichnung</w:t>
      </w:r>
    </w:p>
    <w:p>
      <w:r>
        <w:rPr>
          <w:i/>
          <w:color w:val="666666"/>
          <w:sz w:val="18"/>
        </w:rPr>
        <w:t>Yu YS et al.  ·  Ann Behav Med  ·  07.01.2026  ·  PMID 42847396</w:t>
      </w:r>
    </w:p>
    <w:p>
      <w:r>
        <w:t>Online-Randomisierte Studie mit 2829 US-amerikanischen Erwachsenen, die ein von 8 Fast-Food-Menüs wählten (Variation: Kalorien-Labels ja/nein, Natrium-Stoplicht-Symbole, Werbeaussagen); Effekt auf bestellte Kalorien und Natrium nach Health Literacy untersucht.</w:t>
      </w:r>
    </w:p>
    <w:p>
      <w:r>
        <w:rPr>
          <w:b/>
        </w:rPr>
        <w:t xml:space="preserve">Ergebnis: </w:t>
      </w:r>
      <w:r>
        <w:t>Nur Teilnehmer mit moderater Health Literacy zeigten signifikante Unterschiede: 90–135 kcal weniger und 123–154 mg Natrium weniger beim Einsatz von Labels (nominal p&lt;0,05). Bei niedriger oder hoher Literacy keine signifikanten Unterschiede. Menu Labeling wirkt nicht gleichmäßig; Effektivität hängt von Fähigkeit zur Informationsinterpretation ab.</w:t>
      </w:r>
    </w:p>
    <w:p>
      <w:r>
        <w:rPr>
          <w:b/>
          <w:sz w:val="19"/>
        </w:rPr>
        <w:t xml:space="preserve">Übertragbarkeit: </w:t>
      </w:r>
      <w:r>
        <w:rPr>
          <w:sz w:val="19"/>
        </w:rPr>
        <w:t>USA, aber Befund zur Ungleichheit ist sprachunabhängig; intuitivere Labels könnten Gerechtigkeit und Effektivität von Ernährungspolitik verbessern.</w:t>
      </w:r>
    </w:p>
    <w:p>
      <w:r>
        <w:rPr>
          <w:color w:val="5A7D3A"/>
          <w:sz w:val="18"/>
        </w:rPr>
        <w:t>https://pubmed.ncbi.nlm.nih.gov/42847396/</w:t>
      </w:r>
    </w:p>
    <w:p>
      <w:pPr>
        <w:pStyle w:val="Heading2"/>
      </w:pPr>
      <w:r>
        <w:t>Strukturierte Psychoedukation verbessert Empowerment bei schweren psychischen Erkrankungen</w:t>
      </w:r>
    </w:p>
    <w:p>
      <w:r>
        <w:rPr>
          <w:i/>
          <w:color w:val="666666"/>
          <w:sz w:val="18"/>
        </w:rPr>
        <w:t>Veltro F et al.  ·  Riv Psichiatr  ·  Sept. 2026  ·  PMID 42847035</w:t>
      </w:r>
    </w:p>
    <w:p>
      <w:r>
        <w:t>Randomisierte Studie an 60 Patienten mit schweren psychischen Erkrankungen (davon 59 ausgewertet), die eine strukturierte Psychoeducational Intervention (FM&amp;R-GR) erhielten, versus Kontrollgruppe mit weniger strukturiertem Manual über 12 Monate.</w:t>
      </w:r>
    </w:p>
    <w:p>
      <w:r>
        <w:rPr>
          <w:b/>
        </w:rPr>
        <w:t xml:space="preserve">Ergebnis: </w:t>
      </w:r>
      <w:r>
        <w:t>Empowerment (NEL-Score), Distress und psychosoziale Funktionsfähigkeit (PSPS) zeigten statistisch signifikante Verbesserungen (p&lt;0,001 bzw. p&lt;0,05). In der Interventionsgruppe 56,3% (27/48), in der Kontrollgruppe 43,75% (21/48) schlossen ab. Strukturierte Psychoedukation wirkt messbar auf primäre Zielgrößen.</w:t>
      </w:r>
    </w:p>
    <w:p>
      <w:r>
        <w:rPr>
          <w:b/>
          <w:sz w:val="19"/>
        </w:rPr>
        <w:t xml:space="preserve">Übertragbarkeit: </w:t>
      </w:r>
      <w:r>
        <w:rPr>
          <w:sz w:val="19"/>
        </w:rPr>
        <w:t>Italien, vergleichbares EU-Gesundheitssystem; Übertragbarkeit auf spezialisierte psychosoziale Versorgung in Deutschland gegeben.</w:t>
      </w:r>
    </w:p>
    <w:p>
      <w:r>
        <w:rPr>
          <w:color w:val="5A7D3A"/>
          <w:sz w:val="18"/>
        </w:rPr>
        <w:t>https://pubmed.ncbi.nlm.nih.gov/42847035/</w:t>
      </w:r>
    </w:p>
    <w:p>
      <w:pPr>
        <w:pStyle w:val="Heading2"/>
      </w:pPr>
      <w:r>
        <w:t>Medikamentenkompetenz bei älteren Patienten mit Herzkrankheit und Diabetes</w:t>
      </w:r>
    </w:p>
    <w:p>
      <w:r>
        <w:rPr>
          <w:i/>
          <w:color w:val="666666"/>
          <w:sz w:val="18"/>
        </w:rPr>
        <w:t>Pan X et al.  ·  Front Public Health  ·  23.09.2026  ·  PMID 42846411</w:t>
      </w:r>
    </w:p>
    <w:p>
      <w:r>
        <w:t>Querschnittstudie an 254 hospitalisierten Patienten mittleren Alters und älter mit koexistierender koronarer Herzkrankheit und Typ-2-Diabetes in einer Klinik in Chongqing, China; Messung von Medikamentenkompetenz und assoziierten Faktoren.</w:t>
      </w:r>
    </w:p>
    <w:p>
      <w:r>
        <w:rPr>
          <w:b/>
        </w:rPr>
        <w:t xml:space="preserve">Ergebnis: </w:t>
      </w:r>
      <w:r>
        <w:t>Mittlerer Medikamentenkompetenz-Score 74,05±12,23. Hierarchische Regression zeigte signifikante Assoziationen mit: Beteiligung an Medikationsentscheidungen, soziale Unterstützung, Bildungsniveau, Selbstwirksamkeit, Wohnort und Fähigkeit, Beipackzettel zu verstehen (alle p&lt;0,05). Medikamentenkompetenz hat Verbesserungspotential und hängt von individuellen, sozialen und Versorgungsfaktoren ab.</w:t>
      </w:r>
    </w:p>
    <w:p>
      <w:r>
        <w:rPr>
          <w:b/>
          <w:sz w:val="19"/>
        </w:rPr>
        <w:t xml:space="preserve">Übertragbarkeit: </w:t>
      </w:r>
      <w:r>
        <w:rPr>
          <w:sz w:val="19"/>
        </w:rPr>
        <w:t>China, ähnliche chronische Krankheitslast; Befund zur Bedeutung von Shared Decision Making und Sozialunterstützung generalisierbar.</w:t>
      </w:r>
    </w:p>
    <w:p>
      <w:r>
        <w:rPr>
          <w:color w:val="5A7D3A"/>
          <w:sz w:val="18"/>
        </w:rPr>
        <w:t>https://pubmed.ncbi.nlm.nih.gov/42846411/</w:t>
      </w:r>
    </w:p>
    <w:p>
      <w:pPr>
        <w:pStyle w:val="Heading2"/>
      </w:pPr>
      <w:r>
        <w:t>Patientenbeteiligung in der Intensivmedizin: Wie sinnvoll ist die Mitwirkung wirklich?</w:t>
      </w:r>
    </w:p>
    <w:p>
      <w:r>
        <w:rPr>
          <w:i/>
          <w:color w:val="666666"/>
          <w:sz w:val="18"/>
        </w:rPr>
        <w:t>Collet MO et al.  ·  Nurs Crit Care  ·  Nov. 2026  ·  PMID 42844890</w:t>
      </w:r>
    </w:p>
    <w:p>
      <w:r>
        <w:t>Befragung von 37 Teilnehmern (80,4% Rücklauf) an dänischen Forschungsgremien zur Entwicklung von Kernergebnisindikatoren für Intensivpatienten, um Qualität der Patientenbeteiligung (PEIRS-22-Skala) zu messen.</w:t>
      </w:r>
    </w:p>
    <w:p>
      <w:r>
        <w:rPr>
          <w:b/>
        </w:rPr>
        <w:t xml:space="preserve">Ergebnis: </w:t>
      </w:r>
      <w:r>
        <w:t>Median-Score 78 (Spanne 68–93), 72% erreichten Wert ≥70,1 für sinnvolle Beteiligung. Unterschiede nach Rolle signifikant (p=0,004): Forscher 97, Patienten/Angehörige 89, klinisches Personal 74. Beteiligung insgesamt sinnvoll, aber Unterschiede zwischen Stakeholdern und Defizite in Entscheidungsmitsprache.</w:t>
      </w:r>
    </w:p>
    <w:p>
      <w:r>
        <w:rPr>
          <w:b/>
          <w:sz w:val="19"/>
        </w:rPr>
        <w:t xml:space="preserve">Übertragbarkeit: </w:t>
      </w:r>
      <w:r>
        <w:rPr>
          <w:sz w:val="19"/>
        </w:rPr>
        <w:t>Dänemark, nordisches Versicherungssystem; zeigt Messbares für Verbesserung von Shared Decision Making in der Intensivforschung.</w:t>
      </w:r>
    </w:p>
    <w:p>
      <w:r>
        <w:rPr>
          <w:color w:val="5A7D3A"/>
          <w:sz w:val="18"/>
        </w:rPr>
        <w:t>https://pubmed.ncbi.nlm.nih.gov/42844890/</w:t>
      </w:r>
    </w:p>
    <w:p>
      <w:pPr>
        <w:pStyle w:val="Heading2"/>
      </w:pPr>
      <w:r>
        <w:t>Patientenbeteiligung in klinischen Audits: ein pragmatisches Organisationsmodell</w:t>
      </w:r>
    </w:p>
    <w:p>
      <w:r>
        <w:rPr>
          <w:i/>
          <w:color w:val="666666"/>
          <w:sz w:val="18"/>
        </w:rPr>
        <w:t>El Hadidi S et al.  ·  Health Policy  ·  23.09.2026  ·  PMID 42810162</w:t>
      </w:r>
    </w:p>
    <w:p>
      <w:r>
        <w:t>Dokumentenanalyse von 23 öffentlichen Dokumenten der irischen National Office of Clinical Audit (NOCA, 2012–2025) zu Struktur und Operationalisierung von Patientenbeteiligung in nationalen Audits.</w:t>
      </w:r>
    </w:p>
    <w:p>
      <w:r>
        <w:rPr>
          <w:b/>
        </w:rPr>
        <w:t xml:space="preserve">Ergebnis: </w:t>
      </w:r>
      <w:r>
        <w:t>Vier Implementierungsmechanismen identifiziert: Governance-Integration, Portfolio-Koordination, Co-Produktion von Öffentlichkeitsmaterialien und institutionelle Unterstützungsstrukturen. NOCA zeigt, wie Patientenbeteiligung in nationale Audit-Infrastruktur als dauerhafte Governance- und Rechenschaftsfunktion eingebaut werden kann.</w:t>
      </w:r>
    </w:p>
    <w:p>
      <w:r>
        <w:rPr>
          <w:b/>
          <w:sz w:val="19"/>
        </w:rPr>
        <w:t xml:space="preserve">Übertragbarkeit: </w:t>
      </w:r>
      <w:r>
        <w:rPr>
          <w:sz w:val="19"/>
        </w:rPr>
        <w:t>Irland, vergleichbare europäische Audit-Struktur; übertragbares Modell für dezentrale deutsche Qualitätssicherungssysteme.</w:t>
      </w:r>
    </w:p>
    <w:p>
      <w:r>
        <w:rPr>
          <w:color w:val="5A7D3A"/>
          <w:sz w:val="18"/>
        </w:rPr>
        <w:t>https://pubmed.ncbi.nlm.nih.gov/42810162/</w:t>
      </w:r>
    </w:p>
    <w:p>
      <w:pPr>
        <w:pStyle w:val="Heading1"/>
      </w:pPr>
      <w:r>
        <w:t>Aufgenommen am 08.10.2026</w:t>
      </w:r>
    </w:p>
    <w:p>
      <w:pPr>
        <w:pStyle w:val="Heading2"/>
      </w:pPr>
      <w:r>
        <w:t>Chatbot verbessert Krebsrisiko-Verständnis bei jungen Patienten mit genetischer Disposition</w:t>
      </w:r>
    </w:p>
    <w:p>
      <w:r>
        <w:rPr>
          <w:i/>
          <w:color w:val="666666"/>
          <w:sz w:val="18"/>
        </w:rPr>
        <w:t>Kamihara J et al.  ·  JAMA Netw Open  ·  01.10.2026  ·  PMID 42842248</w:t>
      </w:r>
    </w:p>
    <w:p>
      <w:r>
        <w:t>Randomisierte Studie mit 106 Jugendlichen und jungen Erwachsenen (12-24 Jahre) mit hereditären Krebssyndromen, die entweder eine Klinikberatung allein oder mit zusätzlicher chatbot-gestützter Risikokommunikation erhielten.</w:t>
      </w:r>
    </w:p>
    <w:p>
      <w:r>
        <w:rPr>
          <w:b/>
        </w:rPr>
        <w:t xml:space="preserve">Ergebnis: </w:t>
      </w:r>
      <w:r>
        <w:t>Nach der Intervention hatten 78% (42/54) der Chatbot-Gruppe gegenüber 37% (19/52) der Kontrollgruppe genaue Kenntnisse über Krebsrisiko bis Alter 30 (OR 3,50, p=0,005). Verbessertes Verständnis ohne Anstieg psychischer Belastung.</w:t>
      </w:r>
    </w:p>
    <w:p>
      <w:r>
        <w:rPr>
          <w:b/>
          <w:sz w:val="19"/>
        </w:rPr>
        <w:t xml:space="preserve">Übertragbarkeit: </w:t>
      </w:r>
      <w:r>
        <w:rPr>
          <w:sz w:val="19"/>
        </w:rPr>
        <w:t>USA-Studie, aber Befund zur verständlichkeitssteigernden Wirkung personalisierter digitaler Information ist systemunabhängig.</w:t>
      </w:r>
    </w:p>
    <w:p>
      <w:r>
        <w:rPr>
          <w:color w:val="5A7D3A"/>
          <w:sz w:val="18"/>
        </w:rPr>
        <w:t>https://pubmed.ncbi.nlm.nih.gov/42842248/</w:t>
      </w:r>
    </w:p>
    <w:p>
      <w:pPr>
        <w:pStyle w:val="Heading2"/>
      </w:pPr>
      <w:r>
        <w:t>Teach-Back-Methode als Basis für sichere und gleichberechtigte Patientenkommunikation</w:t>
      </w:r>
    </w:p>
    <w:p>
      <w:r>
        <w:rPr>
          <w:i/>
          <w:color w:val="666666"/>
          <w:sz w:val="18"/>
        </w:rPr>
        <w:t>Sisodia A  ·  Am J Manag Care  ·  01.09.2026  ·  PMID 42842209</w:t>
      </w:r>
    </w:p>
    <w:p>
      <w:r>
        <w:t>Policy-Kommentar, der Teach-Back als Equity-Infrastruktur zur Verifikation von Patientenverständnis begründet und für dessen systematische Implementierung plädiert.</w:t>
      </w:r>
    </w:p>
    <w:p>
      <w:r>
        <w:rPr>
          <w:b/>
        </w:rPr>
        <w:t xml:space="preserve">Ergebnis: </w:t>
      </w:r>
      <w:r>
        <w:t>Teach-Back wird als praktisches Verfahren zur Fehlervermeidung bei Discharge, Medikamentenwechsel und Einwilligung vorgestellt. Begriffsrahmen der "last-mile equity gap" zwischen abgeschlossener Konsultation und tatsächlichem Patientenverständnis.</w:t>
      </w:r>
    </w:p>
    <w:p>
      <w:r>
        <w:rPr>
          <w:b/>
          <w:sz w:val="19"/>
        </w:rPr>
        <w:t xml:space="preserve">Übertragbarkeit: </w:t>
      </w:r>
      <w:r>
        <w:rPr>
          <w:sz w:val="19"/>
        </w:rPr>
        <w:t>Konzeptionelle Arbeit, sprachenunabhängig und auf alle Versorgungssysteme übertragbar.</w:t>
      </w:r>
    </w:p>
    <w:p>
      <w:r>
        <w:rPr>
          <w:color w:val="5A7D3A"/>
          <w:sz w:val="18"/>
        </w:rPr>
        <w:t>https://pubmed.ncbi.nlm.nih.gov/42842209/</w:t>
      </w:r>
    </w:p>
    <w:p>
      <w:pPr>
        <w:pStyle w:val="Heading2"/>
      </w:pPr>
      <w:r>
        <w:t>Strukturelle und kulturelle Hürden für Patientenbeteiligung in Seltene-Erkrankungen-Forschung</w:t>
      </w:r>
    </w:p>
    <w:p>
      <w:r>
        <w:rPr>
          <w:i/>
          <w:color w:val="666666"/>
          <w:sz w:val="18"/>
        </w:rPr>
        <w:t>Bancroft D et al.  ·  Mol Genet Genomic Med  ·  Okt. 2026  ·  PMID 42834739</w:t>
      </w:r>
    </w:p>
    <w:p>
      <w:r>
        <w:t>Narrative Übersicht mit Reflexionen aus Patienten-, Forscher- und Funder-Perspektive zu Barrieren für Patient- und Public-Involvement-and-Engagement (PPIE) in akademischer Forschung, besonders in Seltene-Erkrankungen-Kontexten.</w:t>
      </w:r>
    </w:p>
    <w:p>
      <w:r>
        <w:rPr>
          <w:b/>
        </w:rPr>
        <w:t xml:space="preserve">Ergebnis: </w:t>
      </w:r>
      <w:r>
        <w:t>Identifizierte strukturelle Barrieren: unzureichende Ressourcenausstattung, begrenzte Zeitrahmen, mangelnde Schulung, kulturelle Widerstände gegen Patientenbeteiligung. Empfehlungen: institutionelle Verankerung von PPIE, kontinuierliche Finanzierung, klare Rollen und Verantwortlichkeiten, Schulung aller Beteiligten, regelmäßige Evaluation.</w:t>
      </w:r>
    </w:p>
    <w:p>
      <w:r>
        <w:rPr>
          <w:b/>
          <w:sz w:val="19"/>
        </w:rPr>
        <w:t xml:space="preserve">Übertragbarkeit: </w:t>
      </w:r>
      <w:r>
        <w:rPr>
          <w:sz w:val="19"/>
        </w:rPr>
        <w:t>UK-Perspektive, aber PPIE-Strukturfragen und Empfehlungen sind auf deutsches akademisches System übertragbar.</w:t>
      </w:r>
    </w:p>
    <w:p>
      <w:r>
        <w:rPr>
          <w:color w:val="5A7D3A"/>
          <w:sz w:val="18"/>
        </w:rPr>
        <w:t>https://pubmed.ncbi.nlm.nih.gov/42834739/</w:t>
      </w:r>
    </w:p>
    <w:p>
      <w:pPr>
        <w:pStyle w:val="Heading2"/>
      </w:pPr>
      <w:r>
        <w:t>ChatGPT liefert verlässliche Patienteninformation zu Hüft- und Knieendoprothetik</w:t>
      </w:r>
    </w:p>
    <w:p>
      <w:r>
        <w:rPr>
          <w:i/>
          <w:color w:val="666666"/>
          <w:sz w:val="18"/>
        </w:rPr>
        <w:t>Deschênes-Bilodeau J et al.  ·  Can J Surg  ·  29.09.2026  ·  PMID 42810739</w:t>
      </w:r>
    </w:p>
    <w:p>
      <w:r>
        <w:t>Vergleichende Studie mit fünf häufig gegoogelten Fragen zu Gelenkersatz, beantwortet durch ChatGPT 4.0 und orthopädische Fachpersonen (Chirurgen, Fellows, Assistenzärzte), anonym durch einen unabhängigen Chirurgen bewertet.</w:t>
      </w:r>
    </w:p>
    <w:p>
      <w:r>
        <w:rPr>
          <w:b/>
        </w:rPr>
        <w:t xml:space="preserve">Ergebnis: </w:t>
      </w:r>
      <w:r>
        <w:t>Menschliche Antworten: Genauigkeit im Mittel 75% (SD 17%), Vollständigkeit 69% (SD 22%). ChatGPT: Genauigkeit 93% (SD 12%), Vollständigkeit 93% (SD 14%). Fellowship-Träger waren beste Fachgruppe mit 75% Antworten ≥5/6 für Genauigkeit (Mittel 82%, SD 16%).</w:t>
      </w:r>
    </w:p>
    <w:p>
      <w:r>
        <w:rPr>
          <w:b/>
          <w:sz w:val="19"/>
        </w:rPr>
        <w:t xml:space="preserve">Übertragbarkeit: </w:t>
      </w:r>
      <w:r>
        <w:rPr>
          <w:sz w:val="19"/>
        </w:rPr>
        <w:t>Kanada, vergleichbares Versicherungssystem; Befund zur Informationsqualität digitaler Tools ist übertragbar.</w:t>
      </w:r>
    </w:p>
    <w:p>
      <w:r>
        <w:rPr>
          <w:color w:val="5A7D3A"/>
          <w:sz w:val="18"/>
        </w:rPr>
        <w:t>https://pubmed.ncbi.nlm.nih.gov/42810739/</w:t>
      </w:r>
    </w:p>
    <w:p>
      <w:pPr>
        <w:pStyle w:val="Heading2"/>
      </w:pPr>
      <w:r>
        <w:t>Erkennung der Herzinsuffizienz-Diagnose bei älteren Patienten: Einfluss auf Versorgungsergebnisse</w:t>
      </w:r>
    </w:p>
    <w:p>
      <w:r>
        <w:rPr>
          <w:i/>
          <w:color w:val="666666"/>
          <w:sz w:val="18"/>
        </w:rPr>
        <w:t>Tasaka T et al.  ·  Geriatr Gerontol Int  ·  Okt. 2026  ·  PMID 42802039</w:t>
      </w:r>
    </w:p>
    <w:p>
      <w:r>
        <w:t>Kohortenstudie mit 188 hospitalisierten Herzinsuffizienz-Patienten (Median 81 Jahre) aus Japan, die Diagnose-Erkennung vor Entlassung abfragten und Assoziationen mit Mortalität und Rehospitalisierungen prüften.</w:t>
      </w:r>
    </w:p>
    <w:p>
      <w:r>
        <w:rPr>
          <w:b/>
        </w:rPr>
        <w:t xml:space="preserve">Ergebnis: </w:t>
      </w:r>
      <w:r>
        <w:t>38% (72/188) erkannten ihre Primärdiagnose nicht; diese Gruppe hatte signifikant niedrigere kommunikative und kritische Health-Literacy-Scores (p&lt;0,01). Nach Adjustment für Alter, kognitive Funktion und HI-Schweregrad war fehlende Diagnose-Erkennung kein unabhängiger Prognosefaktor (Median Follow-up 280 Tage, 40% Ereignisse).</w:t>
      </w:r>
    </w:p>
    <w:p>
      <w:r>
        <w:rPr>
          <w:b/>
          <w:sz w:val="19"/>
        </w:rPr>
        <w:t xml:space="preserve">Übertragbarkeit: </w:t>
      </w:r>
      <w:r>
        <w:rPr>
          <w:sz w:val="19"/>
        </w:rPr>
        <w:t>Japan, aber Messprinzip und Patientenalter übertragbar auf deutsches Versorgungssetting.</w:t>
      </w:r>
    </w:p>
    <w:p>
      <w:r>
        <w:rPr>
          <w:color w:val="5A7D3A"/>
          <w:sz w:val="18"/>
        </w:rPr>
        <w:t>https://pubmed.ncbi.nlm.nih.gov/42802039/</w:t>
      </w:r>
    </w:p>
    <w:p>
      <w:pPr>
        <w:pStyle w:val="Heading2"/>
      </w:pPr>
      <w:r>
        <w:t>Unterschiedliche Qualität von Patienteninformation zu Spinalkanalstenose auf YouTube, TikTok und Bilibili</w:t>
      </w:r>
    </w:p>
    <w:p>
      <w:r>
        <w:rPr>
          <w:i/>
          <w:color w:val="666666"/>
          <w:sz w:val="18"/>
        </w:rPr>
        <w:t>Guo R et al.  ·  Medicine (Baltimore)  ·  25.09.2026  ·  PMID 42798124</w:t>
      </w:r>
    </w:p>
    <w:p>
      <w:r>
        <w:t>Querschnittsanalyse von 253 Videos (89 YouTube, 80 Bilibili, 84 TikTok) zu Lumbalstenose vom 1.2.2026, bewertet nach Zuverlässigkeit, Gesamtqualität, Verständlichkeit, Handlungsfähigkeit und audiovisueller Qualität.</w:t>
      </w:r>
    </w:p>
    <w:p>
      <w:r>
        <w:rPr>
          <w:b/>
        </w:rPr>
        <w:t xml:space="preserve">Ergebnis: </w:t>
      </w:r>
      <w:r>
        <w:t>YouTube-Videos: höhere modifizierte DISCERN- und Global-Quality-Scores, mehr Abdeckung von Ätiologie und Prävention, überwiegend von Kliniken/verifizierten Ärzten. TikTok: kürzeste Videos (103 Sek Median), höchste Physician-Verifikation, beste Audience-Engagement. Bilibili: keine klaren Vorteile. Hohe Engagement korrelierte nicht mit medizinischer Zuverlässigkeit.</w:t>
      </w:r>
    </w:p>
    <w:p>
      <w:r>
        <w:rPr>
          <w:b/>
          <w:sz w:val="19"/>
        </w:rPr>
        <w:t xml:space="preserve">Übertragbarkeit: </w:t>
      </w:r>
      <w:r>
        <w:rPr>
          <w:sz w:val="19"/>
        </w:rPr>
        <w:t>China/Asien, aber Befund zu Plattform-Qualitätsunterschieden und Engagement-Paradox relevant für deutsches Patientenverhalten.</w:t>
      </w:r>
    </w:p>
    <w:p>
      <w:r>
        <w:rPr>
          <w:color w:val="5A7D3A"/>
          <w:sz w:val="18"/>
        </w:rPr>
        <w:t>https://pubmed.ncbi.nlm.nih.gov/42798124/</w:t>
      </w:r>
    </w:p>
    <w:p>
      <w:pPr>
        <w:pStyle w:val="Heading1"/>
      </w:pPr>
      <w:r>
        <w:t>Aufgenommen am 07.10.2026</w:t>
      </w:r>
    </w:p>
    <w:p>
      <w:pPr>
        <w:pStyle w:val="Heading2"/>
      </w:pPr>
      <w:r>
        <w:t>Digitale Gesundheitskompetenz und proaktives Verhalten bei Diabetes: Indirekte Wirkung durch Selbstmanagement</w:t>
      </w:r>
    </w:p>
    <w:p>
      <w:r>
        <w:rPr>
          <w:i/>
          <w:color w:val="666666"/>
          <w:sz w:val="18"/>
        </w:rPr>
        <w:t>Chen C et al.  ·  BMJ Open  ·  06.10.2026  ·  PMID 42838584</w:t>
      </w:r>
    </w:p>
    <w:p>
      <w:r>
        <w:t>Eine chinesische Querschnittsstudie von 1053 älteren Diabetikern prüfte die Assoziation zwischen digitaler Health Literacy und gesundheitsbezogener Lebensqualität, vermittelt durch proaktive Gesundheitsverhalten.</w:t>
      </w:r>
    </w:p>
    <w:p>
      <w:r>
        <w:rPr>
          <w:b/>
        </w:rPr>
        <w:t xml:space="preserve">Ergebnis: </w:t>
      </w:r>
      <w:r>
        <w:t>Mittlere digitale Health-Literacy: 21,24±10,43; proaktives Verhalten: 76,75±9,88; EQ-5D-3L-Nutzen: 0,968±0,069. Die adjustierte Gesamtassoziation zwischen digitaler Health Literacy und Lebensqualität war signifikant (B=0,000569, 95%-KI 0,000228–0,000910), die direkte Assoziation hingegen nicht (B=0,000152, p=0,338). Die indirekte Assoziation durch proaktive Verhalten war signifikant (B=0,000418, 95%-KI 0,000260–0,000619) und erklärte 73,5 % der Gesamtassoziation.</w:t>
      </w:r>
    </w:p>
    <w:p>
      <w:r>
        <w:rPr>
          <w:b/>
          <w:sz w:val="19"/>
        </w:rPr>
        <w:t xml:space="preserve">Übertragbarkeit: </w:t>
      </w:r>
      <w:r>
        <w:rPr>
          <w:sz w:val="19"/>
        </w:rPr>
        <w:t>China, Vergleichbarkeit begrenzt auf digitale Kompetenzeffekte, weniger auf Organisationsstrukturen</w:t>
      </w:r>
    </w:p>
    <w:p>
      <w:r>
        <w:rPr>
          <w:color w:val="5A7D3A"/>
          <w:sz w:val="18"/>
        </w:rPr>
        <w:t>https://pubmed.ncbi.nlm.nih.gov/42838584/</w:t>
      </w:r>
    </w:p>
    <w:p>
      <w:pPr>
        <w:pStyle w:val="Heading2"/>
      </w:pPr>
      <w:r>
        <w:t>Shared Decision-Making für Hüftfraktur-Behandlung: Zufriedenheit und Informationsbedarf</w:t>
      </w:r>
    </w:p>
    <w:p>
      <w:r>
        <w:rPr>
          <w:i/>
          <w:color w:val="666666"/>
          <w:sz w:val="18"/>
        </w:rPr>
        <w:t>Oosterwijk PC et al.  ·  BMJ Open  ·  06.10.2026  ·  PMID 42838576</w:t>
      </w:r>
    </w:p>
    <w:p>
      <w:r>
        <w:t>Eine niederländische Mixed-Methods-Studie untersuchte die Zufriedenheit von Patienten und Angehörigen mit der gemeinsamen Entscheidungsfindung (SDM) bei älteren, gebrechlichen Patienten mit Hüftfraktur und identifizierte Verbesserungsmöglichkeiten für den SDM-Prozess.</w:t>
      </w:r>
    </w:p>
    <w:p>
      <w:r>
        <w:rPr>
          <w:b/>
        </w:rPr>
        <w:t xml:space="preserve">Ergebnis: </w:t>
      </w:r>
      <w:r>
        <w:t>Von 79 befragten Stellvertretern betrug die mediane Zufriedenheit mit der getroffenen Behandlungsentscheidung 8 von 10 Punkten (P25-P75 7–9). Bei 30 % der Teilnehmer fehlten Informationen zu technischen Details und Nachsorge. Schlüsselfaktoren für Zufriedenheit waren die Anerkennung der Gebrechlichkeit, konsistente Behandlung, verständliche Informationen und ausreichend Zeit.</w:t>
      </w:r>
    </w:p>
    <w:p>
      <w:r>
        <w:rPr>
          <w:b/>
          <w:sz w:val="19"/>
        </w:rPr>
        <w:t xml:space="preserve">Übertragbarkeit: </w:t>
      </w:r>
      <w:r>
        <w:rPr>
          <w:sz w:val="19"/>
        </w:rPr>
        <w:t>Niederlande, vergleichbares Versicherungssystem und Klinikstrukturen</w:t>
      </w:r>
    </w:p>
    <w:p>
      <w:r>
        <w:rPr>
          <w:color w:val="5A7D3A"/>
          <w:sz w:val="18"/>
        </w:rPr>
        <w:t>https://pubmed.ncbi.nlm.nih.gov/42838576/</w:t>
      </w:r>
    </w:p>
    <w:p>
      <w:pPr>
        <w:pStyle w:val="Heading2"/>
      </w:pPr>
      <w:r>
        <w:t>Shared-Decision-Making-Training für Ärzte: Umsetzungsbarrieren in der Routineversorgung</w:t>
      </w:r>
    </w:p>
    <w:p>
      <w:r>
        <w:rPr>
          <w:i/>
          <w:color w:val="666666"/>
          <w:sz w:val="18"/>
        </w:rPr>
        <w:t>Kraun L et al.  ·  Fam Pract  ·  06.10.2026  ·  PMID 42837109</w:t>
      </w:r>
    </w:p>
    <w:p>
      <w:r>
        <w:t>Eine qualitative US-Studie analysierte die Erfahrungen von 43 Hausärzten mit einem SDM-Training und klinischen Erinnerungen aus einer randomisierten Studie zur Darmkrebs-Screening-Entscheidung bei älteren Patienten und identifizierte Implementierungshindernisse und Systemvoraussetzungen.</w:t>
      </w:r>
    </w:p>
    <w:p>
      <w:r>
        <w:rPr>
          <w:b/>
        </w:rPr>
        <w:t xml:space="preserve">Ergebnis: </w:t>
      </w:r>
      <w:r>
        <w:t>Ärzte bewerteten Training und Erinnerungen als unterstützend für nuanciertere Entscheidungsgespräche. Zentrale Barrieren waren Zeitmangel, konkurrierendes Fallaufkommen, Workflow-Integration und COVID-19-Unterbrechungen. Empfehlungen der Ärzte: automatisierte Erinnerungen, Patient Decision Aids, kürzeres Training, interprofessionelle Zusammenarbeit und minimale Zusatzbelastung.</w:t>
      </w:r>
    </w:p>
    <w:p>
      <w:r>
        <w:rPr>
          <w:b/>
          <w:sz w:val="19"/>
        </w:rPr>
        <w:t xml:space="preserve">Übertragbarkeit: </w:t>
      </w:r>
      <w:r>
        <w:rPr>
          <w:sz w:val="19"/>
        </w:rPr>
        <w:t>USA, Gatekeeping-System nur teilweise auf deutsche freie Arztwahl übertragbar</w:t>
      </w:r>
    </w:p>
    <w:p>
      <w:r>
        <w:rPr>
          <w:color w:val="5A7D3A"/>
          <w:sz w:val="18"/>
        </w:rPr>
        <w:t>https://pubmed.ncbi.nlm.nih.gov/42837109/</w:t>
      </w:r>
    </w:p>
    <w:p>
      <w:pPr>
        <w:pStyle w:val="Heading2"/>
      </w:pPr>
      <w:r>
        <w:t>Multidisziplinäre Schmerzbehandlung verbessert Gesundheitskompetenz messbar</w:t>
      </w:r>
    </w:p>
    <w:p>
      <w:r>
        <w:rPr>
          <w:i/>
          <w:color w:val="666666"/>
          <w:sz w:val="18"/>
        </w:rPr>
        <w:t>Gjesdal K et al.  ·  Scand J Pain  ·  01.01.2026  ·  PMID 42836695</w:t>
      </w:r>
    </w:p>
    <w:p>
      <w:r>
        <w:t>Eine norwegische Längsschnittstudie prüfte Veränderungen der Health Literacy bei 43 Patienten mit chronischen Schmerzstörungen nach Teilnahme an einem individualisierten, multidisziplinären primärärztlichen Behandlungsprogramm.</w:t>
      </w:r>
    </w:p>
    <w:p>
      <w:r>
        <w:rPr>
          <w:b/>
        </w:rPr>
        <w:t xml:space="preserve">Ergebnis: </w:t>
      </w:r>
      <w:r>
        <w:t>Statistisch signifikante Verbesserungen in fünf von neun Health-Literacy-Questionnaire-Domänen vom Ausgangswert zur Halbzeiterhebung und in acht Domänen bis zur Abschlussuntersuchung. Die stärkste Steigerung zeigte die Domäne "ausreichend Informationen zur Gesundheitskontrolle", die Domäne "Navigation im Gesundheitssystem" verbesserte sich über alle Zeitpunkte.</w:t>
      </w:r>
    </w:p>
    <w:p>
      <w:r>
        <w:rPr>
          <w:b/>
          <w:sz w:val="19"/>
        </w:rPr>
        <w:t xml:space="preserve">Übertragbarkeit: </w:t>
      </w:r>
      <w:r>
        <w:rPr>
          <w:sz w:val="19"/>
        </w:rPr>
        <w:t>Skandinavien, vergleichbare Primärversorgungsstrukturen</w:t>
      </w:r>
    </w:p>
    <w:p>
      <w:r>
        <w:rPr>
          <w:color w:val="5A7D3A"/>
          <w:sz w:val="18"/>
        </w:rPr>
        <w:t>https://pubmed.ncbi.nlm.nih.gov/42836695/</w:t>
      </w:r>
    </w:p>
    <w:p>
      <w:pPr>
        <w:pStyle w:val="Heading2"/>
      </w:pPr>
      <w:r>
        <w:t>Patientenbeteiligung in Schlaganfall-Forschung: Struktur schließt Betroffene systematisch aus</w:t>
      </w:r>
    </w:p>
    <w:p>
      <w:r>
        <w:rPr>
          <w:i/>
          <w:color w:val="666666"/>
          <w:sz w:val="18"/>
        </w:rPr>
        <w:t>Wyatt D et al.  ·  Health Expect  ·  Okt. 2026  ·  PMID 42834742</w:t>
      </w:r>
    </w:p>
    <w:p>
      <w:r>
        <w:t>Eine britische qualitative Studie untersuchte Praxis und Barrieren der Patient and Public Involvement (PPI) in 104 Schlaganfall-Forschungsprojekten durch eine nationale Befragung von 31 Forschungsteams.</w:t>
      </w:r>
    </w:p>
    <w:p>
      <w:r>
        <w:rPr>
          <w:b/>
        </w:rPr>
        <w:t xml:space="preserve">Ergebnis: </w:t>
      </w:r>
      <w:r>
        <w:t>Gruppentreffen dominierten die PPI-Praxis und wirkten als "selbstverständliche Infrastruktur"; sie systematisch aus Schlaganfallüberlebende aus, deren Beeinträchtigungen die Teilnahme erschwerten. Mangelnde Mittel für Koordination (insbesondere unbezahlte Zeit) und fehlende spezialisierte Kommunikationsunterstützung limitierten die Machbarkeit. PPI-Gruppen blieben überwiegend "weiß, mittelschichtig mit leichteren Schlaganfallfolgen"; Innovation führte nicht zu inklusiverer Teilhabe.</w:t>
      </w:r>
    </w:p>
    <w:p>
      <w:r>
        <w:rPr>
          <w:b/>
          <w:sz w:val="19"/>
        </w:rPr>
        <w:t xml:space="preserve">Übertragbarkeit: </w:t>
      </w:r>
      <w:r>
        <w:rPr>
          <w:sz w:val="19"/>
        </w:rPr>
        <w:t>Vereinigtes Königreich, NHSForschungsinfrastruktur übertragbar auf deutsches System</w:t>
      </w:r>
    </w:p>
    <w:p>
      <w:r>
        <w:rPr>
          <w:color w:val="5A7D3A"/>
          <w:sz w:val="18"/>
        </w:rPr>
        <w:t>https://pubmed.ncbi.nlm.nih.gov/42834742/</w:t>
      </w:r>
    </w:p>
    <w:p>
      <w:pPr>
        <w:pStyle w:val="Heading2"/>
      </w:pPr>
      <w:r>
        <w:t>Gemeindebeteiligung und Health Literacy stärken integrierte Primärversorgung</w:t>
      </w:r>
    </w:p>
    <w:p>
      <w:r>
        <w:rPr>
          <w:i/>
          <w:color w:val="666666"/>
          <w:sz w:val="18"/>
        </w:rPr>
        <w:t>De Witte NAJ et al.  ·  BMC Prim Care  ·  08.07.2026  ·  PMID 42420849</w:t>
      </w:r>
    </w:p>
    <w:p>
      <w:r>
        <w:t>Eine belgische Mixed-Methods-Studie kombinierte eine Bevölkerungsbefragung (n=1078) mit partizipativen Co-Creation-Sessions, um Gesundheitskompetenz, Bedarf und Prioritäten für integrierte Primärversorgung und Prävention vor Ort zu erfassen.</w:t>
      </w:r>
    </w:p>
    <w:p>
      <w:r>
        <w:rPr>
          <w:b/>
        </w:rPr>
        <w:t xml:space="preserve">Ergebnis: </w:t>
      </w:r>
      <w:r>
        <w:t>Wahrgenommene Gesundheit, Einsamkeit und demografische Faktoren korreliert signifikant. Health Literacy war assoziiert mit Alter, Bildung, wahrgenommener Gesundheit und Einsamkeit. Teilnehmer forderten multidisziplinäre Dienste und wünschten sich Beteiligung von Kommunalpolitikern. Der mehrstufige Prozess mit Bewohnern, vulnerable Gruppen und Gesundheitsfachpersonen führte zu maßgeschneiderten Erkenntnissen für lokal verankerte, zukunftsfähige Versorgungsinitiativen.</w:t>
      </w:r>
    </w:p>
    <w:p>
      <w:r>
        <w:rPr>
          <w:b/>
          <w:sz w:val="19"/>
        </w:rPr>
        <w:t xml:space="preserve">Übertragbarkeit: </w:t>
      </w:r>
      <w:r>
        <w:rPr>
          <w:sz w:val="19"/>
        </w:rPr>
        <w:t>Belgien, vergleichbares europäisches Versicherungssystem, ähnliche Governance-Strukturen</w:t>
      </w:r>
    </w:p>
    <w:p>
      <w:r>
        <w:rPr>
          <w:color w:val="5A7D3A"/>
          <w:sz w:val="18"/>
        </w:rPr>
        <w:t>https://pubmed.ncbi.nlm.nih.gov/42420849/</w:t>
      </w:r>
    </w:p>
    <w:p>
      <w:pPr>
        <w:pStyle w:val="Heading1"/>
      </w:pPr>
      <w:r>
        <w:t>Aufgenommen am 06.10.2026</w:t>
      </w:r>
    </w:p>
    <w:p>
      <w:pPr>
        <w:pStyle w:val="Heading2"/>
      </w:pPr>
      <w:r>
        <w:t>Angst vor Unterzuckerung bei Typ-2-Diabetes: Wirkung von Schulung und Verhaltensmaßnahmen</w:t>
      </w:r>
    </w:p>
    <w:p>
      <w:r>
        <w:rPr>
          <w:i/>
          <w:color w:val="666666"/>
          <w:sz w:val="18"/>
        </w:rPr>
        <w:t>Tang Y et al.  ·  PLoS One  ·  05.10.2026  ·  PMID 42832512</w:t>
      </w:r>
    </w:p>
    <w:p>
      <w:r>
        <w:t>Systematisches Review und Metaanalyse von 11 randomisierten kontrollierten Studien (1.096 Teilnehmer) zu strukturierten Schulungs- und Verhaltensmaßnahmen gegen Hypoglykämiefurcht bei Erwachsenen mit Typ-2-Diabetes.</w:t>
      </w:r>
    </w:p>
    <w:p>
      <w:r>
        <w:rPr>
          <w:b/>
        </w:rPr>
        <w:t xml:space="preserve">Ergebnis: </w:t>
      </w:r>
      <w:r>
        <w:t>Gepoolte explorative Effektgröße für Reduktion von Hypoglykämiefurcht: SMD = −1,89 (95%-KI −2,54 bis −1,25; p &lt; 0,00001). Heterogenität substanziell (Tau² = 1,10; I² = 95 %); 95%-Vorhersageintervall kreuzte Nulllinie (−4,34 bis 0,56), deutet auf unterschiedliche Effekte in künftigen Studien. Kleiner-Studie-Effekte möglich. Evidenzsicherheit sehr niedrig wegen Bias, Heterogenität, Indirektheit. Strukturierte Maßnahmen können Hypoglykämiefurcht senken, Ausmaß und Generalisierbarkeit bleiben unsicher.</w:t>
      </w:r>
    </w:p>
    <w:p>
      <w:r>
        <w:rPr>
          <w:b/>
          <w:sz w:val="19"/>
        </w:rPr>
        <w:t xml:space="preserve">Übertragbarkeit: </w:t>
      </w:r>
      <w:r>
        <w:rPr>
          <w:sz w:val="19"/>
        </w:rPr>
        <w:t>Internationale Evidenz, klinisch relevant; sehr niedrige Evidenzsicherheit begrenzt Handlungsanleitung</w:t>
      </w:r>
    </w:p>
    <w:p>
      <w:r>
        <w:rPr>
          <w:color w:val="5A7D3A"/>
          <w:sz w:val="18"/>
        </w:rPr>
        <w:t>https://pubmed.ncbi.nlm.nih.gov/42832512/</w:t>
      </w:r>
    </w:p>
    <w:p>
      <w:pPr>
        <w:pStyle w:val="Heading2"/>
      </w:pPr>
      <w:r>
        <w:t>Patientengerechte Entscheidungshilfen für Brustkrebs: Was Patienten und Ärzte wirklich brauchen</w:t>
      </w:r>
    </w:p>
    <w:p>
      <w:r>
        <w:rPr>
          <w:i/>
          <w:color w:val="666666"/>
          <w:sz w:val="18"/>
        </w:rPr>
        <w:t>Sdinami S et al.  ·  Psychooncology  ·  Okt. 2026  ·  PMID 42831611</w:t>
      </w:r>
    </w:p>
    <w:p>
      <w:r>
        <w:t>Qualitative Studie mit 52 halbstrukturierten Interviews (20 Patienten, 32 Gesundheitsfachkräfte) zur Identifikation von Anforderungen für eine Entscheidungshilfe (Patient Decision Aid) bei frühem Brustkrebs, geleitet vom Patientenerleben und der klinischen Realität.</w:t>
      </w:r>
    </w:p>
    <w:p>
      <w:r>
        <w:rPr>
          <w:b/>
        </w:rPr>
        <w:t xml:space="preserve">Ergebnis: </w:t>
      </w:r>
      <w:r>
        <w:t>Ärzte berichteten: Heterogene Informationsbedürfnisse, Fehlvorstellungen zu Chemotherapie und Radiotherapie, multifaktorische Entscheidungen. Patienten betonten: Vertrauen zu Ärzten, praktische Infos zu Nebenwirkungen und Bewältigung, Peer-Support (oft über soziale Medien). Kernforderungen für eine PDA: Adaptive Informationstife und -timing, verständliche Antworten zu häufigen Fehlvorstellungen, strukturierte Werteklärung, praktische Vorbereitung auf Nebenwirkungen, Signposting zu geprüften psychosozialen Ressourcen. Kommunikationslücken und ungedeckte psychosoziale Bedarfe in Standardkonsultationen dokumentiert.</w:t>
      </w:r>
    </w:p>
    <w:p>
      <w:r>
        <w:rPr>
          <w:b/>
          <w:sz w:val="19"/>
        </w:rPr>
        <w:t xml:space="preserve">Übertragbarkeit: </w:t>
      </w:r>
      <w:r>
        <w:rPr>
          <w:sz w:val="19"/>
        </w:rPr>
        <w:t>Italien (Mailand), europäisches Gesundheitssystem, klinisch sehr relevant für Design von Entscheidungshilfen</w:t>
      </w:r>
    </w:p>
    <w:p>
      <w:r>
        <w:rPr>
          <w:color w:val="5A7D3A"/>
          <w:sz w:val="18"/>
        </w:rPr>
        <w:t>https://pubmed.ncbi.nlm.nih.gov/42831611/</w:t>
      </w:r>
    </w:p>
    <w:p>
      <w:pPr>
        <w:pStyle w:val="Heading2"/>
      </w:pPr>
      <w:r>
        <w:t>Verständlichkeit und Sicherheit von Leitlinien-basierten LLM-Chatbots zur Patientenbildung in der Rheumatologie</w:t>
      </w:r>
    </w:p>
    <w:p>
      <w:r>
        <w:rPr>
          <w:i/>
          <w:color w:val="666666"/>
          <w:sz w:val="18"/>
        </w:rPr>
        <w:t>Wilhelmi T et al.  ·  J Med Syst  ·  05.10.2026  ·  PMID 42830368</w:t>
      </w:r>
    </w:p>
    <w:p>
      <w:r>
        <w:t>Deutschlandweite multizentrische Evaluation von zehn krankheitsspezifischen Chatbots basierend auf deutschen Rheuma-Leitlinien; 6.291 Patientenfragen wurden erfasst und bewertet, 2.671 Antworten von Nutzern beurteilt, 602 Fragebogen erhoben.</w:t>
      </w:r>
    </w:p>
    <w:p>
      <w:r>
        <w:rPr>
          <w:b/>
        </w:rPr>
        <w:t xml:space="preserve">Ergebnis: </w:t>
      </w:r>
      <w:r>
        <w:t>92,9 % der von Nutzern bewerteten Antworten (2.481 von 2.671) erhielten positive Bewertung. 84,6 % berichteten, der Chatbot sei leicht zu bedienen, 84,1 % fanden Antworten verständlich, 80,2 % hielten ihn nützlich für Patientenbildung. 4,2 % der Interaktionen (263) konnten nicht beantwortet werden. LLM-Bewertung: 95,3 % der Antworten vollständig sicher, 79,1 % vollständig korrekt, aber nur 45,0 % vollständig leitlinienkonform. Schwache Übereinstimmung mit Arztbeurteilung. Anwender bewerteten Chatbots überwiegend positiv; unabhängige Validierung der Qualität bleibt notwendig.</w:t>
      </w:r>
    </w:p>
    <w:p>
      <w:r>
        <w:rPr>
          <w:b/>
          <w:sz w:val="19"/>
        </w:rPr>
        <w:t xml:space="preserve">Übertragbarkeit: </w:t>
      </w:r>
      <w:r>
        <w:rPr>
          <w:sz w:val="19"/>
        </w:rPr>
        <w:t>Deutschland, deutsche Leitlinien und Kliniken, direkt anwendbar</w:t>
      </w:r>
    </w:p>
    <w:p>
      <w:r>
        <w:rPr>
          <w:color w:val="5A7D3A"/>
          <w:sz w:val="18"/>
        </w:rPr>
        <w:t>https://pubmed.ncbi.nlm.nih.gov/42830368/</w:t>
      </w:r>
    </w:p>
    <w:p>
      <w:pPr>
        <w:pStyle w:val="Heading2"/>
      </w:pPr>
      <w:r>
        <w:t>Patientenbeteiligung für Spanischsprachige messbar machen: Validierung eines Instruments</w:t>
      </w:r>
    </w:p>
    <w:p>
      <w:r>
        <w:rPr>
          <w:i/>
          <w:color w:val="666666"/>
          <w:sz w:val="18"/>
        </w:rPr>
        <w:t>Romero CL et al.  ·  Patient Educ Couns  ·  19.09.2026  ·  PMID 42785114</w:t>
      </w:r>
    </w:p>
    <w:p>
      <w:r>
        <w:t>Sprachvalidierungsstudie: Spanische Übersetzung des Patient Engagement Capacity Survey (PECS) mit 18 Items (Subskalen Engagement-Verhalten und Engagement-Kapazität); 253 spanischsprachige und 1.172 englischsprachige Respondenten; Überprüfung metrischer und skalarer Invarianz über Sprachen.</w:t>
      </w:r>
    </w:p>
    <w:p>
      <w:r>
        <w:rPr>
          <w:b/>
        </w:rPr>
        <w:t xml:space="preserve">Ergebnis: </w:t>
      </w:r>
      <w:r>
        <w:t>Konfirmatorische Faktorenanalyse stützte hypothetisierte Struktur in beiden Sprachen. Engagement-Kapazität in Spanisch: RMSEA = 0,103 (überschreitet Benchmark), CFI = 0,989, TLI = 0,984; Engagement-Verhalten in Spanisch: CFI = 0,992, TLI = 0,987, RMSEA = 0,055, SRMR = 0,062. Konfigurale, metrische und skalare Invarianz für beide Subskalen gestützt (90%-RMSEA-KI überlappend, CFI-Abnahmen ≤ 0,01). Spanische Version zeigt Messequivalenz zur englischen Fassung, erleichtert Erfassung von Beteiligungsbarrieredbedarfen bei spanischsprachigen Patienten.</w:t>
      </w:r>
    </w:p>
    <w:p>
      <w:r>
        <w:rPr>
          <w:b/>
          <w:sz w:val="19"/>
        </w:rPr>
        <w:t xml:space="preserve">Übertragbarkeit: </w:t>
      </w:r>
      <w:r>
        <w:rPr>
          <w:sz w:val="19"/>
        </w:rPr>
        <w:t>USA-basiert, aber Sprachvalidierung direkt auf deutschsprachige Kontexte übertragbar für ähnliche Migranten-Instrumente</w:t>
      </w:r>
    </w:p>
    <w:p>
      <w:r>
        <w:rPr>
          <w:color w:val="5A7D3A"/>
          <w:sz w:val="18"/>
        </w:rPr>
        <w:t>https://pubmed.ncbi.nlm.nih.gov/42785114/</w:t>
      </w:r>
    </w:p>
    <w:p>
      <w:pPr>
        <w:pStyle w:val="Heading2"/>
      </w:pPr>
      <w:r>
        <w:t>Unterschiedliche Verständigungen von Patientenbeteiligung in der Krebsversorgung</w:t>
      </w:r>
    </w:p>
    <w:p>
      <w:r>
        <w:rPr>
          <w:i/>
          <w:color w:val="666666"/>
          <w:sz w:val="18"/>
        </w:rPr>
        <w:t>Hult A et al.  ·  Patient Educ Couns  ·  09.09.2026  ·  PMID 42731199</w:t>
      </w:r>
    </w:p>
    <w:p>
      <w:r>
        <w:t>Qualitative Phänomenografiestudie mit 16 Ärzten und Pflegekräften aus schwedischen Kliniken, die deren Verständnis von Patientenbeteiligung bei Krebsbehandlung untersucht.</w:t>
      </w:r>
    </w:p>
    <w:p>
      <w:r>
        <w:rPr>
          <w:b/>
        </w:rPr>
        <w:t xml:space="preserve">Ergebnis: </w:t>
      </w:r>
      <w:r>
        <w:t>Fünf kategorial unterschiedliche Verständigungen identifiziert: von bedingter Beteiligung (unter Vorbehalt ärztlicher Genehmigung) bis zu ganzheitlicher Sicht des Patienten mit Selbstverantwortung. Die Spanne zeigt, dass Patientenbeteiligung in der Praxis stark vom Verständnis der Fachpersonen abhängt und Organisationen gezielt arbeiten müssen, um eine Kultur der echten Beteiligung zu etablieren.</w:t>
      </w:r>
    </w:p>
    <w:p>
      <w:r>
        <w:rPr>
          <w:b/>
          <w:sz w:val="19"/>
        </w:rPr>
        <w:t xml:space="preserve">Übertragbarkeit: </w:t>
      </w:r>
      <w:r>
        <w:rPr>
          <w:sz w:val="19"/>
        </w:rPr>
        <w:t>Schweden, vergleichbares Universitätsklinikumsystem wie DACH</w:t>
      </w:r>
    </w:p>
    <w:p>
      <w:r>
        <w:rPr>
          <w:color w:val="5A7D3A"/>
          <w:sz w:val="18"/>
        </w:rPr>
        <w:t>https://pubmed.ncbi.nlm.nih.gov/42731199/</w:t>
      </w:r>
    </w:p>
    <w:p>
      <w:pPr>
        <w:pStyle w:val="Heading2"/>
      </w:pPr>
      <w:r>
        <w:t>Qualität französischsprachiger Internetinformationen zu Rückenschmerz und Lumbalgie</w:t>
      </w:r>
    </w:p>
    <w:p>
      <w:r>
        <w:rPr>
          <w:i/>
          <w:color w:val="666666"/>
          <w:sz w:val="18"/>
        </w:rPr>
        <w:t>Homs AF et al.  ·  Patient Educ Couns  ·  04.09.2026  ·  PMID 42710331</w:t>
      </w:r>
    </w:p>
    <w:p>
      <w:r>
        <w:t>Systematische Bewertung von 88 französischsprachigen nichtkommerziellen Webseiten zu Diagnose und Behandlung von Rückenschmerz und radikulären Schmerzen nach Glaubwürdigkeit, Lesbarkeit und Genauigkeit gegen klinische Leitlinien.</w:t>
      </w:r>
    </w:p>
    <w:p>
      <w:r>
        <w:rPr>
          <w:b/>
        </w:rPr>
        <w:t xml:space="preserve">Ergebnis: </w:t>
      </w:r>
      <w:r>
        <w:t>Nur 22 % der Webseitenempfehlungen waren vollständig genau (institutionelle Seiten 28 %, andere 15 %, p &lt; 0,001). Lediglich 41 % der Lumbalgieempfehlungen und 26 % der radikulären Schmerzempfehlungen waren umfassend. Nur 19 % offenbarten Interessenskonflikte, 60 % zitierten Quellen. Pharmacologische Therapien wurden oft unangemessen beworben. Patienten finden überwiegend unvollständige und häufig fehlerhafte Online-Information.</w:t>
      </w:r>
    </w:p>
    <w:p>
      <w:r>
        <w:rPr>
          <w:b/>
          <w:sz w:val="19"/>
        </w:rPr>
        <w:t xml:space="preserve">Übertragbarkeit: </w:t>
      </w:r>
      <w:r>
        <w:rPr>
          <w:sz w:val="19"/>
        </w:rPr>
        <w:t>Frankreich/Belgien/Schweiz, französischsprachig; Qualitätsprobleme dürften deutschsprachigen Raum ähneln</w:t>
      </w:r>
    </w:p>
    <w:p>
      <w:r>
        <w:rPr>
          <w:color w:val="5A7D3A"/>
          <w:sz w:val="18"/>
        </w:rPr>
        <w:t>https://pubmed.ncbi.nlm.nih.gov/42710331/</w:t>
      </w:r>
    </w:p>
    <w:p>
      <w:pPr>
        <w:pStyle w:val="Heading1"/>
      </w:pPr>
      <w:r>
        <w:t>Aufgenommen am 05.10.2026</w:t>
      </w:r>
    </w:p>
    <w:p>
      <w:pPr>
        <w:pStyle w:val="Heading2"/>
      </w:pPr>
      <w:r>
        <w:t>GPT-4 liefert bessere Krebsinformationen als Google</w:t>
      </w:r>
    </w:p>
    <w:p>
      <w:r>
        <w:rPr>
          <w:i/>
          <w:color w:val="666666"/>
          <w:sz w:val="18"/>
        </w:rPr>
        <w:t>Smick AH et al.  ·  JMIR Cancer  ·  29.09.2026  ·  PMID 42809848</w:t>
      </w:r>
    </w:p>
    <w:p>
      <w:r>
        <w:t>Vergleichende Studie, die GPT-4 und Google bei der Beantwortung von 21 standardisierten Patientenfragen zu Endometrial-, Ovarial- und Zervixkarzinom evaluierte, bewertet von 4 blinden Gynäkologen.</w:t>
      </w:r>
    </w:p>
    <w:p>
      <w:r>
        <w:rPr>
          <w:b/>
        </w:rPr>
        <w:t xml:space="preserve">Ergebnis: </w:t>
      </w:r>
      <w:r>
        <w:t>GPT-4 erreichte Median-Genauigkeit 6,0/6 vs. Google 5,0/6 (p=0,04), Vollständigkeit 3,0/3 vs. 2,0/3 (p=0,009) und Referenzqualität 3,0/3 vs. 2,0/3 (p=0,009). GPT-4 überbot alle menschlichen Vergleichsgruppen in Genauigkeit und Vollständigkeit deutlich.</w:t>
      </w:r>
    </w:p>
    <w:p>
      <w:r>
        <w:rPr>
          <w:b/>
          <w:sz w:val="19"/>
        </w:rPr>
        <w:t xml:space="preserve">Übertragbarkeit: </w:t>
      </w:r>
      <w:r>
        <w:rPr>
          <w:sz w:val="19"/>
        </w:rPr>
        <w:t>USA, aber Fragestellung zu Informationsqualität sprach- und systemunabhängig</w:t>
      </w:r>
    </w:p>
    <w:p>
      <w:r>
        <w:rPr>
          <w:color w:val="5A7D3A"/>
          <w:sz w:val="18"/>
        </w:rPr>
        <w:t>https://pubmed.ncbi.nlm.nih.gov/42809848/</w:t>
      </w:r>
    </w:p>
    <w:p>
      <w:pPr>
        <w:pStyle w:val="Heading2"/>
      </w:pPr>
      <w:r>
        <w:t>Große Sprachmodelle antworten in Englisch und Chinesisch gleich genau</w:t>
      </w:r>
    </w:p>
    <w:p>
      <w:r>
        <w:rPr>
          <w:i/>
          <w:color w:val="666666"/>
          <w:sz w:val="18"/>
        </w:rPr>
        <w:t>Wu Z et al.  ·  J Med Internet Res  ·  29.09.2026  ·  PMID 42809827</w:t>
      </w:r>
    </w:p>
    <w:p>
      <w:r>
        <w:t>Kontrollierte Evaluation von 11 Large Language Models bei 150 binären Verbraucherfragen zu Gesundheit in Englisch und Chinesisch, unter verschiedenen Prompt-Bedingungen und Fehlerkorrekturstrategien.</w:t>
      </w:r>
    </w:p>
    <w:p>
      <w:r>
        <w:rPr>
          <w:b/>
        </w:rPr>
        <w:t xml:space="preserve">Ergebnis: </w:t>
      </w:r>
      <w:r>
        <w:t>Englisch und Chinesisch zeigten vergleichbare Gesamtgenauigkeit (95,27% vs. 93,82%, p=0,99), kein signifikanter Sprachhaupt-Effekt. DeepSeek zeigte signifikantes Englisch-Verständlichkeitsdefizit (β=-0,73, p=0,016); Fehlerattribution erreichte höchste Korrekturrate (55,56%). Keine universellen sprachgebundenen Qualitätsprobleme, aber modellspezifische Interaktionen.</w:t>
      </w:r>
    </w:p>
    <w:p>
      <w:r>
        <w:rPr>
          <w:b/>
          <w:sz w:val="19"/>
        </w:rPr>
        <w:t xml:space="preserve">Übertragbarkeit: </w:t>
      </w:r>
      <w:r>
        <w:rPr>
          <w:sz w:val="19"/>
        </w:rPr>
        <w:t>China/Mehrsprachigkeit, aber Befund zur sprachlichen Gleichheit modellübergreifend relevant</w:t>
      </w:r>
    </w:p>
    <w:p>
      <w:r>
        <w:rPr>
          <w:color w:val="5A7D3A"/>
          <w:sz w:val="18"/>
        </w:rPr>
        <w:t>https://pubmed.ncbi.nlm.nih.gov/42809827/</w:t>
      </w:r>
    </w:p>
    <w:p>
      <w:pPr>
        <w:pStyle w:val="Heading2"/>
      </w:pPr>
      <w:r>
        <w:t>Digitale Gesundheitskompetenz-Schulung für ältere Erwachsene verbessert Informationsverhalten</w:t>
      </w:r>
    </w:p>
    <w:p>
      <w:r>
        <w:rPr>
          <w:i/>
          <w:color w:val="666666"/>
          <w:sz w:val="18"/>
        </w:rPr>
        <w:t>Rosle NH et al.  ·  PLoS One  ·  28.09.2026  ·  PMID 42804489</w:t>
      </w:r>
    </w:p>
    <w:p>
      <w:r>
        <w:t>Studienprotokoll einer randomisierten Cluster-kontrollierten Studie zur Evaluierung des ODDHeaL-Moduls für digitale Gesundheitskompetenz bei über 55-Jährigen in Malaysia mit Messungen zu Selbstwirksamkeit und Informationssuche.</w:t>
      </w:r>
    </w:p>
    <w:p>
      <w:r>
        <w:rPr>
          <w:b/>
        </w:rPr>
        <w:t xml:space="preserve">Ergebnis: </w:t>
      </w:r>
      <w:r>
        <w:t>Studienprotokoll beschreibt geplante Messungen an Baseline und nach 2 Monaten. Erwartet werden Verbesserungen in digitaler Gesundheitskompetenz, Wahrnehmung von Online-Gesundheitsinformationen, Selbstwirksamkeit und Informationssuchverhalten durch das systematisch entwickelte Modul basierend auf ADDIE-Modell.</w:t>
      </w:r>
    </w:p>
    <w:p>
      <w:r>
        <w:rPr>
          <w:b/>
          <w:sz w:val="19"/>
        </w:rPr>
        <w:t xml:space="preserve">Übertragbarkeit: </w:t>
      </w:r>
      <w:r>
        <w:rPr>
          <w:sz w:val="19"/>
        </w:rPr>
        <w:t>Malaysia, aber Designprinzipien für ältere Zielgruppen länderübergreifend adaptierbar</w:t>
      </w:r>
    </w:p>
    <w:p>
      <w:r>
        <w:rPr>
          <w:color w:val="5A7D3A"/>
          <w:sz w:val="18"/>
        </w:rPr>
        <w:t>https://pubmed.ncbi.nlm.nih.gov/42804489/</w:t>
      </w:r>
    </w:p>
    <w:p>
      <w:pPr>
        <w:pStyle w:val="Heading2"/>
      </w:pPr>
      <w:r>
        <w:t>Vertrauensvolle Arzt-Patient-Beziehung fördert Beteiligung an Entscheidungen</w:t>
      </w:r>
    </w:p>
    <w:p>
      <w:r>
        <w:rPr>
          <w:i/>
          <w:color w:val="666666"/>
          <w:sz w:val="18"/>
        </w:rPr>
        <w:t>Toyoshima H et al.  ·  BMC Res Notes  ·  21.09.2026  ·  PMID 42768368</w:t>
      </w:r>
    </w:p>
    <w:p>
      <w:r>
        <w:t>Querschnittsstudie mit Patienten mit chronisch-entzündlichen Darmerkrankungen, die Faktoren der Patientenbeteiligung an Behandlungsentscheidungen mittels vereinfachter PTES-Skala untersucht.</w:t>
      </w:r>
    </w:p>
    <w:p>
      <w:r>
        <w:rPr>
          <w:b/>
        </w:rPr>
        <w:t xml:space="preserve">Ergebnis: </w:t>
      </w:r>
      <w:r>
        <w:t>Behandlungsoptionen (β = 0,191), Vertrauen zum behandelnden Arzt (β = 0,119), Komplikationen (β = 0,128) und Anzahl vertrauter Fachpersonen (β = 0,099) waren die stärksten Einflussfaktoren. Multiple Optionen und Vertrauensaufbau erklärten die höchste Varianz in der Patientenbeteiligung.</w:t>
      </w:r>
    </w:p>
    <w:p>
      <w:r>
        <w:rPr>
          <w:b/>
          <w:sz w:val="19"/>
        </w:rPr>
        <w:t xml:space="preserve">Übertragbarkeit: </w:t>
      </w:r>
      <w:r>
        <w:rPr>
          <w:sz w:val="19"/>
        </w:rPr>
        <w:t>Japan, aber Mechanismus der Vertrauenswirkung kulturübergreifend relevant</w:t>
      </w:r>
    </w:p>
    <w:p>
      <w:r>
        <w:rPr>
          <w:color w:val="5A7D3A"/>
          <w:sz w:val="18"/>
        </w:rPr>
        <w:t>https://pubmed.ncbi.nlm.nih.gov/42768368/</w:t>
      </w:r>
    </w:p>
    <w:p>
      <w:pPr>
        <w:pStyle w:val="Heading2"/>
      </w:pPr>
      <w:r>
        <w:t>Digitale Schulung und Bewegungstherapie verbessern Lebensqualität bei Knie- und Hüftarthrose</w:t>
      </w:r>
    </w:p>
    <w:p>
      <w:r>
        <w:rPr>
          <w:i/>
          <w:color w:val="666666"/>
          <w:sz w:val="18"/>
        </w:rPr>
        <w:t>Kiadaliri A et al.  ·  Health Qual Life Outcomes  ·  19.09.2026  ·  PMID 42764365</w:t>
      </w:r>
    </w:p>
    <w:p>
      <w:r>
        <w:t>Longitudinale Registerstudie mit über 15.000 Teilnehmern eines digitalen Bildungs- und Bewegungsprogramms für Knie- und Hüftarthrose, gemessen mit EQ-5D-5L nach 3 und 12 Monaten.</w:t>
      </w:r>
    </w:p>
    <w:p>
      <w:r>
        <w:rPr>
          <w:b/>
        </w:rPr>
        <w:t xml:space="preserve">Ergebnis: </w:t>
      </w:r>
      <w:r>
        <w:t>46,9% der Teilnehmer zeigten nach 3 Monaten, 50,4% nach 12 Monaten verbesserte Lebensqualitätsprofile; 19,5% bzw. 20,1% verschlechterten sich; 19,7% bzw. 18,7% zeigten gemischte Veränderungen. Das Programm zeigte heterogene Verläufe mit erheblicher Wirkung bei etwa der Hälfte der Teilnehmer.</w:t>
      </w:r>
    </w:p>
    <w:p>
      <w:r>
        <w:rPr>
          <w:b/>
          <w:sz w:val="19"/>
        </w:rPr>
        <w:t xml:space="preserve">Übertragbarkeit: </w:t>
      </w:r>
      <w:r>
        <w:rPr>
          <w:sz w:val="19"/>
        </w:rPr>
        <w:t>Schweden, vergleichbares Versicherungssystem und Digitalisierungsgrad</w:t>
      </w:r>
    </w:p>
    <w:p>
      <w:r>
        <w:rPr>
          <w:color w:val="5A7D3A"/>
          <w:sz w:val="18"/>
        </w:rPr>
        <w:t>https://pubmed.ncbi.nlm.nih.gov/42764365/</w:t>
      </w:r>
    </w:p>
    <w:p>
      <w:pPr>
        <w:pStyle w:val="Heading1"/>
      </w:pPr>
      <w:r>
        <w:t>Aufgenommen am 04.10.2026</w:t>
      </w:r>
    </w:p>
    <w:p>
      <w:pPr>
        <w:pStyle w:val="Heading2"/>
      </w:pPr>
      <w:r>
        <w:t>Psychoedukation für Jugendliche mit Psychose-Risiko: Verbesserung von Symptomen und Adhärenz</w:t>
      </w:r>
    </w:p>
    <w:p>
      <w:r>
        <w:rPr>
          <w:i/>
          <w:color w:val="666666"/>
          <w:sz w:val="18"/>
        </w:rPr>
        <w:t>Addington J et al.  ·  Early Interv Psychiatry  ·  Okt. 2026  ·  PMID 42827309</w:t>
      </w:r>
    </w:p>
    <w:p>
      <w:r>
        <w:t>Studie untersuchte, ob acht Sitzungen Psychoedukation für 54 Jugendliche mit erhöhtem klinischen Psychoserisiko zu klinischen Verbesserungen und zur Einhaltung der Behandlung führen.</w:t>
      </w:r>
    </w:p>
    <w:p>
      <w:r>
        <w:rPr>
          <w:b/>
        </w:rPr>
        <w:t xml:space="preserve">Ergebnis: </w:t>
      </w:r>
      <w:r>
        <w:t>Nach 2–6 Monaten zeigten sich signifikante Verbesserungen: abgeschwächte psychotische Symptome (p &lt; 0,0001, Effektgröße 0,36), Depression und Angst (p &lt; 0,001, ES 0,51), Distress (p &lt; 0,01, ES 0,36) und defaitistische Überzeugungen (p &lt; 0,01, ES 0,34). 59 % absolvierten alle Sitzungen, nur 7,4 % brachen ab. Klinisch wertvolle und leicht umsetzbare Intervention mit limitierter Dropout-Rate.</w:t>
      </w:r>
    </w:p>
    <w:p>
      <w:r>
        <w:rPr>
          <w:b/>
          <w:sz w:val="19"/>
        </w:rPr>
        <w:t xml:space="preserve">Übertragbarkeit: </w:t>
      </w:r>
      <w:r>
        <w:rPr>
          <w:sz w:val="19"/>
        </w:rPr>
        <w:t>Kanada, Psychiatrieeinrichtungen in westlichen Systemen vergleichbar</w:t>
      </w:r>
    </w:p>
    <w:p>
      <w:r>
        <w:rPr>
          <w:color w:val="5A7D3A"/>
          <w:sz w:val="18"/>
        </w:rPr>
        <w:t>https://pubmed.ncbi.nlm.nih.gov/42827309/</w:t>
      </w:r>
    </w:p>
    <w:p>
      <w:pPr>
        <w:pStyle w:val="Heading2"/>
      </w:pPr>
      <w:r>
        <w:t>Barrieren für Herzrehabilitation: Strukturelle, individuelle und Systemfaktoren</w:t>
      </w:r>
    </w:p>
    <w:p>
      <w:r>
        <w:rPr>
          <w:i/>
          <w:color w:val="666666"/>
          <w:sz w:val="18"/>
        </w:rPr>
        <w:t>Chin DC et al.  ·  Med J Malaysia  ·  Sept. 2026  ·  PMID 42813492</w:t>
      </w:r>
    </w:p>
    <w:p>
      <w:r>
        <w:t>Scoping Review identifizierte Determinanten der Teilnahme an Phase-II-Herzrehabilitationsprogrammen durch systematische Analyse von zehn Studien aus diversen Ländern.</w:t>
      </w:r>
    </w:p>
    <w:p>
      <w:r>
        <w:rPr>
          <w:b/>
        </w:rPr>
        <w:t xml:space="preserve">Ergebnis: </w:t>
      </w:r>
      <w:r>
        <w:t>Strukturelle und logistische Barrieren waren dominant: Transport, Entfernung, Zeit, Kosten. Soziodemografische Faktoren (höheres Alter, niedrigere Bildung, niedrigeres Einkommen, Migrationshintergrund) waren mit niedriger Teilnahme assoziiert. Mangelnde Aufklärung, schwache Ärztliche Empfehlungen und psychosoziale Barrieren (Angst, begrenzte soziale Unterstützung) behinderten Teilnahme. Komplex wechselwirkende Faktoren erfordern Home-Based- und Hybrid-Modelle.</w:t>
      </w:r>
    </w:p>
    <w:p>
      <w:r>
        <w:rPr>
          <w:b/>
          <w:sz w:val="19"/>
        </w:rPr>
        <w:t xml:space="preserve">Übertragbarkeit: </w:t>
      </w:r>
      <w:r>
        <w:rPr>
          <w:sz w:val="19"/>
        </w:rPr>
        <w:t>Multinationale Evidenz, vergleichbare Versorgungsstrukturen in Deutschland</w:t>
      </w:r>
    </w:p>
    <w:p>
      <w:r>
        <w:rPr>
          <w:color w:val="5A7D3A"/>
          <w:sz w:val="18"/>
        </w:rPr>
        <w:t>https://pubmed.ncbi.nlm.nih.gov/42813492/</w:t>
      </w:r>
    </w:p>
    <w:p>
      <w:pPr>
        <w:pStyle w:val="Heading2"/>
      </w:pPr>
      <w:r>
        <w:t>Textnachrichten und Ressourcenanbindung verstärken Leseförderung bei Latino-Familien</w:t>
      </w:r>
    </w:p>
    <w:p>
      <w:r>
        <w:rPr>
          <w:i/>
          <w:color w:val="666666"/>
          <w:sz w:val="18"/>
        </w:rPr>
        <w:t>Jimenez ME et al.  ·  Pediatrics  ·  01.10.2026  ·  PMID 42778186</w:t>
      </w:r>
    </w:p>
    <w:p>
      <w:r>
        <w:t>Randomisierte Studie prüfte, ob Text-Erinnerungen und Vermittlung zu Gemeindeangeboten die Effekte von Leseförderung in der Primärversorgung (Reach Out and Read) bei 630 Latino-Familien mit Kleinkindern verstärken.</w:t>
      </w:r>
    </w:p>
    <w:p>
      <w:r>
        <w:rPr>
          <w:b/>
        </w:rPr>
        <w:t xml:space="preserve">Ergebnis: </w:t>
      </w:r>
      <w:r>
        <w:t>Nach 18 Monaten: LP+Text-Gruppe zeigte höhere Sprachentwicklung (Effektgröße 0,391; p = 0,001). LP+Text+Ressourcen-Gruppe erzielte höhere sozial-emotionale Entwicklung (ES 0,300; p = 0,03) und bei 9 Monaten bessere verbale Responsivität (ES 0,400; p &lt; 0,001). Beide Strategien mit hohem Skalierungspotenzial verbesserten Effekte deutlich.</w:t>
      </w:r>
    </w:p>
    <w:p>
      <w:r>
        <w:rPr>
          <w:b/>
          <w:sz w:val="19"/>
        </w:rPr>
        <w:t xml:space="preserve">Übertragbarkeit: </w:t>
      </w:r>
      <w:r>
        <w:rPr>
          <w:sz w:val="19"/>
        </w:rPr>
        <w:t>USA-Studie, Strukturen aber auch in Deutschland umsetzbar, Sprachbarriereabbau ist zentral</w:t>
      </w:r>
    </w:p>
    <w:p>
      <w:r>
        <w:rPr>
          <w:color w:val="5A7D3A"/>
          <w:sz w:val="18"/>
        </w:rPr>
        <w:t>https://pubmed.ncbi.nlm.nih.gov/42778186/</w:t>
      </w:r>
    </w:p>
    <w:p>
      <w:pPr>
        <w:pStyle w:val="Heading2"/>
      </w:pPr>
      <w:r>
        <w:t>Digitale Gesundheitskompetenz fördert Gesundheitsinformationen-Annahme bei Studierenden</w:t>
      </w:r>
    </w:p>
    <w:p>
      <w:r>
        <w:rPr>
          <w:i/>
          <w:color w:val="666666"/>
          <w:sz w:val="18"/>
        </w:rPr>
        <w:t>Sun Y et al.  ·  Front Public Health  ·  08.09.2026  ·  PMID 42774164</w:t>
      </w:r>
    </w:p>
    <w:p>
      <w:r>
        <w:t>Querschnittstudie mit 3148 Studierenden prüfte, wie kritische und interaktive Digital-Health-Literacy mit Annahme von Gesundheitsinformationen assoziiert ist und welche Pfade (Risikoperzepton, Selbstwirksamkeit) vermittelnd wirken.</w:t>
      </w:r>
    </w:p>
    <w:p>
      <w:r>
        <w:rPr>
          <w:b/>
        </w:rPr>
        <w:t xml:space="preserve">Ergebnis: </w:t>
      </w:r>
      <w:r>
        <w:t>Digitale Health Literacy war positiv mit Informationsannahme korreliert (r = 0,416; p &lt; 0,001). Totale Assoziation: B = 0,534. Direkter Effekt 64,3 %, indirekt über Risikoperzepton 16,9 %, über Trainings-Selbstwirksamkeit 14,9 %, über serielle Pfade 3,8 %. Direkte Assoziation dominiert, serielle Route gering. Cross-sektional, daher statistische Dekomposition statt Kausalität.</w:t>
      </w:r>
    </w:p>
    <w:p>
      <w:r>
        <w:rPr>
          <w:b/>
          <w:sz w:val="19"/>
        </w:rPr>
        <w:t xml:space="preserve">Übertragbarkeit: </w:t>
      </w:r>
      <w:r>
        <w:rPr>
          <w:sz w:val="19"/>
        </w:rPr>
        <w:t>China, Hochschul- und Digitalisierungskontext ähnlich international, Befunde zu Mediationspfaden generalisierbar</w:t>
      </w:r>
    </w:p>
    <w:p>
      <w:r>
        <w:rPr>
          <w:color w:val="5A7D3A"/>
          <w:sz w:val="18"/>
        </w:rPr>
        <w:t>https://pubmed.ncbi.nlm.nih.gov/42774164/</w:t>
      </w:r>
    </w:p>
    <w:p>
      <w:pPr>
        <w:pStyle w:val="Heading2"/>
      </w:pPr>
      <w:r>
        <w:t>Lupusnephritis-Videos auf TikTok und Bilibili: Qualität, Zuverlässigkeit und Engagement</w:t>
      </w:r>
    </w:p>
    <w:p>
      <w:r>
        <w:rPr>
          <w:i/>
          <w:color w:val="666666"/>
          <w:sz w:val="18"/>
        </w:rPr>
        <w:t>Chen J et al.  ·  Lupus Sci Med  ·  22.09.2026  ·  PMID 42772804</w:t>
      </w:r>
    </w:p>
    <w:p>
      <w:r>
        <w:t>Querschnittanalyse von 250 Lupusnephritis-Videos (TikTok n=143, Bilibili n=107) beurteilte Inhaltsqualität, Zuverlässigkeit und Zusammenhang zwischen Nutzerengagement und wissenschaftlicher Qualität.</w:t>
      </w:r>
    </w:p>
    <w:p>
      <w:r>
        <w:rPr>
          <w:b/>
        </w:rPr>
        <w:t xml:space="preserve">Ergebnis: </w:t>
      </w:r>
      <w:r>
        <w:t>Nutzerengagement (Likes, Kommentare, Anteile) war auf TikTok signifikant höher (p &lt; 0,05); Anteil professioneller Uploader ebenfalls höher. TikTok hatte leicht höhere DISCERN-Scores (p &lt; 0,05). Professionelle Institutionen übertrafen nicht-professionelle Uploader in allen Qualitätsindikatoren (p &lt; 0,05). Hohe Engagement-Korrelationen untereinander, aber schwache Korrelationen mit Qualitätsscores. Popularität widerspiegelt wissenschaftliche Qualität schlecht.</w:t>
      </w:r>
    </w:p>
    <w:p>
      <w:r>
        <w:rPr>
          <w:b/>
          <w:sz w:val="19"/>
        </w:rPr>
        <w:t xml:space="preserve">Übertragbarkeit: </w:t>
      </w:r>
      <w:r>
        <w:rPr>
          <w:sz w:val="19"/>
        </w:rPr>
        <w:t>China, beide Plattformen international genutzt, Befund zu Qualitäts-Engagement-Lücke übertragbar</w:t>
      </w:r>
    </w:p>
    <w:p>
      <w:r>
        <w:rPr>
          <w:color w:val="5A7D3A"/>
          <w:sz w:val="18"/>
        </w:rPr>
        <w:t>https://pubmed.ncbi.nlm.nih.gov/42772804/</w:t>
      </w:r>
    </w:p>
    <w:p>
      <w:pPr>
        <w:pStyle w:val="Heading2"/>
      </w:pPr>
      <w:r>
        <w:t>Mundgesundheitskompetenz älterer Erwachsener: Pfade zu Wissen und Bewusstsein</w:t>
      </w:r>
    </w:p>
    <w:p>
      <w:r>
        <w:rPr>
          <w:i/>
          <w:color w:val="666666"/>
          <w:sz w:val="18"/>
        </w:rPr>
        <w:t>Jiang L et al.  ·  Clin Interv Aging  ·  31.07.2026  ·  PMID 42553712</w:t>
      </w:r>
    </w:p>
    <w:p>
      <w:r>
        <w:t>Pfadanalyse mit 423 älteren Chinesen (65–74 Jahre) untersuchte, welche Faktoren direkt und indirekt mit Mundgesundheits-Literacy verbunden sind—Bildung, Zahnbehandlung, Zahnstatus.</w:t>
      </w:r>
    </w:p>
    <w:p>
      <w:r>
        <w:rPr>
          <w:b/>
        </w:rPr>
        <w:t xml:space="preserve">Ergebnis: </w:t>
      </w:r>
      <w:r>
        <w:t>Geschlecht und Bildung beeinflussten Mundgesundheits-Literacy indirekt über Mediatorvariablen. Zahnbehandlung war direkt mit höherem Krankheitsbewusstsein assoziiert; Zahnersatznutzung mit besseren Gesundheitsüberzeugungen. Pfadanalyse identifizierte drei signifikante indirekte Effekte. Zahnkontakte bieten Chancen für Gesundheitsaufklärung.</w:t>
      </w:r>
    </w:p>
    <w:p>
      <w:r>
        <w:rPr>
          <w:b/>
          <w:sz w:val="19"/>
        </w:rPr>
        <w:t xml:space="preserve">Übertragbarkeit: </w:t>
      </w:r>
      <w:r>
        <w:rPr>
          <w:sz w:val="19"/>
        </w:rPr>
        <w:t>China, Ähnlichkeiten in Altersdemografie und Prävention, Befunde zu Behandlungskontakten übertragbar</w:t>
      </w:r>
    </w:p>
    <w:p>
      <w:r>
        <w:rPr>
          <w:color w:val="5A7D3A"/>
          <w:sz w:val="18"/>
        </w:rPr>
        <w:t>https://pubmed.ncbi.nlm.nih.gov/42553712/</w:t>
      </w:r>
    </w:p>
    <w:p>
      <w:pPr>
        <w:pStyle w:val="Heading1"/>
      </w:pPr>
      <w:r>
        <w:t>Aufgenommen am 03.10.2026</w:t>
      </w:r>
    </w:p>
    <w:p>
      <w:pPr>
        <w:pStyle w:val="Heading2"/>
      </w:pPr>
      <w:r>
        <w:t>Patienteninformation zu Hochtechtechnologien in der Krebsbehandlung: Herausforderungen und Lösungen</w:t>
      </w:r>
    </w:p>
    <w:p>
      <w:r>
        <w:rPr>
          <w:i/>
          <w:color w:val="666666"/>
          <w:sz w:val="18"/>
        </w:rPr>
        <w:t>Gehl J et al.  ·  Acta Oncol  ·  02.10.2026  ·  PMID 42825514</w:t>
      </w:r>
    </w:p>
    <w:p>
      <w:r>
        <w:t>Europäisches Expertenpanel mit Patientenbeteiligung identifizierte Barrieren bei der Vermittlung komplexer Krebstechnologien (Nuklearmedizin, Radiotherapie, Zelltherapien) und entwickelte Informationsmaterialien für Patienten.</w:t>
      </w:r>
    </w:p>
    <w:p>
      <w:r>
        <w:rPr>
          <w:b/>
        </w:rPr>
        <w:t xml:space="preserve">Ergebnis: </w:t>
      </w:r>
      <w:r>
        <w:t>Sieben Technologiedomänen wurden analysiert; Hauptproblem war Mangel an klaren Informationspfaden und zuverlässigen Informationsquellen. Daraus resultierten konkrete Patienteninformationswerkzeuge als Supplementmaterial. Komplexität und fehlende Standardisierung erschweren Zugang zu verlässlicher Information erheblich.</w:t>
      </w:r>
    </w:p>
    <w:p>
      <w:r>
        <w:rPr>
          <w:b/>
          <w:sz w:val="19"/>
        </w:rPr>
        <w:t xml:space="preserve">Übertragbarkeit: </w:t>
      </w:r>
      <w:r>
        <w:rPr>
          <w:sz w:val="19"/>
        </w:rPr>
        <w:t>Europa, multizentrisch, Beteiligung von Patientenvertretern; Materialien müssen auf nationale Systeme adaptiert werden.</w:t>
      </w:r>
    </w:p>
    <w:p>
      <w:r>
        <w:rPr>
          <w:color w:val="5A7D3A"/>
          <w:sz w:val="18"/>
        </w:rPr>
        <w:t>https://pubmed.ncbi.nlm.nih.gov/42825514/</w:t>
      </w:r>
    </w:p>
    <w:p>
      <w:pPr>
        <w:pStyle w:val="Heading2"/>
      </w:pPr>
      <w:r>
        <w:t>Nachbarschaftsbasierte Gehirngesundheitskompetenz: Mehrsprachiges Outreach-Modell für unterversorgte Gemeinden</w:t>
      </w:r>
    </w:p>
    <w:p>
      <w:r>
        <w:rPr>
          <w:i/>
          <w:color w:val="666666"/>
          <w:sz w:val="18"/>
        </w:rPr>
        <w:t>Lanata S et al.  ·  Front Public Health  ·  17.09.2026  ·  PMID 42823958</w:t>
      </w:r>
    </w:p>
    <w:p>
      <w:r>
        <w:t>Beschreibung eines fünfjährigen Community-Outreach-Programms der UCSF mit Fokus auf Gehirngesundheit, kognitives Screening und Demenzforschung in unterversorgten San-Francisco-Vierteln, durchgeführt in fünf Sprachen.</w:t>
      </w:r>
    </w:p>
    <w:p>
      <w:r>
        <w:rPr>
          <w:b/>
        </w:rPr>
        <w:t xml:space="preserve">Ergebnis: </w:t>
      </w:r>
      <w:r>
        <w:t>2019–2025: Repräsentation von Personen aus vulnerablen Vierteln in Forschung deutlich angestiegen (konkrete Steigerung gegenüber Vorjahren angegeben). Viersäulenmodell (Gehirngesundheitserziehung, Kunst-/Bewegungsprogramme, gemeindebasierte kognitive Kliniken, mehrsprachige Medien) baute haltbare Partnerschaften auf und verbesserte Zugang zu kulturell responsiver Versorgung.</w:t>
      </w:r>
    </w:p>
    <w:p>
      <w:r>
        <w:rPr>
          <w:b/>
          <w:sz w:val="19"/>
        </w:rPr>
        <w:t xml:space="preserve">Übertragbarkeit: </w:t>
      </w:r>
      <w:r>
        <w:rPr>
          <w:sz w:val="19"/>
        </w:rPr>
        <w:t>USA, aber Prinzip der mehrsprachigen, nachbarschaftsorientierten Engagement-Strategien für alle Länder mit Migranten- und Minderheitenpopulationen relevant.</w:t>
      </w:r>
    </w:p>
    <w:p>
      <w:r>
        <w:rPr>
          <w:color w:val="5A7D3A"/>
          <w:sz w:val="18"/>
        </w:rPr>
        <w:t>https://pubmed.ncbi.nlm.nih.gov/42823958/</w:t>
      </w:r>
    </w:p>
    <w:p>
      <w:pPr>
        <w:pStyle w:val="Heading2"/>
      </w:pPr>
      <w:r>
        <w:t>Patientenerfahrungen mit digitaler Physiotherapie nach Geburt: Was Frauen akzeptieren</w:t>
      </w:r>
    </w:p>
    <w:p>
      <w:r>
        <w:rPr>
          <w:i/>
          <w:color w:val="666666"/>
          <w:sz w:val="18"/>
        </w:rPr>
        <w:t>Jönsson H et al.  ·  BMC Musculoskelet Disord  ·  11.09.2026  ·  PMID 42823687</w:t>
      </w:r>
    </w:p>
    <w:p>
      <w:r>
        <w:t>Qualitative Studie mit 14 Frauen in Schweden zu ihrer Erfahrung mit Telerehabilitation bei postpartaler Beckenbodendysfunktion.</w:t>
      </w:r>
    </w:p>
    <w:p>
      <w:r>
        <w:rPr>
          <w:b/>
        </w:rPr>
        <w:t xml:space="preserve">Ergebnis: </w:t>
      </w:r>
      <w:r>
        <w:t>Telerehabilitation wurde als sinnvolle Ergänzung wahrgenommen (Kernaussage: "Telerehabilitation – ein ergänzendes Puzzleteil"). Verbesserte Zugänglichkeit und Flexibilität ermöglichten aktive Teilhabe; jedoch erforderte digitales Format fortgeschrittene Kommunikationsfähigkeiten und zuverlässige Technik. Frauen vermissten physische Untersuchung und Hands-on-Anleitung.</w:t>
      </w:r>
    </w:p>
    <w:p>
      <w:r>
        <w:rPr>
          <w:b/>
          <w:sz w:val="19"/>
        </w:rPr>
        <w:t xml:space="preserve">Übertragbarkeit: </w:t>
      </w:r>
      <w:r>
        <w:rPr>
          <w:sz w:val="19"/>
        </w:rPr>
        <w:t>Skandinavien, primärmedizinisches Versorgungssystem; Hybrid-Modelle könnten personenzentrierte Rehabilitation stärken.</w:t>
      </w:r>
    </w:p>
    <w:p>
      <w:r>
        <w:rPr>
          <w:color w:val="5A7D3A"/>
          <w:sz w:val="18"/>
        </w:rPr>
        <w:t>https://pubmed.ncbi.nlm.nih.gov/42823687/</w:t>
      </w:r>
    </w:p>
    <w:p>
      <w:pPr>
        <w:pStyle w:val="Heading2"/>
      </w:pPr>
      <w:r>
        <w:t>Traditionelle Chinesische Medizin Gesundheitskompetenz senkt postpartale Depression: Mediationsmechanismen</w:t>
      </w:r>
    </w:p>
    <w:p>
      <w:r>
        <w:rPr>
          <w:i/>
          <w:color w:val="666666"/>
          <w:sz w:val="18"/>
        </w:rPr>
        <w:t>Liu D et al.  ·  Front Public Health  ·  16.09.2026  ·  PMID 42819904</w:t>
      </w:r>
    </w:p>
    <w:p>
      <w:r>
        <w:t>Querschnittsstudie mit 501 Frauen in China zur Beziehung zwischen Gesundheitskompetenz zu TCM und postpartalen depressiven Symptomen; Analyse der vermittelten Effekte durch soziale Unterstützung und Selbstwirksamkeit.</w:t>
      </w:r>
    </w:p>
    <w:p>
      <w:r>
        <w:rPr>
          <w:b/>
        </w:rPr>
        <w:t xml:space="preserve">Ergebnis: </w:t>
      </w:r>
      <w:r>
        <w:t>TCM-Gesundheitskompetenz hatte direkten negativen Effekt auf depressive Symptome (β=-0,206, 95%-KI: -0,299 bis -0,112). Drei signifikante indirekte Pfade: soziale Unterstützung (β=-0,102), Selbstwirksamkeit (β=-0,102) und sequenzieller Effekt über beide (β=-0,033). Indirekte Effekte machten 53,6 % des Gesamteffekts aus.</w:t>
      </w:r>
    </w:p>
    <w:p>
      <w:r>
        <w:rPr>
          <w:b/>
          <w:sz w:val="19"/>
        </w:rPr>
        <w:t xml:space="preserve">Übertragbarkeit: </w:t>
      </w:r>
      <w:r>
        <w:rPr>
          <w:sz w:val="19"/>
        </w:rPr>
        <w:t>China; Konzept der TCM-Kompetenz kulturspezifisch; Mechanismus (soziale Unterstützung + Selbstwirksamkeit) aber international anwendbar.</w:t>
      </w:r>
    </w:p>
    <w:p>
      <w:r>
        <w:rPr>
          <w:color w:val="5A7D3A"/>
          <w:sz w:val="18"/>
        </w:rPr>
        <w:t>https://pubmed.ncbi.nlm.nih.gov/42819904/</w:t>
      </w:r>
    </w:p>
    <w:p>
      <w:pPr>
        <w:pStyle w:val="Heading2"/>
      </w:pPr>
      <w:r>
        <w:t>Verständliche Patienteninformation zu Regelschmerzen: Spanische Broschüre validiert</w:t>
      </w:r>
    </w:p>
    <w:p>
      <w:r>
        <w:rPr>
          <w:i/>
          <w:color w:val="666666"/>
          <w:sz w:val="18"/>
        </w:rPr>
        <w:t>Cruz-Lara F et al.  ·  Womens Health (Lond)  ·  28.09.2026  ·  PMID 42803363</w:t>
      </w:r>
    </w:p>
    <w:p>
      <w:r>
        <w:t>Übersetzung und kulturelle Adaptation einer brasilianischen Patientenbroschüre zu Dysmenorrhoe für spanische Frauen mit Validierung durch Physiotherapeuten und Patientinnen.</w:t>
      </w:r>
    </w:p>
    <w:p>
      <w:r>
        <w:rPr>
          <w:b/>
        </w:rPr>
        <w:t xml:space="preserve">Ergebnis: </w:t>
      </w:r>
      <w:r>
        <w:t>Inhaltsvalidität (CVI ≥0,90 bei allen Bereichen); Patientinnen erreichten 100 % Zustimmung zur Sprachklarheit (PAA=100%) und 92,3 % zur Präsentation (PAA=92,3%). Material wurde als klar, nützlich und visuell gut organisiert bewertet.</w:t>
      </w:r>
    </w:p>
    <w:p>
      <w:r>
        <w:rPr>
          <w:b/>
          <w:sz w:val="19"/>
        </w:rPr>
        <w:t xml:space="preserve">Übertragbarkeit: </w:t>
      </w:r>
      <w:r>
        <w:rPr>
          <w:sz w:val="19"/>
        </w:rPr>
        <w:t>Spanien, Spanisch-Sprachraum; Sprach- und Kulturanpassung essentiell für Verständlichkeit.</w:t>
      </w:r>
    </w:p>
    <w:p>
      <w:r>
        <w:rPr>
          <w:color w:val="5A7D3A"/>
          <w:sz w:val="18"/>
        </w:rPr>
        <w:t>https://pubmed.ncbi.nlm.nih.gov/42803363/</w:t>
      </w:r>
    </w:p>
    <w:p>
      <w:pPr>
        <w:pStyle w:val="Heading2"/>
      </w:pPr>
      <w:r>
        <w:t>Patientensteuerung in der GKV: Systemdesign statt moralischer Appell</w:t>
      </w:r>
    </w:p>
    <w:p>
      <w:r>
        <w:rPr>
          <w:i/>
          <w:color w:val="666666"/>
          <w:sz w:val="18"/>
        </w:rPr>
        <w:t>Beivers A et al.  ·  Bundesgesundheitsblatt Gesundheitsforschung Gesundheitsschutz  ·  08.09.2026  ·  PMID 42709071</w:t>
      </w:r>
    </w:p>
    <w:p>
      <w:r>
        <w:t>Deutsches Diskussionspapier zur Frage, wie ein Primärarztsystem durch Patientenmanagement und redefinierte Eigenverantwortung die GKV-Effizienz stärken könnte.</w:t>
      </w:r>
    </w:p>
    <w:p>
      <w:r>
        <w:rPr>
          <w:b/>
        </w:rPr>
        <w:t xml:space="preserve">Ergebnis: </w:t>
      </w:r>
      <w:r>
        <w:t>Empfehlung: Bonusprogramme nach Loyalitätsmuster können Patientensteuerung wirksam, akzeptiert und sozial ausgewogen gestalten. Kernaussage: Patientensteuerung ist Systemdesign, nicht Disziplin – moderne Eigenverantwortung stärkt Wirtschaftlichkeit und Solidarität gleichermaßen.</w:t>
      </w:r>
    </w:p>
    <w:p>
      <w:r>
        <w:rPr>
          <w:b/>
          <w:sz w:val="19"/>
        </w:rPr>
        <w:t xml:space="preserve">Übertragbarkeit: </w:t>
      </w:r>
      <w:r>
        <w:rPr>
          <w:sz w:val="19"/>
        </w:rPr>
        <w:t>Deutschland, GKV-System; direkt auf deutsche Krankenversicherungsreform übertragbar.</w:t>
      </w:r>
    </w:p>
    <w:p>
      <w:r>
        <w:rPr>
          <w:color w:val="5A7D3A"/>
          <w:sz w:val="18"/>
        </w:rPr>
        <w:t>https://pubmed.ncbi.nlm.nih.gov/42709071/</w:t>
      </w:r>
    </w:p>
    <w:p>
      <w:pPr>
        <w:pStyle w:val="Heading1"/>
      </w:pPr>
      <w:r>
        <w:t>Aufgenommen am 02.10.2026</w:t>
      </w:r>
    </w:p>
    <w:p>
      <w:pPr>
        <w:pStyle w:val="Heading2"/>
      </w:pPr>
      <w:r>
        <w:t>Gesundheitskompetenz fördert aktives Altern bei älteren Erwachsenen</w:t>
      </w:r>
    </w:p>
    <w:p>
      <w:r>
        <w:rPr>
          <w:i/>
          <w:color w:val="666666"/>
          <w:sz w:val="18"/>
        </w:rPr>
        <w:t>Akdeniz Ş et al.  ·  BMC Geriatr  ·  29.09.2026  ·  PMID 42816844</w:t>
      </w:r>
    </w:p>
    <w:p>
      <w:r>
        <w:t>Querschnittstudie an 306 älteren Erwachsenen (≥65 Jahre), die die Beziehung zwischen Health Literacy, aktivem Altern und erfolgreichem Altern untersuchte.</w:t>
      </w:r>
    </w:p>
    <w:p>
      <w:r>
        <w:rPr>
          <w:b/>
        </w:rPr>
        <w:t xml:space="preserve">Ergebnis: </w:t>
      </w:r>
      <w:r>
        <w:t>Health Literacy erklärte 56,4 % der Varianz aktiven Alterns (R² = 0,564, p &lt; 0,05). Signifikante positive Korrelationen zwischen Health Literacy und beiden Aging-Dimensionen (p &lt; 0,01). Prädiktoren: Alter, mentale Aktivität und Gesundheitskompetenz (p &lt; 0,05).</w:t>
      </w:r>
    </w:p>
    <w:p>
      <w:r>
        <w:rPr>
          <w:b/>
          <w:sz w:val="19"/>
        </w:rPr>
        <w:t xml:space="preserve">Übertragbarkeit: </w:t>
      </w:r>
      <w:r>
        <w:rPr>
          <w:sz w:val="19"/>
        </w:rPr>
        <w:t>Türkei, aber Messmodell übertragbar auf deutsches Gesundheitswesen</w:t>
      </w:r>
    </w:p>
    <w:p>
      <w:r>
        <w:rPr>
          <w:color w:val="5A7D3A"/>
          <w:sz w:val="18"/>
        </w:rPr>
        <w:t>https://pubmed.ncbi.nlm.nih.gov/42816844/</w:t>
      </w:r>
    </w:p>
    <w:p>
      <w:pPr>
        <w:pStyle w:val="Heading2"/>
      </w:pPr>
      <w:r>
        <w:t>Ernährungskompetenz bei Grundschülern niedrig: Handlungsbedarf in der Schulgesundheit</w:t>
      </w:r>
    </w:p>
    <w:p>
      <w:r>
        <w:rPr>
          <w:i/>
          <w:color w:val="666666"/>
          <w:sz w:val="18"/>
        </w:rPr>
        <w:t>Lan Y et al.  ·  Front Public Health  ·  15.09.2026  ·  PMID 42812397</w:t>
      </w:r>
    </w:p>
    <w:p>
      <w:r>
        <w:t>Querschnittstudie an 1.420 Viertklässlern und Fünftklässlern in Chongqing zu Ernährungskompetenz (Nutrition Literacy) und assoziierten Faktoren.</w:t>
      </w:r>
    </w:p>
    <w:p>
      <w:r>
        <w:rPr>
          <w:b/>
        </w:rPr>
        <w:t xml:space="preserve">Ergebnis: </w:t>
      </w:r>
      <w:r>
        <w:t>Durchschnittliche Ernährungskompetenz-Score: 65,47 ± 9,79 (insgesamt niedrig). Signifikant höhere Scores bei: höherem Alter, weiblichem Geschlecht, städtischem Wohnort, höherer Bildung der Bezugsperson (alle p &lt; 0,05). Mahlzeitendokumentation (+4,18 Punkte; 95%-KI: 2,84–5,51) und Essenzubereitung (+2,07 Punkte) positiv assoziiert.</w:t>
      </w:r>
    </w:p>
    <w:p>
      <w:r>
        <w:rPr>
          <w:b/>
          <w:sz w:val="19"/>
        </w:rPr>
        <w:t xml:space="preserve">Übertragbarkeit: </w:t>
      </w:r>
      <w:r>
        <w:rPr>
          <w:sz w:val="19"/>
        </w:rPr>
        <w:t>China, aber Befund zu sozioökonomischen Unterschieden in Gesundheitskompetenz übertragbar</w:t>
      </w:r>
    </w:p>
    <w:p>
      <w:r>
        <w:rPr>
          <w:color w:val="5A7D3A"/>
          <w:sz w:val="18"/>
        </w:rPr>
        <w:t>https://pubmed.ncbi.nlm.nih.gov/42812397/</w:t>
      </w:r>
    </w:p>
    <w:p>
      <w:pPr>
        <w:pStyle w:val="Heading2"/>
      </w:pPr>
      <w:r>
        <w:t>Polnische Validierung eines mehrdimensionalen Health-Literacy-Fragebogens</w:t>
      </w:r>
    </w:p>
    <w:p>
      <w:r>
        <w:rPr>
          <w:i/>
          <w:color w:val="666666"/>
          <w:sz w:val="18"/>
        </w:rPr>
        <w:t>Lipiak A et al.  ·  Medicina (Kaunas)  ·  18.09.2026  ·  PMID 42796406</w:t>
      </w:r>
    </w:p>
    <w:p>
      <w:r>
        <w:t>Psychometrische Validierung der neun-faktoriellen Health Literacy Questionnaire (HLQ) an 918 Gesundheitsfachstudierenden in Polen mit konfirmatorischer Faktorenanalyse.</w:t>
      </w:r>
    </w:p>
    <w:p>
      <w:r>
        <w:rPr>
          <w:b/>
        </w:rPr>
        <w:t xml:space="preserve">Ergebnis: </w:t>
      </w:r>
      <w:r>
        <w:t>Neun-Faktor-Modell zeigte gute Anpassungsgüte (CFI = 0,973; TLI = 0,970; RMSEA = 0,035). Interne Konsistenz: 8 von 9 Skalen gut bis akzeptabel (Cronbach's α ≥ 0,70); eine Skala unter Schwelle (Cronbach's α = 0,69).</w:t>
      </w:r>
    </w:p>
    <w:p>
      <w:r>
        <w:rPr>
          <w:b/>
          <w:sz w:val="19"/>
        </w:rPr>
        <w:t xml:space="preserve">Übertragbarkeit: </w:t>
      </w:r>
      <w:r>
        <w:rPr>
          <w:sz w:val="19"/>
        </w:rPr>
        <w:t>Polen/Osteuropa, HLQ wird mehrsprachig validiert, Instrument selbst systemunabhängig</w:t>
      </w:r>
    </w:p>
    <w:p>
      <w:r>
        <w:rPr>
          <w:color w:val="5A7D3A"/>
          <w:sz w:val="18"/>
        </w:rPr>
        <w:t>https://pubmed.ncbi.nlm.nih.gov/42796406/</w:t>
      </w:r>
    </w:p>
    <w:p>
      <w:pPr>
        <w:pStyle w:val="Heading2"/>
      </w:pPr>
      <w:r>
        <w:t>Ernährungskompetenz in der Onkologie bessert Verhalten und Lebensqualität</w:t>
      </w:r>
    </w:p>
    <w:p>
      <w:r>
        <w:rPr>
          <w:i/>
          <w:color w:val="666666"/>
          <w:sz w:val="18"/>
        </w:rPr>
        <w:t>Monaci M et al.  ·  Nutr Cancer  ·  24.09.2026  ·  PMID 42784715</w:t>
      </w:r>
    </w:p>
    <w:p>
      <w:r>
        <w:t>Systematischer Review: 19 Studien (2013–2025) zu Ernährungs- und Lebensmittelkompetenz bei krebskranken Erwachsenen und Assoziation mit klinischen und Verhaltensergebnissen.</w:t>
      </w:r>
    </w:p>
    <w:p>
      <w:r>
        <w:rPr>
          <w:b/>
        </w:rPr>
        <w:t xml:space="preserve">Ergebnis: </w:t>
      </w:r>
      <w:r>
        <w:t>Höhere Ernährungskompetenz konsistent assoziiert mit: besseren Ernährungsverhalten, verbesserter Diätqualität, besserer Ernährungsstatus und höherer Lebensqualität sowie gestärktem Selbstmanagement. Interventionsstudien: Alphabetisierungs-fokussierte Ernährungsedukation reduzierte therapiebezogene Symptome und psychosoziale Belastung; begrenzte Evidenz für reduzierte Inanspruchnahme.</w:t>
      </w:r>
    </w:p>
    <w:p>
      <w:r>
        <w:rPr>
          <w:b/>
          <w:sz w:val="19"/>
        </w:rPr>
        <w:t xml:space="preserve">Übertragbarkeit: </w:t>
      </w:r>
      <w:r>
        <w:rPr>
          <w:sz w:val="19"/>
        </w:rPr>
        <w:t>Mehrheitlich europäische und nordamerikanische Studien, Konzept direkt auf deutsche Krebszentren übertragbar</w:t>
      </w:r>
    </w:p>
    <w:p>
      <w:r>
        <w:rPr>
          <w:color w:val="5A7D3A"/>
          <w:sz w:val="18"/>
        </w:rPr>
        <w:t>https://pubmed.ncbi.nlm.nih.gov/42784715/</w:t>
      </w:r>
    </w:p>
    <w:p>
      <w:pPr>
        <w:pStyle w:val="Heading2"/>
      </w:pPr>
      <w:r>
        <w:t>Patienten als Forschungspartner: Kokreation in der Entzündungsmyopathie-Forschung</w:t>
      </w:r>
    </w:p>
    <w:p>
      <w:r>
        <w:rPr>
          <w:i/>
          <w:color w:val="666666"/>
          <w:sz w:val="18"/>
        </w:rPr>
        <w:t>Cheng K et al.  ·  Curr Opin Rheumatol  ·  01.11.2026  ·  PMID 42682164</w:t>
      </w:r>
    </w:p>
    <w:p>
      <w:r>
        <w:t>Narrative Review zum Stand der Patient Research Partner (PRP) Integration in Myositis-Forschung und kritische Analyse bestehender Beteiligungsmodelle.</w:t>
      </w:r>
    </w:p>
    <w:p>
      <w:r>
        <w:rPr>
          <w:b/>
        </w:rPr>
        <w:t xml:space="preserve">Ergebnis: </w:t>
      </w:r>
      <w:r>
        <w:t>Kernbefund: Frühe Integration von Patienten als Co-Leader verbessert Relevanz, Machbarkeit und Impact von Forschung; aktuelle Integration bleibt weltweit inkonsistent. Bestehende Ressourcen vorhanden, aber wirkliche PRP-Integration erfordert kulturellen Wandel und dedizierte Ressourcen.</w:t>
      </w:r>
    </w:p>
    <w:p>
      <w:r>
        <w:rPr>
          <w:b/>
          <w:sz w:val="19"/>
        </w:rPr>
        <w:t xml:space="preserve">Übertragbarkeit: </w:t>
      </w:r>
      <w:r>
        <w:rPr>
          <w:sz w:val="19"/>
        </w:rPr>
        <w:t>Europäische Patient-Advocacy-Strukturen, EULAR-Rahmen direkt anwendbar</w:t>
      </w:r>
    </w:p>
    <w:p>
      <w:r>
        <w:rPr>
          <w:color w:val="5A7D3A"/>
          <w:sz w:val="18"/>
        </w:rPr>
        <w:t>https://pubmed.ncbi.nlm.nih.gov/42682164/</w:t>
      </w:r>
    </w:p>
    <w:p>
      <w:pPr>
        <w:pStyle w:val="Heading2"/>
      </w:pPr>
      <w:r>
        <w:t>eHealth-Kompetenz in Amharisch validiert: Erster Test in subsaharischem Afrika</w:t>
      </w:r>
    </w:p>
    <w:p>
      <w:r>
        <w:rPr>
          <w:i/>
          <w:color w:val="666666"/>
          <w:sz w:val="18"/>
        </w:rPr>
        <w:t>Meng G et al.  ·  J Med Internet Res  ·  16.07.2026  ·  PMID 42462181</w:t>
      </w:r>
    </w:p>
    <w:p>
      <w:r>
        <w:t>Psychometrische Validierung der sieben-faktoriellen eHealth Literacy Questionnaire (eHLQ) ins Amharische an 300 Patienten in Äthiopien mit Internetmobilität.</w:t>
      </w:r>
    </w:p>
    <w:p>
      <w:r>
        <w:rPr>
          <w:b/>
        </w:rPr>
        <w:t xml:space="preserve">Ergebnis: </w:t>
      </w:r>
      <w:r>
        <w:t>Akzeptable bis gute interne Konsistenz (Cronbach's α = 0,72–0,91, außer Skala 4: α = 0,62). Sieben-Faktor-Modell gutes Fit (CFI = 0,97; TLI = 0,97; SRMR = 0,07). Konvergente Validität: starke Korrelationen Skalen 1–3 mit eHEALS (r = 0,69–0,74).</w:t>
      </w:r>
    </w:p>
    <w:p>
      <w:r>
        <w:rPr>
          <w:b/>
          <w:sz w:val="19"/>
        </w:rPr>
        <w:t xml:space="preserve">Übertragbarkeit: </w:t>
      </w:r>
      <w:r>
        <w:rPr>
          <w:sz w:val="19"/>
        </w:rPr>
        <w:t>Äthiopien, Low-Income-Setting, eHLQ-Instrument kulturübergreifend, aber Internetprävalenz-Voraussetzung relevant</w:t>
      </w:r>
    </w:p>
    <w:p>
      <w:r>
        <w:rPr>
          <w:color w:val="5A7D3A"/>
          <w:sz w:val="18"/>
        </w:rPr>
        <w:t>https://pubmed.ncbi.nlm.nih.gov/42462181/</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Gesundheitskompetenz bei älteren Patienten mit Herz-Kreislauf-Erkrankungen: Latente Profilanalyse</w:t>
      </w:r>
    </w:p>
    <w:p>
      <w:r>
        <w:rPr>
          <w:i/>
          <w:color w:val="666666"/>
          <w:sz w:val="18"/>
        </w:rPr>
        <w:t>Xu M et al.  ·  Front Public Health  ·  27.08.2026  ·  PMID 42723856</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https://pubmed.ncbi.nlm.nih.gov/42723856/</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dc:title>
  <dc:subject/>
  <dc:creator>Monitor Versorgungsforschung</dc:creator>
  <cp:keywords/>
  <dc:description>generated by python-docx</dc:description>
  <cp:lastModifiedBy/>
  <cp:revision>1</cp:revision>
  <dcterms:created xsi:type="dcterms:W3CDTF">2026-10-21T06:00:00Z</dcterms:created>
  <dcterms:modified xsi:type="dcterms:W3CDTF">2026-10-21T06:00:00Z</dcterms:modified>
  <cp:category/>
</cp:coreProperties>
</file>