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03.10.2026  |  6 Studien  |  healthliteracy.m-vf.de</w:t>
      </w:r>
    </w:p>
    <w:p>
      <w:pPr>
        <w:pStyle w:val="Heading1"/>
      </w:pPr>
      <w:r>
        <w:t>Aufgenommen am 03.10.2026</w:t>
      </w:r>
    </w:p>
    <w:p>
      <w:pPr>
        <w:pStyle w:val="Heading2"/>
      </w:pPr>
      <w:r>
        <w:t>Patienteninformation zu Hochtechtechnologien in der Krebsbehandlung: Herausforderungen und Lösungen</w:t>
      </w:r>
    </w:p>
    <w:p>
      <w:r>
        <w:rPr>
          <w:i/>
          <w:color w:val="666666"/>
          <w:sz w:val="18"/>
        </w:rPr>
        <w:t>Gehl J et al.  ·  Acta Oncol  ·  02.10.2026  ·  PMID 42825514</w:t>
      </w:r>
    </w:p>
    <w:p>
      <w:r>
        <w:t>Europäisches Expertenpanel mit Patientenbeteiligung identifizierte Barrieren bei der Vermittlung komplexer Krebstechnologien (Nuklearmedizin, Radiotherapie, Zelltherapien) und entwickelte Informationsmaterialien für Patienten.</w:t>
      </w:r>
    </w:p>
    <w:p>
      <w:r>
        <w:rPr>
          <w:b/>
        </w:rPr>
        <w:t xml:space="preserve">Ergebnis: </w:t>
      </w:r>
      <w:r>
        <w:t>Sieben Technologiedomänen wurden analysiert; Hauptproblem war Mangel an klaren Informationspfaden und zuverlässigen Informationsquellen. Daraus resultierten konkrete Patienteninformationswerkzeuge als Supplementmaterial. Komplexität und fehlende Standardisierung erschweren Zugang zu verlässlicher Information erheblich.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Europa, multizentrisch, Beteiligung von Patientenvertretern; Materialien müssen auf nationale Systeme adaptiert werden.</w:t>
      </w:r>
    </w:p>
    <w:p>
      <w:r>
        <w:rPr>
          <w:color w:val="5A7D3A"/>
          <w:sz w:val="18"/>
        </w:rPr>
        <w:t>https://pubmed.ncbi.nlm.nih.gov/42825514/</w:t>
      </w:r>
    </w:p>
    <w:p>
      <w:pPr>
        <w:pStyle w:val="Heading2"/>
      </w:pPr>
      <w:r>
        <w:t>Nachbarschaftsbasierte Gehirngesundheitskompetenz: Mehrsprachiges Outreach-Modell für unterversorgte Gemeinden</w:t>
      </w:r>
    </w:p>
    <w:p>
      <w:r>
        <w:rPr>
          <w:i/>
          <w:color w:val="666666"/>
          <w:sz w:val="18"/>
        </w:rPr>
        <w:t>Lanata S et al.  ·  Front Public Health  ·  17.09.2026  ·  PMID 42823958</w:t>
      </w:r>
    </w:p>
    <w:p>
      <w:r>
        <w:t>Beschreibung eines fünfjährigen Community-Outreach-Programms der UCSF mit Fokus auf Gehirngesundheit, kognitives Screening und Demenzforschung in unterversorgten San-Francisco-Vierteln, durchgeführt in fünf Sprachen.</w:t>
      </w:r>
    </w:p>
    <w:p>
      <w:r>
        <w:rPr>
          <w:b/>
        </w:rPr>
        <w:t xml:space="preserve">Ergebnis: </w:t>
      </w:r>
      <w:r>
        <w:t>2019–2025: Repräsentation von Personen aus vulnerablen Vierteln in Forschung deutlich angestiegen (konkrete Steigerung gegenüber Vorjahren angegeben). Viersäulenmodell (Gehirngesundheitserziehung, Kunst-/Bewegungsprogramme, gemeindebasierte kognitive Kliniken, mehrsprachige Medien) baute haltbare Partnerschaften auf und verbesserte Zugang zu kulturell responsiver Versorgung.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Prinzip der mehrsprachigen, nachbarschaftsorientierten Engagement-Strategien für alle Länder mit Migranten- und Minderheitenpopulationen relevant.</w:t>
      </w:r>
    </w:p>
    <w:p>
      <w:r>
        <w:rPr>
          <w:color w:val="5A7D3A"/>
          <w:sz w:val="18"/>
        </w:rPr>
        <w:t>https://pubmed.ncbi.nlm.nih.gov/42823958/</w:t>
      </w:r>
    </w:p>
    <w:p>
      <w:pPr>
        <w:pStyle w:val="Heading2"/>
      </w:pPr>
      <w:r>
        <w:t>Patientenerfahrungen mit digitaler Physiotherapie nach Geburt: Was Frauen akzeptieren</w:t>
      </w:r>
    </w:p>
    <w:p>
      <w:r>
        <w:rPr>
          <w:i/>
          <w:color w:val="666666"/>
          <w:sz w:val="18"/>
        </w:rPr>
        <w:t>Jönsson H et al.  ·  BMC Musculoskelet Disord  ·  11.09.2026  ·  PMID 42823687</w:t>
      </w:r>
    </w:p>
    <w:p>
      <w:r>
        <w:t>Qualitative Studie mit 14 Frauen in Schweden zu ihrer Erfahrung mit Telerehabilitation bei postpartaler Beckenbodendysfunktion.</w:t>
      </w:r>
    </w:p>
    <w:p>
      <w:r>
        <w:rPr>
          <w:b/>
        </w:rPr>
        <w:t xml:space="preserve">Ergebnis: </w:t>
      </w:r>
      <w:r>
        <w:t>Telerehabilitation wurde als sinnvolle Ergänzung wahrgenommen (Kernaussage: "Telerehabilitation – ein ergänzendes Puzzleteil"). Verbesserte Zugänglichkeit und Flexibilität ermöglichten aktive Teilhabe; jedoch erforderte digitales Format fortgeschrittene Kommunikationsfähigkeiten und zuverlässige Technik. Frauen vermissten physische Untersuchung und Hands-on-Anleitung.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primärmedizinisches Versorgungssystem; Hybrid-Modelle könnten personenzentrierte Rehabilitation stärken.</w:t>
      </w:r>
    </w:p>
    <w:p>
      <w:r>
        <w:rPr>
          <w:color w:val="5A7D3A"/>
          <w:sz w:val="18"/>
        </w:rPr>
        <w:t>https://pubmed.ncbi.nlm.nih.gov/42823687/</w:t>
      </w:r>
    </w:p>
    <w:p>
      <w:pPr>
        <w:pStyle w:val="Heading2"/>
      </w:pPr>
      <w:r>
        <w:t>Traditionelle Chinesische Medizin Gesundheitskompetenz senkt postpartale Depression: Mediationsmechanismen</w:t>
      </w:r>
    </w:p>
    <w:p>
      <w:r>
        <w:rPr>
          <w:i/>
          <w:color w:val="666666"/>
          <w:sz w:val="18"/>
        </w:rPr>
        <w:t>Liu D et al.  ·  Front Public Health  ·  16.09.2026  ·  PMID 42819904</w:t>
      </w:r>
    </w:p>
    <w:p>
      <w:r>
        <w:t>Querschnittsstudie mit 501 Frauen in China zur Beziehung zwischen Gesundheitskompetenz zu TCM und postpartalen depressiven Symptomen; Analyse der vermittelten Effekte durch soziale Unterstützung und Selbstwirksamkeit.</w:t>
      </w:r>
    </w:p>
    <w:p>
      <w:r>
        <w:rPr>
          <w:b/>
        </w:rPr>
        <w:t xml:space="preserve">Ergebnis: </w:t>
      </w:r>
      <w:r>
        <w:t>TCM-Gesundheitskompetenz hatte direkten negativen Effekt auf depressive Symptome (β=-0,206, 95%-KI: -0,299 bis -0,112). Drei signifikante indirekte Pfade: soziale Unterstützung (β=-0,102), Selbstwirksamkeit (β=-0,102) und sequenzieller Effekt über beide (β=-0,033). Indirekte Effekte machten 53,6 % des Gesamteffekts 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Konzept der TCM-Kompetenz kulturspezifisch; Mechanismus (soziale Unterstützung + Selbstwirksamkeit) aber international anwendbar.</w:t>
      </w:r>
    </w:p>
    <w:p>
      <w:r>
        <w:rPr>
          <w:color w:val="5A7D3A"/>
          <w:sz w:val="18"/>
        </w:rPr>
        <w:t>https://pubmed.ncbi.nlm.nih.gov/42819904/</w:t>
      </w:r>
    </w:p>
    <w:p>
      <w:pPr>
        <w:pStyle w:val="Heading2"/>
      </w:pPr>
      <w:r>
        <w:t>Verständliche Patienteninformation zu Regelschmerzen: Spanische Broschüre validiert</w:t>
      </w:r>
    </w:p>
    <w:p>
      <w:r>
        <w:rPr>
          <w:i/>
          <w:color w:val="666666"/>
          <w:sz w:val="18"/>
        </w:rPr>
        <w:t>Cruz-Lara F et al.  ·  Womens Health (Lond)  ·  28.09.2026  ·  PMID 42803363</w:t>
      </w:r>
    </w:p>
    <w:p>
      <w:r>
        <w:t>Übersetzung und kulturelle Adaptation einer brasilianischen Patientenbroschüre zu Dysmenorrhoe für spanische Frauen mit Validierung durch Physiotherapeuten und Patientinnen.</w:t>
      </w:r>
    </w:p>
    <w:p>
      <w:r>
        <w:rPr>
          <w:b/>
        </w:rPr>
        <w:t xml:space="preserve">Ergebnis: </w:t>
      </w:r>
      <w:r>
        <w:t>Inhaltsvalidität (CVI ≥0,90 bei allen Bereichen); Patientinnen erreichten 100 % Zustimmung zur Sprachklarheit (PAA=100%) und 92,3 % zur Präsentation (PAA=92,3%). Material wurde als klar, nützlich und visuell gut organisiert bewertet.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Spanisch-Sprachraum; Sprach- und Kulturanpassung essentiell für Verständlichkeit.</w:t>
      </w:r>
    </w:p>
    <w:p>
      <w:r>
        <w:rPr>
          <w:color w:val="5A7D3A"/>
          <w:sz w:val="18"/>
        </w:rPr>
        <w:t>https://pubmed.ncbi.nlm.nih.gov/42803363/</w:t>
      </w:r>
    </w:p>
    <w:p>
      <w:pPr>
        <w:pStyle w:val="Heading2"/>
      </w:pPr>
      <w:r>
        <w:t>Patientensteuerung in der GKV: Systemdesign statt moralischer Appell</w:t>
      </w:r>
    </w:p>
    <w:p>
      <w:r>
        <w:rPr>
          <w:i/>
          <w:color w:val="666666"/>
          <w:sz w:val="18"/>
        </w:rPr>
        <w:t>Beivers A et al.  ·  Bundesgesundheitsblatt Gesundheitsforschung Gesundheitsschutz  ·  08.09.2026  ·  PMID 42709071</w:t>
      </w:r>
    </w:p>
    <w:p>
      <w:r>
        <w:t>Deutsches Diskussionspapier zur Frage, wie ein Primärarztsystem durch Patientenmanagement und redefinierte Eigenverantwortung die GKV-Effizienz stärken könnte.</w:t>
      </w:r>
    </w:p>
    <w:p>
      <w:r>
        <w:rPr>
          <w:b/>
        </w:rPr>
        <w:t xml:space="preserve">Ergebnis: </w:t>
      </w:r>
      <w:r>
        <w:t>Empfehlung: Bonusprogramme nach Loyalitätsmuster können Patientensteuerung wirksam, akzeptiert und sozial ausgewogen gestalten. Kernaussage: Patientensteuerung ist Systemdesign, nicht Disziplin – moderne Eigenverantwortung stärkt Wirtschaftlichkeit und Solidarität gleichermaßen.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GKV-System; direkt auf deutsche Krankenversicherungsreform übertragbar.</w:t>
      </w:r>
    </w:p>
    <w:p>
      <w:r>
        <w:rPr>
          <w:color w:val="5A7D3A"/>
          <w:sz w:val="18"/>
        </w:rPr>
        <w:t>https://pubmed.ncbi.nlm.nih.gov/42709071/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2026-10-03T06:00:00Z</dcterms:created>
  <dcterms:modified xsi:type="dcterms:W3CDTF">2026-10-03T06:00:00Z</dcterms:modified>
  <cp:category/>
</cp:coreProperties>
</file>