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04.10.2026  |  267 Studien  |  healthliteracy.m-vf.de</w:t>
      </w:r>
    </w:p>
    <w:p>
      <w:pPr>
        <w:pStyle w:val="Heading1"/>
      </w:pPr>
      <w:r>
        <w:t>Aufgenommen am 04.10.2026</w:t>
      </w:r>
    </w:p>
    <w:p>
      <w:pPr>
        <w:pStyle w:val="Heading2"/>
      </w:pPr>
      <w:r>
        <w:t>Psychoedukation für Jugendliche mit Psychose-Risiko: Verbesserung von Symptomen und Adhärenz</w:t>
      </w:r>
    </w:p>
    <w:p>
      <w:r>
        <w:rPr>
          <w:i/>
          <w:color w:val="666666"/>
          <w:sz w:val="18"/>
        </w:rPr>
        <w:t>Addington J et al.  ·  Early Interv Psychiatry  ·  Okt. 2026  ·  PMID 42827309</w:t>
      </w:r>
    </w:p>
    <w:p>
      <w:r>
        <w:t>Studie untersuchte, ob acht Sitzungen Psychoedukation für 54 Jugendliche mit erhöhtem klinischen Psychoserisiko zu klinischen Verbesserungen und zur Einhaltung der Behandlung führen.</w:t>
      </w:r>
    </w:p>
    <w:p>
      <w:r>
        <w:rPr>
          <w:b/>
        </w:rPr>
        <w:t xml:space="preserve">Ergebnis: </w:t>
      </w:r>
      <w:r>
        <w:t>Nach 2–6 Monaten zeigten sich signifikante Verbesserungen: abgeschwächte psychotische Symptome (p &lt; 0,0001, Effektgröße 0,36), Depression und Angst (p &lt; 0,001, ES 0,51), Distress (p &lt; 0,01, ES 0,36) und defaitistische Überzeugungen (p &lt; 0,01, ES 0,34). 59 % absolvierten alle Sitzungen, nur 7,4 % brachen ab. Klinisch wertvolle und leicht umsetzbare Intervention mit limitierter Dropout-Rate.</w:t>
      </w:r>
    </w:p>
    <w:p>
      <w:r>
        <w:rPr>
          <w:b/>
          <w:sz w:val="19"/>
        </w:rPr>
        <w:t xml:space="preserve">Übertragbarkeit: </w:t>
      </w:r>
      <w:r>
        <w:rPr>
          <w:sz w:val="19"/>
        </w:rPr>
        <w:t>Kanada, Psychiatrieeinrichtungen in westlichen Systemen vergleichbar</w:t>
      </w:r>
    </w:p>
    <w:p>
      <w:r>
        <w:rPr>
          <w:color w:val="5A7D3A"/>
          <w:sz w:val="18"/>
        </w:rPr>
        <w:t>https://pubmed.ncbi.nlm.nih.gov/42827309/</w:t>
      </w:r>
    </w:p>
    <w:p>
      <w:pPr>
        <w:pStyle w:val="Heading2"/>
      </w:pPr>
      <w:r>
        <w:t>Barrieren für Herzrehabilitation: Strukturelle, individuelle und Systemfaktoren</w:t>
      </w:r>
    </w:p>
    <w:p>
      <w:r>
        <w:rPr>
          <w:i/>
          <w:color w:val="666666"/>
          <w:sz w:val="18"/>
        </w:rPr>
        <w:t>Chin DC et al.  ·  Med J Malaysia  ·  Sept. 2026  ·  PMID 42813492</w:t>
      </w:r>
    </w:p>
    <w:p>
      <w:r>
        <w:t>Scoping Review identifizierte Determinanten der Teilnahme an Phase-II-Herzrehabilitationsprogrammen durch systematische Analyse von zehn Studien aus diversen Ländern.</w:t>
      </w:r>
    </w:p>
    <w:p>
      <w:r>
        <w:rPr>
          <w:b/>
        </w:rPr>
        <w:t xml:space="preserve">Ergebnis: </w:t>
      </w:r>
      <w:r>
        <w:t>Strukturelle und logistische Barrieren waren dominant: Transport, Entfernung, Zeit, Kosten. Soziodemografische Faktoren (höheres Alter, niedrigere Bildung, niedrigeres Einkommen, Migrationshintergrund) waren mit niedriger Teilnahme assoziiert. Mangelnde Aufklärung, schwache Ärztliche Empfehlungen und psychosoziale Barrieren (Angst, begrenzte soziale Unterstützung) behinderten Teilnahme. Komplex wechselwirkende Faktoren erfordern Home-Based- und Hybrid-Modelle.</w:t>
      </w:r>
    </w:p>
    <w:p>
      <w:r>
        <w:rPr>
          <w:b/>
          <w:sz w:val="19"/>
        </w:rPr>
        <w:t xml:space="preserve">Übertragbarkeit: </w:t>
      </w:r>
      <w:r>
        <w:rPr>
          <w:sz w:val="19"/>
        </w:rPr>
        <w:t>Multinationale Evidenz, vergleichbare Versorgungsstrukturen in Deutschland</w:t>
      </w:r>
    </w:p>
    <w:p>
      <w:r>
        <w:rPr>
          <w:color w:val="5A7D3A"/>
          <w:sz w:val="18"/>
        </w:rPr>
        <w:t>https://pubmed.ncbi.nlm.nih.gov/42813492/</w:t>
      </w:r>
    </w:p>
    <w:p>
      <w:pPr>
        <w:pStyle w:val="Heading2"/>
      </w:pPr>
      <w:r>
        <w:t>Textnachrichten und Ressourcenanbindung verstärken Leseförderung bei Latino-Familien</w:t>
      </w:r>
    </w:p>
    <w:p>
      <w:r>
        <w:rPr>
          <w:i/>
          <w:color w:val="666666"/>
          <w:sz w:val="18"/>
        </w:rPr>
        <w:t>Jimenez ME et al.  ·  Pediatrics  ·  01.10.2026  ·  PMID 42778186</w:t>
      </w:r>
    </w:p>
    <w:p>
      <w:r>
        <w:t>Randomisierte Studie prüfte, ob Text-Erinnerungen und Vermittlung zu Gemeindeangeboten die Effekte von Leseförderung in der Primärversorgung (Reach Out and Read) bei 630 Latino-Familien mit Kleinkindern verstärken.</w:t>
      </w:r>
    </w:p>
    <w:p>
      <w:r>
        <w:rPr>
          <w:b/>
        </w:rPr>
        <w:t xml:space="preserve">Ergebnis: </w:t>
      </w:r>
      <w:r>
        <w:t>Nach 18 Monaten: LP+Text-Gruppe zeigte höhere Sprachentwicklung (Effektgröße 0,391; p = 0,001). LP+Text+Ressourcen-Gruppe erzielte höhere sozial-emotionale Entwicklung (ES 0,300; p = 0,03) und bei 9 Monaten bessere verbale Responsivität (ES 0,400; p &lt; 0,001). Beide Strategien mit hohem Skalierungspotenzial verbesserten Effekte deutlich.</w:t>
      </w:r>
    </w:p>
    <w:p>
      <w:r>
        <w:rPr>
          <w:b/>
          <w:sz w:val="19"/>
        </w:rPr>
        <w:t xml:space="preserve">Übertragbarkeit: </w:t>
      </w:r>
      <w:r>
        <w:rPr>
          <w:sz w:val="19"/>
        </w:rPr>
        <w:t>USA-Studie, Strukturen aber auch in Deutschland umsetzbar, Sprachbarriereabbau ist zentral</w:t>
      </w:r>
    </w:p>
    <w:p>
      <w:r>
        <w:rPr>
          <w:color w:val="5A7D3A"/>
          <w:sz w:val="18"/>
        </w:rPr>
        <w:t>https://pubmed.ncbi.nlm.nih.gov/42778186/</w:t>
      </w:r>
    </w:p>
    <w:p>
      <w:pPr>
        <w:pStyle w:val="Heading2"/>
      </w:pPr>
      <w:r>
        <w:t>Digitale Gesundheitskompetenz fördert Gesundheitsinformationen-Annahme bei Studierenden</w:t>
      </w:r>
    </w:p>
    <w:p>
      <w:r>
        <w:rPr>
          <w:i/>
          <w:color w:val="666666"/>
          <w:sz w:val="18"/>
        </w:rPr>
        <w:t>Sun Y et al.  ·  Front Public Health  ·  08.09.2026  ·  PMID 42774164</w:t>
      </w:r>
    </w:p>
    <w:p>
      <w:r>
        <w:t>Querschnittstudie mit 3148 Studierenden prüfte, wie kritische und interaktive Digital-Health-Literacy mit Annahme von Gesundheitsinformationen assoziiert ist und welche Pfade (Risikoperzepton, Selbstwirksamkeit) vermittelnd wirken.</w:t>
      </w:r>
    </w:p>
    <w:p>
      <w:r>
        <w:rPr>
          <w:b/>
        </w:rPr>
        <w:t xml:space="preserve">Ergebnis: </w:t>
      </w:r>
      <w:r>
        <w:t>Digitale Health Literacy war positiv mit Informationsannahme korreliert (r = 0,416; p &lt; 0,001). Totale Assoziation: B = 0,534. Direkter Effekt 64,3 %, indirekt über Risikoperzepton 16,9 %, über Trainings-Selbstwirksamkeit 14,9 %, über serielle Pfade 3,8 %. Direkte Assoziation dominiert, serielle Route gering. Cross-sektional, daher statistische Dekomposition statt Kausalität.</w:t>
      </w:r>
    </w:p>
    <w:p>
      <w:r>
        <w:rPr>
          <w:b/>
          <w:sz w:val="19"/>
        </w:rPr>
        <w:t xml:space="preserve">Übertragbarkeit: </w:t>
      </w:r>
      <w:r>
        <w:rPr>
          <w:sz w:val="19"/>
        </w:rPr>
        <w:t>China, Hochschul- und Digitalisierungskontext ähnlich international, Befunde zu Mediationspfaden generalisierbar</w:t>
      </w:r>
    </w:p>
    <w:p>
      <w:r>
        <w:rPr>
          <w:color w:val="5A7D3A"/>
          <w:sz w:val="18"/>
        </w:rPr>
        <w:t>https://pubmed.ncbi.nlm.nih.gov/42774164/</w:t>
      </w:r>
    </w:p>
    <w:p>
      <w:pPr>
        <w:pStyle w:val="Heading2"/>
      </w:pPr>
      <w:r>
        <w:t>Lupusnephritis-Videos auf TikTok und Bilibili: Qualität, Zuverlässigkeit und Engagement</w:t>
      </w:r>
    </w:p>
    <w:p>
      <w:r>
        <w:rPr>
          <w:i/>
          <w:color w:val="666666"/>
          <w:sz w:val="18"/>
        </w:rPr>
        <w:t>Chen J et al.  ·  Lupus Sci Med  ·  22.09.2026  ·  PMID 42772804</w:t>
      </w:r>
    </w:p>
    <w:p>
      <w:r>
        <w:t>Querschnittanalyse von 250 Lupusnephritis-Videos (TikTok n=143, Bilibili n=107) beurteilte Inhaltsqualität, Zuverlässigkeit und Zusammenhang zwischen Nutzerengagement und wissenschaftlicher Qualität.</w:t>
      </w:r>
    </w:p>
    <w:p>
      <w:r>
        <w:rPr>
          <w:b/>
        </w:rPr>
        <w:t xml:space="preserve">Ergebnis: </w:t>
      </w:r>
      <w:r>
        <w:t>Nutzerengagement (Likes, Kommentare, Anteile) war auf TikTok signifikant höher (p &lt; 0,05); Anteil professioneller Uploader ebenfalls höher. TikTok hatte leicht höhere DISCERN-Scores (p &lt; 0,05). Professionelle Institutionen übertrafen nicht-professionelle Uploader in allen Qualitätsindikatoren (p &lt; 0,05). Hohe Engagement-Korrelationen untereinander, aber schwache Korrelationen mit Qualitätsscores. Popularität widerspiegelt wissenschaftliche Qualität schlecht.</w:t>
      </w:r>
    </w:p>
    <w:p>
      <w:r>
        <w:rPr>
          <w:b/>
          <w:sz w:val="19"/>
        </w:rPr>
        <w:t xml:space="preserve">Übertragbarkeit: </w:t>
      </w:r>
      <w:r>
        <w:rPr>
          <w:sz w:val="19"/>
        </w:rPr>
        <w:t>China, beide Plattformen international genutzt, Befund zu Qualitäts-Engagement-Lücke übertragbar</w:t>
      </w:r>
    </w:p>
    <w:p>
      <w:r>
        <w:rPr>
          <w:color w:val="5A7D3A"/>
          <w:sz w:val="18"/>
        </w:rPr>
        <w:t>https://pubmed.ncbi.nlm.nih.gov/42772804/</w:t>
      </w:r>
    </w:p>
    <w:p>
      <w:pPr>
        <w:pStyle w:val="Heading2"/>
      </w:pPr>
      <w:r>
        <w:t>Mundgesundheitskompetenz älterer Erwachsener: Pfade zu Wissen und Bewusstsein</w:t>
      </w:r>
    </w:p>
    <w:p>
      <w:r>
        <w:rPr>
          <w:i/>
          <w:color w:val="666666"/>
          <w:sz w:val="18"/>
        </w:rPr>
        <w:t>Jiang L et al.  ·  Clin Interv Aging  ·  31.07.2026  ·  PMID 42553712</w:t>
      </w:r>
    </w:p>
    <w:p>
      <w:r>
        <w:t>Pfadanalyse mit 423 älteren Chinesen (65–74 Jahre) untersuchte, welche Faktoren direkt und indirekt mit Mundgesundheits-Literacy verbunden sind—Bildung, Zahnbehandlung, Zahnstatus.</w:t>
      </w:r>
    </w:p>
    <w:p>
      <w:r>
        <w:rPr>
          <w:b/>
        </w:rPr>
        <w:t xml:space="preserve">Ergebnis: </w:t>
      </w:r>
      <w:r>
        <w:t>Geschlecht und Bildung beeinflussten Mundgesundheits-Literacy indirekt über Mediatorvariablen. Zahnbehandlung war direkt mit höherem Krankheitsbewusstsein assoziiert; Zahnersatznutzung mit besseren Gesundheitsüberzeugungen. Pfadanalyse identifizierte drei signifikante indirekte Effekte. Zahnkontakte bieten Chancen für Gesundheitsaufklärung.</w:t>
      </w:r>
    </w:p>
    <w:p>
      <w:r>
        <w:rPr>
          <w:b/>
          <w:sz w:val="19"/>
        </w:rPr>
        <w:t xml:space="preserve">Übertragbarkeit: </w:t>
      </w:r>
      <w:r>
        <w:rPr>
          <w:sz w:val="19"/>
        </w:rPr>
        <w:t>China, Ähnlichkeiten in Altersdemografie und Prävention, Befunde zu Behandlungskontakten übertragbar</w:t>
      </w:r>
    </w:p>
    <w:p>
      <w:r>
        <w:rPr>
          <w:color w:val="5A7D3A"/>
          <w:sz w:val="18"/>
        </w:rPr>
        <w:t>https://pubmed.ncbi.nlm.nih.gov/42553712/</w:t>
      </w:r>
    </w:p>
    <w:p>
      <w:pPr>
        <w:pStyle w:val="Heading1"/>
      </w:pPr>
      <w:r>
        <w:t>Aufgenommen am 03.10.2026</w:t>
      </w:r>
    </w:p>
    <w:p>
      <w:pPr>
        <w:pStyle w:val="Heading2"/>
      </w:pPr>
      <w:r>
        <w:t>Patienteninformation zu Hochtechtechnologien in der Krebsbehandlung: Herausforderungen und Lösungen</w:t>
      </w:r>
    </w:p>
    <w:p>
      <w:r>
        <w:rPr>
          <w:i/>
          <w:color w:val="666666"/>
          <w:sz w:val="18"/>
        </w:rPr>
        <w:t>Gehl J et al.  ·  Acta Oncol  ·  02.10.2026  ·  PMID 42825514</w:t>
      </w:r>
    </w:p>
    <w:p>
      <w:r>
        <w:t>Europäisches Expertenpanel mit Patientenbeteiligung identifizierte Barrieren bei der Vermittlung komplexer Krebstechnologien (Nuklearmedizin, Radiotherapie, Zelltherapien) und entwickelte Informationsmaterialien für Patienten.</w:t>
      </w:r>
    </w:p>
    <w:p>
      <w:r>
        <w:rPr>
          <w:b/>
        </w:rPr>
        <w:t xml:space="preserve">Ergebnis: </w:t>
      </w:r>
      <w:r>
        <w:t>Sieben Technologiedomänen wurden analysiert; Hauptproblem war Mangel an klaren Informationspfaden und zuverlässigen Informationsquellen. Daraus resultierten konkrete Patienteninformationswerkzeuge als Supplementmaterial. Komplexität und fehlende Standardisierung erschweren Zugang zu verlässlicher Information erheblich.</w:t>
      </w:r>
    </w:p>
    <w:p>
      <w:r>
        <w:rPr>
          <w:b/>
          <w:sz w:val="19"/>
        </w:rPr>
        <w:t xml:space="preserve">Übertragbarkeit: </w:t>
      </w:r>
      <w:r>
        <w:rPr>
          <w:sz w:val="19"/>
        </w:rPr>
        <w:t>Europa, multizentrisch, Beteiligung von Patientenvertretern; Materialien müssen auf nationale Systeme adaptiert werden.</w:t>
      </w:r>
    </w:p>
    <w:p>
      <w:r>
        <w:rPr>
          <w:color w:val="5A7D3A"/>
          <w:sz w:val="18"/>
        </w:rPr>
        <w:t>https://pubmed.ncbi.nlm.nih.gov/42825514/</w:t>
      </w:r>
    </w:p>
    <w:p>
      <w:pPr>
        <w:pStyle w:val="Heading2"/>
      </w:pPr>
      <w:r>
        <w:t>Nachbarschaftsbasierte Gehirngesundheitskompetenz: Mehrsprachiges Outreach-Modell für unterversorgte Gemeinden</w:t>
      </w:r>
    </w:p>
    <w:p>
      <w:r>
        <w:rPr>
          <w:i/>
          <w:color w:val="666666"/>
          <w:sz w:val="18"/>
        </w:rPr>
        <w:t>Lanata S et al.  ·  Front Public Health  ·  17.09.2026  ·  PMID 42823958</w:t>
      </w:r>
    </w:p>
    <w:p>
      <w:r>
        <w:t>Beschreibung eines fünfjährigen Community-Outreach-Programms der UCSF mit Fokus auf Gehirngesundheit, kognitives Screening und Demenzforschung in unterversorgten San-Francisco-Vierteln, durchgeführt in fünf Sprachen.</w:t>
      </w:r>
    </w:p>
    <w:p>
      <w:r>
        <w:rPr>
          <w:b/>
        </w:rPr>
        <w:t xml:space="preserve">Ergebnis: </w:t>
      </w:r>
      <w:r>
        <w:t>2019–2025: Repräsentation von Personen aus vulnerablen Vierteln in Forschung deutlich angestiegen (konkrete Steigerung gegenüber Vorjahren angegeben). Viersäulenmodell (Gehirngesundheitserziehung, Kunst-/Bewegungsprogramme, gemeindebasierte kognitive Kliniken, mehrsprachige Medien) baute haltbare Partnerschaften auf und verbesserte Zugang zu kulturell responsiver Versorgung.</w:t>
      </w:r>
    </w:p>
    <w:p>
      <w:r>
        <w:rPr>
          <w:b/>
          <w:sz w:val="19"/>
        </w:rPr>
        <w:t xml:space="preserve">Übertragbarkeit: </w:t>
      </w:r>
      <w:r>
        <w:rPr>
          <w:sz w:val="19"/>
        </w:rPr>
        <w:t>USA, aber Prinzip der mehrsprachigen, nachbarschaftsorientierten Engagement-Strategien für alle Länder mit Migranten- und Minderheitenpopulationen relevant.</w:t>
      </w:r>
    </w:p>
    <w:p>
      <w:r>
        <w:rPr>
          <w:color w:val="5A7D3A"/>
          <w:sz w:val="18"/>
        </w:rPr>
        <w:t>https://pubmed.ncbi.nlm.nih.gov/42823958/</w:t>
      </w:r>
    </w:p>
    <w:p>
      <w:pPr>
        <w:pStyle w:val="Heading2"/>
      </w:pPr>
      <w:r>
        <w:t>Patientenerfahrungen mit digitaler Physiotherapie nach Geburt: Was Frauen akzeptieren</w:t>
      </w:r>
    </w:p>
    <w:p>
      <w:r>
        <w:rPr>
          <w:i/>
          <w:color w:val="666666"/>
          <w:sz w:val="18"/>
        </w:rPr>
        <w:t>Jönsson H et al.  ·  BMC Musculoskelet Disord  ·  11.09.2026  ·  PMID 42823687</w:t>
      </w:r>
    </w:p>
    <w:p>
      <w:r>
        <w:t>Qualitative Studie mit 14 Frauen in Schweden zu ihrer Erfahrung mit Telerehabilitation bei postpartaler Beckenbodendysfunktion.</w:t>
      </w:r>
    </w:p>
    <w:p>
      <w:r>
        <w:rPr>
          <w:b/>
        </w:rPr>
        <w:t xml:space="preserve">Ergebnis: </w:t>
      </w:r>
      <w:r>
        <w:t>Telerehabilitation wurde als sinnvolle Ergänzung wahrgenommen (Kernaussage: "Telerehabilitation – ein ergänzendes Puzzleteil"). Verbesserte Zugänglichkeit und Flexibilität ermöglichten aktive Teilhabe; jedoch erforderte digitales Format fortgeschrittene Kommunikationsfähigkeiten und zuverlässige Technik. Frauen vermissten physische Untersuchung und Hands-on-Anleitung.</w:t>
      </w:r>
    </w:p>
    <w:p>
      <w:r>
        <w:rPr>
          <w:b/>
          <w:sz w:val="19"/>
        </w:rPr>
        <w:t xml:space="preserve">Übertragbarkeit: </w:t>
      </w:r>
      <w:r>
        <w:rPr>
          <w:sz w:val="19"/>
        </w:rPr>
        <w:t>Skandinavien, primärmedizinisches Versorgungssystem; Hybrid-Modelle könnten personenzentrierte Rehabilitation stärken.</w:t>
      </w:r>
    </w:p>
    <w:p>
      <w:r>
        <w:rPr>
          <w:color w:val="5A7D3A"/>
          <w:sz w:val="18"/>
        </w:rPr>
        <w:t>https://pubmed.ncbi.nlm.nih.gov/42823687/</w:t>
      </w:r>
    </w:p>
    <w:p>
      <w:pPr>
        <w:pStyle w:val="Heading2"/>
      </w:pPr>
      <w:r>
        <w:t>Traditionelle Chinesische Medizin Gesundheitskompetenz senkt postpartale Depression: Mediationsmechanismen</w:t>
      </w:r>
    </w:p>
    <w:p>
      <w:r>
        <w:rPr>
          <w:i/>
          <w:color w:val="666666"/>
          <w:sz w:val="18"/>
        </w:rPr>
        <w:t>Liu D et al.  ·  Front Public Health  ·  16.09.2026  ·  PMID 42819904</w:t>
      </w:r>
    </w:p>
    <w:p>
      <w:r>
        <w:t>Querschnittsstudie mit 501 Frauen in China zur Beziehung zwischen Gesundheitskompetenz zu TCM und postpartalen depressiven Symptomen; Analyse der vermittelten Effekte durch soziale Unterstützung und Selbstwirksamkeit.</w:t>
      </w:r>
    </w:p>
    <w:p>
      <w:r>
        <w:rPr>
          <w:b/>
        </w:rPr>
        <w:t xml:space="preserve">Ergebnis: </w:t>
      </w:r>
      <w:r>
        <w:t>TCM-Gesundheitskompetenz hatte direkten negativen Effekt auf depressive Symptome (β=-0,206, 95%-KI: -0,299 bis -0,112). Drei signifikante indirekte Pfade: soziale Unterstützung (β=-0,102), Selbstwirksamkeit (β=-0,102) und sequenzieller Effekt über beide (β=-0,033). Indirekte Effekte machten 53,6 % des Gesamteffekts aus.</w:t>
      </w:r>
    </w:p>
    <w:p>
      <w:r>
        <w:rPr>
          <w:b/>
          <w:sz w:val="19"/>
        </w:rPr>
        <w:t xml:space="preserve">Übertragbarkeit: </w:t>
      </w:r>
      <w:r>
        <w:rPr>
          <w:sz w:val="19"/>
        </w:rPr>
        <w:t>China; Konzept der TCM-Kompetenz kulturspezifisch; Mechanismus (soziale Unterstützung + Selbstwirksamkeit) aber international anwendbar.</w:t>
      </w:r>
    </w:p>
    <w:p>
      <w:r>
        <w:rPr>
          <w:color w:val="5A7D3A"/>
          <w:sz w:val="18"/>
        </w:rPr>
        <w:t>https://pubmed.ncbi.nlm.nih.gov/42819904/</w:t>
      </w:r>
    </w:p>
    <w:p>
      <w:pPr>
        <w:pStyle w:val="Heading2"/>
      </w:pPr>
      <w:r>
        <w:t>Verständliche Patienteninformation zu Regelschmerzen: Spanische Broschüre validiert</w:t>
      </w:r>
    </w:p>
    <w:p>
      <w:r>
        <w:rPr>
          <w:i/>
          <w:color w:val="666666"/>
          <w:sz w:val="18"/>
        </w:rPr>
        <w:t>Cruz-Lara F et al.  ·  Womens Health (Lond)  ·  28.09.2026  ·  PMID 42803363</w:t>
      </w:r>
    </w:p>
    <w:p>
      <w:r>
        <w:t>Übersetzung und kulturelle Adaptation einer brasilianischen Patientenbroschüre zu Dysmenorrhoe für spanische Frauen mit Validierung durch Physiotherapeuten und Patientinnen.</w:t>
      </w:r>
    </w:p>
    <w:p>
      <w:r>
        <w:rPr>
          <w:b/>
        </w:rPr>
        <w:t xml:space="preserve">Ergebnis: </w:t>
      </w:r>
      <w:r>
        <w:t>Inhaltsvalidität (CVI ≥0,90 bei allen Bereichen); Patientinnen erreichten 100 % Zustimmung zur Sprachklarheit (PAA=100%) und 92,3 % zur Präsentation (PAA=92,3%). Material wurde als klar, nützlich und visuell gut organisiert bewertet.</w:t>
      </w:r>
    </w:p>
    <w:p>
      <w:r>
        <w:rPr>
          <w:b/>
          <w:sz w:val="19"/>
        </w:rPr>
        <w:t xml:space="preserve">Übertragbarkeit: </w:t>
      </w:r>
      <w:r>
        <w:rPr>
          <w:sz w:val="19"/>
        </w:rPr>
        <w:t>Spanien, Spanisch-Sprachraum; Sprach- und Kulturanpassung essentiell für Verständlichkeit.</w:t>
      </w:r>
    </w:p>
    <w:p>
      <w:r>
        <w:rPr>
          <w:color w:val="5A7D3A"/>
          <w:sz w:val="18"/>
        </w:rPr>
        <w:t>https://pubmed.ncbi.nlm.nih.gov/42803363/</w:t>
      </w:r>
    </w:p>
    <w:p>
      <w:pPr>
        <w:pStyle w:val="Heading2"/>
      </w:pPr>
      <w:r>
        <w:t>Patientensteuerung in der GKV: Systemdesign statt moralischer Appell</w:t>
      </w:r>
    </w:p>
    <w:p>
      <w:r>
        <w:rPr>
          <w:i/>
          <w:color w:val="666666"/>
          <w:sz w:val="18"/>
        </w:rPr>
        <w:t>Beivers A et al.  ·  Bundesgesundheitsblatt Gesundheitsforschung Gesundheitsschutz  ·  08.09.2026  ·  PMID 42709071</w:t>
      </w:r>
    </w:p>
    <w:p>
      <w:r>
        <w:t>Deutsches Diskussionspapier zur Frage, wie ein Primärarztsystem durch Patientenmanagement und redefinierte Eigenverantwortung die GKV-Effizienz stärken könnte.</w:t>
      </w:r>
    </w:p>
    <w:p>
      <w:r>
        <w:rPr>
          <w:b/>
        </w:rPr>
        <w:t xml:space="preserve">Ergebnis: </w:t>
      </w:r>
      <w:r>
        <w:t>Empfehlung: Bonusprogramme nach Loyalitätsmuster können Patientensteuerung wirksam, akzeptiert und sozial ausgewogen gestalten. Kernaussage: Patientensteuerung ist Systemdesign, nicht Disziplin – moderne Eigenverantwortung stärkt Wirtschaftlichkeit und Solidarität gleichermaßen.</w:t>
      </w:r>
    </w:p>
    <w:p>
      <w:r>
        <w:rPr>
          <w:b/>
          <w:sz w:val="19"/>
        </w:rPr>
        <w:t xml:space="preserve">Übertragbarkeit: </w:t>
      </w:r>
      <w:r>
        <w:rPr>
          <w:sz w:val="19"/>
        </w:rPr>
        <w:t>Deutschland, GKV-System; direkt auf deutsche Krankenversicherungsreform übertragbar.</w:t>
      </w:r>
    </w:p>
    <w:p>
      <w:r>
        <w:rPr>
          <w:color w:val="5A7D3A"/>
          <w:sz w:val="18"/>
        </w:rPr>
        <w:t>https://pubmed.ncbi.nlm.nih.gov/42709071/</w:t>
      </w:r>
    </w:p>
    <w:p>
      <w:pPr>
        <w:pStyle w:val="Heading1"/>
      </w:pPr>
      <w:r>
        <w:t>Aufgenommen am 02.10.2026</w:t>
      </w:r>
    </w:p>
    <w:p>
      <w:pPr>
        <w:pStyle w:val="Heading2"/>
      </w:pPr>
      <w:r>
        <w:t>Gesundheitskompetenz fördert aktives Altern bei älteren Erwachsenen</w:t>
      </w:r>
    </w:p>
    <w:p>
      <w:r>
        <w:rPr>
          <w:i/>
          <w:color w:val="666666"/>
          <w:sz w:val="18"/>
        </w:rPr>
        <w:t>Akdeniz Ş et al.  ·  BMC Geriatr  ·  29.09.2026  ·  PMID 42816844</w:t>
      </w:r>
    </w:p>
    <w:p>
      <w:r>
        <w:t>Querschnittstudie an 306 älteren Erwachsenen (≥65 Jahre), die die Beziehung zwischen Health Literacy, aktivem Altern und erfolgreichem Altern untersuchte.</w:t>
      </w:r>
    </w:p>
    <w:p>
      <w:r>
        <w:rPr>
          <w:b/>
        </w:rPr>
        <w:t xml:space="preserve">Ergebnis: </w:t>
      </w:r>
      <w:r>
        <w:t>Health Literacy erklärte 56,4 % der Varianz aktiven Alterns (R² = 0,564, p &lt; 0,05). Signifikante positive Korrelationen zwischen Health Literacy und beiden Aging-Dimensionen (p &lt; 0,01). Prädiktoren: Alter, mentale Aktivität und Gesundheitskompetenz (p &lt; 0,05).</w:t>
      </w:r>
    </w:p>
    <w:p>
      <w:r>
        <w:rPr>
          <w:b/>
          <w:sz w:val="19"/>
        </w:rPr>
        <w:t xml:space="preserve">Übertragbarkeit: </w:t>
      </w:r>
      <w:r>
        <w:rPr>
          <w:sz w:val="19"/>
        </w:rPr>
        <w:t>Türkei, aber Messmodell übertragbar auf deutsches Gesundheitswesen</w:t>
      </w:r>
    </w:p>
    <w:p>
      <w:r>
        <w:rPr>
          <w:color w:val="5A7D3A"/>
          <w:sz w:val="18"/>
        </w:rPr>
        <w:t>https://pubmed.ncbi.nlm.nih.gov/42816844/</w:t>
      </w:r>
    </w:p>
    <w:p>
      <w:pPr>
        <w:pStyle w:val="Heading2"/>
      </w:pPr>
      <w:r>
        <w:t>Ernährungskompetenz bei Grundschülern niedrig: Handlungsbedarf in der Schulgesundheit</w:t>
      </w:r>
    </w:p>
    <w:p>
      <w:r>
        <w:rPr>
          <w:i/>
          <w:color w:val="666666"/>
          <w:sz w:val="18"/>
        </w:rPr>
        <w:t>Lan Y et al.  ·  Front Public Health  ·  15.09.2026  ·  PMID 42812397</w:t>
      </w:r>
    </w:p>
    <w:p>
      <w:r>
        <w:t>Querschnittstudie an 1.420 Viertklässlern und Fünftklässlern in Chongqing zu Ernährungskompetenz (Nutrition Literacy) und assoziierten Faktoren.</w:t>
      </w:r>
    </w:p>
    <w:p>
      <w:r>
        <w:rPr>
          <w:b/>
        </w:rPr>
        <w:t xml:space="preserve">Ergebnis: </w:t>
      </w:r>
      <w:r>
        <w:t>Durchschnittliche Ernährungskompetenz-Score: 65,47 ± 9,79 (insgesamt niedrig). Signifikant höhere Scores bei: höherem Alter, weiblichem Geschlecht, städtischem Wohnort, höherer Bildung der Bezugsperson (alle p &lt; 0,05). Mahlzeitendokumentation (+4,18 Punkte; 95%-KI: 2,84–5,51) und Essenzubereitung (+2,07 Punkte) positiv assoziiert.</w:t>
      </w:r>
    </w:p>
    <w:p>
      <w:r>
        <w:rPr>
          <w:b/>
          <w:sz w:val="19"/>
        </w:rPr>
        <w:t xml:space="preserve">Übertragbarkeit: </w:t>
      </w:r>
      <w:r>
        <w:rPr>
          <w:sz w:val="19"/>
        </w:rPr>
        <w:t>China, aber Befund zu sozioökonomischen Unterschieden in Gesundheitskompetenz übertragbar</w:t>
      </w:r>
    </w:p>
    <w:p>
      <w:r>
        <w:rPr>
          <w:color w:val="5A7D3A"/>
          <w:sz w:val="18"/>
        </w:rPr>
        <w:t>https://pubmed.ncbi.nlm.nih.gov/42812397/</w:t>
      </w:r>
    </w:p>
    <w:p>
      <w:pPr>
        <w:pStyle w:val="Heading2"/>
      </w:pPr>
      <w:r>
        <w:t>Polnische Validierung eines mehrdimensionalen Health-Literacy-Fragebogens</w:t>
      </w:r>
    </w:p>
    <w:p>
      <w:r>
        <w:rPr>
          <w:i/>
          <w:color w:val="666666"/>
          <w:sz w:val="18"/>
        </w:rPr>
        <w:t>Lipiak A et al.  ·  Medicina (Kaunas)  ·  18.09.2026  ·  PMID 42796406</w:t>
      </w:r>
    </w:p>
    <w:p>
      <w:r>
        <w:t>Psychometrische Validierung der neun-faktoriellen Health Literacy Questionnaire (HLQ) an 918 Gesundheitsfachstudierenden in Polen mit konfirmatorischer Faktorenanalyse.</w:t>
      </w:r>
    </w:p>
    <w:p>
      <w:r>
        <w:rPr>
          <w:b/>
        </w:rPr>
        <w:t xml:space="preserve">Ergebnis: </w:t>
      </w:r>
      <w:r>
        <w:t>Neun-Faktor-Modell zeigte gute Anpassungsgüte (CFI = 0,973; TLI = 0,970; RMSEA = 0,035). Interne Konsistenz: 8 von 9 Skalen gut bis akzeptabel (Cronbach's α ≥ 0,70); eine Skala unter Schwelle (Cronbach's α = 0,69).</w:t>
      </w:r>
    </w:p>
    <w:p>
      <w:r>
        <w:rPr>
          <w:b/>
          <w:sz w:val="19"/>
        </w:rPr>
        <w:t xml:space="preserve">Übertragbarkeit: </w:t>
      </w:r>
      <w:r>
        <w:rPr>
          <w:sz w:val="19"/>
        </w:rPr>
        <w:t>Polen/Osteuropa, HLQ wird mehrsprachig validiert, Instrument selbst systemunabhängig</w:t>
      </w:r>
    </w:p>
    <w:p>
      <w:r>
        <w:rPr>
          <w:color w:val="5A7D3A"/>
          <w:sz w:val="18"/>
        </w:rPr>
        <w:t>https://pubmed.ncbi.nlm.nih.gov/42796406/</w:t>
      </w:r>
    </w:p>
    <w:p>
      <w:pPr>
        <w:pStyle w:val="Heading2"/>
      </w:pPr>
      <w:r>
        <w:t>Ernährungskompetenz in der Onkologie bessert Verhalten und Lebensqualität</w:t>
      </w:r>
    </w:p>
    <w:p>
      <w:r>
        <w:rPr>
          <w:i/>
          <w:color w:val="666666"/>
          <w:sz w:val="18"/>
        </w:rPr>
        <w:t>Monaci M et al.  ·  Nutr Cancer  ·  24.09.2026  ·  PMID 42784715</w:t>
      </w:r>
    </w:p>
    <w:p>
      <w:r>
        <w:t>Systematischer Review: 19 Studien (2013–2025) zu Ernährungs- und Lebensmittelkompetenz bei krebskranken Erwachsenen und Assoziation mit klinischen und Verhaltensergebnissen.</w:t>
      </w:r>
    </w:p>
    <w:p>
      <w:r>
        <w:rPr>
          <w:b/>
        </w:rPr>
        <w:t xml:space="preserve">Ergebnis: </w:t>
      </w:r>
      <w:r>
        <w:t>Höhere Ernährungskompetenz konsistent assoziiert mit: besseren Ernährungsverhalten, verbesserter Diätqualität, besserer Ernährungsstatus und höherer Lebensqualität sowie gestärktem Selbstmanagement. Interventionsstudien: Alphabetisierungs-fokussierte Ernährungsedukation reduzierte therapiebezogene Symptome und psychosoziale Belastung; begrenzte Evidenz für reduzierte Inanspruchnahme.</w:t>
      </w:r>
    </w:p>
    <w:p>
      <w:r>
        <w:rPr>
          <w:b/>
          <w:sz w:val="19"/>
        </w:rPr>
        <w:t xml:space="preserve">Übertragbarkeit: </w:t>
      </w:r>
      <w:r>
        <w:rPr>
          <w:sz w:val="19"/>
        </w:rPr>
        <w:t>Mehrheitlich europäische und nordamerikanische Studien, Konzept direkt auf deutsche Krebszentren übertragbar</w:t>
      </w:r>
    </w:p>
    <w:p>
      <w:r>
        <w:rPr>
          <w:color w:val="5A7D3A"/>
          <w:sz w:val="18"/>
        </w:rPr>
        <w:t>https://pubmed.ncbi.nlm.nih.gov/42784715/</w:t>
      </w:r>
    </w:p>
    <w:p>
      <w:pPr>
        <w:pStyle w:val="Heading2"/>
      </w:pPr>
      <w:r>
        <w:t>Patienten als Forschungspartner: Kokreation in der Entzündungsmyopathie-Forschung</w:t>
      </w:r>
    </w:p>
    <w:p>
      <w:r>
        <w:rPr>
          <w:i/>
          <w:color w:val="666666"/>
          <w:sz w:val="18"/>
        </w:rPr>
        <w:t>Cheng K et al.  ·  Curr Opin Rheumatol  ·  01.11.2026  ·  PMID 42682164</w:t>
      </w:r>
    </w:p>
    <w:p>
      <w:r>
        <w:t>Narrative Review zum Stand der Patient Research Partner (PRP) Integration in Myositis-Forschung und kritische Analyse bestehender Beteiligungsmodelle.</w:t>
      </w:r>
    </w:p>
    <w:p>
      <w:r>
        <w:rPr>
          <w:b/>
        </w:rPr>
        <w:t xml:space="preserve">Ergebnis: </w:t>
      </w:r>
      <w:r>
        <w:t>Kernbefund: Frühe Integration von Patienten als Co-Leader verbessert Relevanz, Machbarkeit und Impact von Forschung; aktuelle Integration bleibt weltweit inkonsistent. Bestehende Ressourcen vorhanden, aber wirkliche PRP-Integration erfordert kulturellen Wandel und dedizierte Ressourcen.</w:t>
      </w:r>
    </w:p>
    <w:p>
      <w:r>
        <w:rPr>
          <w:b/>
          <w:sz w:val="19"/>
        </w:rPr>
        <w:t xml:space="preserve">Übertragbarkeit: </w:t>
      </w:r>
      <w:r>
        <w:rPr>
          <w:sz w:val="19"/>
        </w:rPr>
        <w:t>Europäische Patient-Advocacy-Strukturen, EULAR-Rahmen direkt anwendbar</w:t>
      </w:r>
    </w:p>
    <w:p>
      <w:r>
        <w:rPr>
          <w:color w:val="5A7D3A"/>
          <w:sz w:val="18"/>
        </w:rPr>
        <w:t>https://pubmed.ncbi.nlm.nih.gov/42682164/</w:t>
      </w:r>
    </w:p>
    <w:p>
      <w:pPr>
        <w:pStyle w:val="Heading2"/>
      </w:pPr>
      <w:r>
        <w:t>eHealth-Kompetenz in Amharisch validiert: Erster Test in subsaharischem Afrika</w:t>
      </w:r>
    </w:p>
    <w:p>
      <w:r>
        <w:rPr>
          <w:i/>
          <w:color w:val="666666"/>
          <w:sz w:val="18"/>
        </w:rPr>
        <w:t>Meng G et al.  ·  J Med Internet Res  ·  16.07.2026  ·  PMID 42462181</w:t>
      </w:r>
    </w:p>
    <w:p>
      <w:r>
        <w:t>Psychometrische Validierung der sieben-faktoriellen eHealth Literacy Questionnaire (eHLQ) ins Amharische an 300 Patienten in Äthiopien mit Internetmobilität.</w:t>
      </w:r>
    </w:p>
    <w:p>
      <w:r>
        <w:rPr>
          <w:b/>
        </w:rPr>
        <w:t xml:space="preserve">Ergebnis: </w:t>
      </w:r>
      <w:r>
        <w:t>Akzeptable bis gute interne Konsistenz (Cronbach's α = 0,72–0,91, außer Skala 4: α = 0,62). Sieben-Faktor-Modell gutes Fit (CFI = 0,97; TLI = 0,97; SRMR = 0,07). Konvergente Validität: starke Korrelationen Skalen 1–3 mit eHEALS (r = 0,69–0,74).</w:t>
      </w:r>
    </w:p>
    <w:p>
      <w:r>
        <w:rPr>
          <w:b/>
          <w:sz w:val="19"/>
        </w:rPr>
        <w:t xml:space="preserve">Übertragbarkeit: </w:t>
      </w:r>
      <w:r>
        <w:rPr>
          <w:sz w:val="19"/>
        </w:rPr>
        <w:t>Äthiopien, Low-Income-Setting, eHLQ-Instrument kulturübergreifend, aber Internetprävalenz-Voraussetzung relevant</w:t>
      </w:r>
    </w:p>
    <w:p>
      <w:r>
        <w:rPr>
          <w:color w:val="5A7D3A"/>
          <w:sz w:val="18"/>
        </w:rPr>
        <w:t>https://pubmed.ncbi.nlm.nih.gov/42462181/</w:t>
      </w:r>
    </w:p>
    <w:p>
      <w:pPr>
        <w:pStyle w:val="Heading1"/>
      </w:pPr>
      <w:r>
        <w:t>Aufgenommen am 01.10.2026</w:t>
      </w:r>
    </w:p>
    <w:p>
      <w:pPr>
        <w:pStyle w:val="Heading2"/>
      </w:pPr>
      <w:r>
        <w:t>Digitale Glukose-Überwachung: Höheres Engagement senkt HbA1c stärker ab</w:t>
      </w:r>
    </w:p>
    <w:p>
      <w:r>
        <w:rPr>
          <w:i/>
          <w:color w:val="666666"/>
          <w:sz w:val="18"/>
        </w:rPr>
        <w:t>Huang Y et al.  ·  JMIR Form Res  ·  30.09.2026  ·  PMID 42814765</w:t>
      </w:r>
    </w:p>
    <w:p>
      <w:r>
        <w:t>Retrospektive Kohortenstudie mit 1.436 Patienten mit Typ-2-Diabetes in einem integrierten Telemedizin-Programm zur Dosis-Wirkungs-Beziehung zwischen Monitoring-Häufigkeit und Blutzuckerkontrolle.</w:t>
      </w:r>
    </w:p>
    <w:p>
      <w:r>
        <w:rPr>
          <w:b/>
        </w:rPr>
        <w:t xml:space="preserve">Ergebnis: </w:t>
      </w:r>
      <w:r>
        <w:t>Dosisabhängiger Effekt: Für jede zusätzliche wöchentliche Messung sank HbA1c um 0,05 Prozentpunkte (95% KI 0,03–0,07, p&lt;0,001). Bei hohem Engagement (12,59 Messungen/Woche) reduzierte sich HbA1c um 1,01 Punkte vs. 0,38 bei niedrigem Engagement (2,55 Messungen/Woche).</w:t>
      </w:r>
    </w:p>
    <w:p>
      <w:r>
        <w:rPr>
          <w:b/>
          <w:sz w:val="19"/>
        </w:rPr>
        <w:t xml:space="preserve">Übertragbarkeit: </w:t>
      </w:r>
      <w:r>
        <w:rPr>
          <w:sz w:val="19"/>
        </w:rPr>
        <w:t>USA-Studie, Engagement-Effekt unabhängig von Gesundheitssystem übertragbar</w:t>
      </w:r>
    </w:p>
    <w:p>
      <w:r>
        <w:rPr>
          <w:color w:val="5A7D3A"/>
          <w:sz w:val="18"/>
        </w:rPr>
        <w:t>https://pubmed.ncbi.nlm.nih.gov/42814765/</w:t>
      </w:r>
    </w:p>
    <w:p>
      <w:pPr>
        <w:pStyle w:val="Heading2"/>
      </w:pPr>
      <w:r>
        <w:t>Strukturierte Fragen erhöhen Patientenerinnerung im Operationsgespräch deutlich</w:t>
      </w:r>
    </w:p>
    <w:p>
      <w:r>
        <w:rPr>
          <w:i/>
          <w:color w:val="666666"/>
          <w:sz w:val="18"/>
        </w:rPr>
        <w:t>Herath M et al.  ·  BJS Open  ·  04.09.2026  ·  PMID 42814592</w:t>
      </w:r>
    </w:p>
    <w:p>
      <w:r>
        <w:t>Randomisierte kontrollierte Studie mit 143 Patienten zur Wirkung eines Arbeitsblatts mit vorbereiteten Fragen auf das Verständnis und die Erinnerung an Informationen in der chirurgischen Sprechstunde.</w:t>
      </w:r>
    </w:p>
    <w:p>
      <w:r>
        <w:rPr>
          <w:b/>
        </w:rPr>
        <w:t xml:space="preserve">Ergebnis: </w:t>
      </w:r>
      <w:r>
        <w:t>Patienten mit POWER-Formular erreichten 88% Erinnerungsquote (95% KI 83–92) vs. 31% (26–35) in der Kontrolle (p&lt;0,001). Diese einfache Maßnahme zur strukturierten Patientenbeteiligung verdreifachte nachweislich die Informationsverarbeitung.</w:t>
      </w:r>
    </w:p>
    <w:p>
      <w:r>
        <w:rPr>
          <w:b/>
          <w:sz w:val="19"/>
        </w:rPr>
        <w:t xml:space="preserve">Übertragbarkeit: </w:t>
      </w:r>
      <w:r>
        <w:rPr>
          <w:sz w:val="19"/>
        </w:rPr>
        <w:t>Australien, übertragbar auf deutsches Krankenhaus- und Praxissystem ohne Sprachbarrieren</w:t>
      </w:r>
    </w:p>
    <w:p>
      <w:r>
        <w:rPr>
          <w:color w:val="5A7D3A"/>
          <w:sz w:val="18"/>
        </w:rPr>
        <w:t>https://pubmed.ncbi.nlm.nih.gov/42814592/</w:t>
      </w:r>
    </w:p>
    <w:p>
      <w:pPr>
        <w:pStyle w:val="Heading2"/>
      </w:pPr>
      <w:r>
        <w:t>Fast die Hälfte der Krebspfleger haben zu niedrige Gesundheitskompetenz</w:t>
      </w:r>
    </w:p>
    <w:p>
      <w:r>
        <w:rPr>
          <w:i/>
          <w:color w:val="666666"/>
          <w:sz w:val="18"/>
        </w:rPr>
        <w:t>Meng F et al.  ·  Front Public Health  ·  15.09.2026  ·  PMID 42812369</w:t>
      </w:r>
    </w:p>
    <w:p>
      <w:r>
        <w:t>Querschnittstudie mit 287 Angehörigen von Krebspatienten zur Gesundheitskompetenz von Familien-Pflegepersonen und ihren Einflussfaktoren mittels latenter Profilanalyse.</w:t>
      </w:r>
    </w:p>
    <w:p>
      <w:r>
        <w:rPr>
          <w:b/>
        </w:rPr>
        <w:t xml:space="preserve">Ergebnis: </w:t>
      </w:r>
      <w:r>
        <w:t>49,8% der Pfleger zeigten niedrige, 25,4% mittlere und 24,7% hohe Gesundheitskompetenz. Schwächste Dimension: "Verarbeitung von Gesundheitsinformation" (Median 12 von max. Punktzahl). Prädiktoren: höheres Alter (OR 9,4), höhere Bildung (OR 0,50) und Berufstätigkeit (OR 0,12) waren signifikant assoziiert.</w:t>
      </w:r>
    </w:p>
    <w:p>
      <w:r>
        <w:rPr>
          <w:b/>
          <w:sz w:val="19"/>
        </w:rPr>
        <w:t xml:space="preserve">Übertragbarkeit: </w:t>
      </w:r>
      <w:r>
        <w:rPr>
          <w:sz w:val="19"/>
        </w:rPr>
        <w:t>China-Studie, Befunde zu Pflegerkompetenz-Defiziten international relevant</w:t>
      </w:r>
    </w:p>
    <w:p>
      <w:r>
        <w:rPr>
          <w:color w:val="5A7D3A"/>
          <w:sz w:val="18"/>
        </w:rPr>
        <w:t>https://pubmed.ncbi.nlm.nih.gov/42812369/</w:t>
      </w:r>
    </w:p>
    <w:p>
      <w:pPr>
        <w:pStyle w:val="Heading2"/>
      </w:pPr>
      <w:r>
        <w:t>Junge Erwachsene verstehen Zusammenhang zwischen STI und Fertilität nicht</w:t>
      </w:r>
    </w:p>
    <w:p>
      <w:r>
        <w:rPr>
          <w:i/>
          <w:color w:val="666666"/>
          <w:sz w:val="18"/>
        </w:rPr>
        <w:t>Romane N et al.  ·  SAHARA J  ·  28.09.2026  ·  PMID 42802983</w:t>
      </w:r>
    </w:p>
    <w:p>
      <w:r>
        <w:t>Qualitative Studie mit 17 Interviews junger Erwachsener (18–24 Jahre) zur Gesundheitskompetenz bei sexuellen Infektionen und deren Folgen für Fortpflanzung in Südafrika.</w:t>
      </w:r>
    </w:p>
    <w:p>
      <w:r>
        <w:rPr>
          <w:b/>
        </w:rPr>
        <w:t xml:space="preserve">Ergebnis: </w:t>
      </w:r>
      <w:r>
        <w:t>Zentrale Befunde: Große Wissenslücken zur Verbindung zwischen STI und Unfruchtbarkeit; fehlende Krankheitsbewusstsein; eingeschränkte Nutzung von Gesundheitsdiensten wegen mangelndem Verständnis von Risiken. Empfehlung: Maßgeschneiderte Gesundheitserziehung mit lokalem Bezug zu sexuellem und reproduktivem Verhalten.</w:t>
      </w:r>
    </w:p>
    <w:p>
      <w:r>
        <w:rPr>
          <w:b/>
          <w:sz w:val="19"/>
        </w:rPr>
        <w:t xml:space="preserve">Übertragbarkeit: </w:t>
      </w:r>
      <w:r>
        <w:rPr>
          <w:sz w:val="19"/>
        </w:rPr>
        <w:t>Südafrika, Evidenz für Ungleichheit in der Gesundheitskompetenz bei jungen Menschen</w:t>
      </w:r>
    </w:p>
    <w:p>
      <w:r>
        <w:rPr>
          <w:color w:val="5A7D3A"/>
          <w:sz w:val="18"/>
        </w:rPr>
        <w:t>https://pubmed.ncbi.nlm.nih.gov/42802983/</w:t>
      </w:r>
    </w:p>
    <w:p>
      <w:pPr>
        <w:pStyle w:val="Heading2"/>
      </w:pPr>
      <w:r>
        <w:t>Glaukom-Patienten in Deutschland fühlen sich unzureichend aufgeklärt</w:t>
      </w:r>
    </w:p>
    <w:p>
      <w:r>
        <w:rPr>
          <w:i/>
          <w:color w:val="666666"/>
          <w:sz w:val="18"/>
        </w:rPr>
        <w:t>Joachim SC et al.  ·  Ophthalmologie  ·  15.07.2026  ·  PMID 42455350</w:t>
      </w:r>
    </w:p>
    <w:p>
      <w:r>
        <w:t>Querschnittsumfrage mit 334 Glaukom-Patienten zur Aufklärungsqualität über Erkrankung, Therapieoptionen und Nebenwirkungen durch Augenfachleute.</w:t>
      </w:r>
    </w:p>
    <w:p>
      <w:r>
        <w:rPr>
          <w:b/>
        </w:rPr>
        <w:t xml:space="preserve">Ergebnis: </w:t>
      </w:r>
      <w:r>
        <w:t>Nur 15,5% der Patienten fühlten sich sehr gut aufgeklärt, 40,1% unzureichend. Informationslücken zu Tropfen, Nebenwirkungen und Behandlungsoptionen waren verbreitet; 89,5% wussten aber wie man Tropfen anwendet, nur ca. 50% konnten Therapieänderungen mit dem Arzt besprechen.</w:t>
      </w:r>
    </w:p>
    <w:p>
      <w:r>
        <w:rPr>
          <w:b/>
          <w:sz w:val="19"/>
        </w:rPr>
        <w:t xml:space="preserve">Übertragbarkeit: </w:t>
      </w:r>
      <w:r>
        <w:rPr>
          <w:sz w:val="19"/>
        </w:rPr>
        <w:t>Deutsche Klinikdaten mit direkter Relevanz für Patientenedukation vor Ort</w:t>
      </w:r>
    </w:p>
    <w:p>
      <w:r>
        <w:rPr>
          <w:color w:val="5A7D3A"/>
          <w:sz w:val="18"/>
        </w:rPr>
        <w:t>https://pubmed.ncbi.nlm.nih.gov/42455350/</w:t>
      </w:r>
    </w:p>
    <w:p>
      <w:pPr>
        <w:pStyle w:val="Heading1"/>
      </w:pPr>
      <w:r>
        <w:t>Aufgenommen am 30.09.2026</w:t>
      </w:r>
    </w:p>
    <w:p>
      <w:pPr>
        <w:pStyle w:val="Heading2"/>
      </w:pPr>
      <w:r>
        <w:t>Digitale Unterstützung für Herzinsuffizienz-Selbstmanagement: Evidenzsynthese</w:t>
      </w:r>
    </w:p>
    <w:p>
      <w:r>
        <w:rPr>
          <w:i/>
          <w:color w:val="666666"/>
          <w:sz w:val="18"/>
        </w:rPr>
        <w:t>Dong H et al.  ·  Front Public Health  ·  14.09.2026  ·  PMID 42807594</w:t>
      </w:r>
    </w:p>
    <w:p>
      <w:r>
        <w:t>Narrative Best-Evidence-Synthese von 27 Review-Quellen zur Wirksamkeit digital gestützter Edukation und Selbstmanagement bei Herzinsuffizienz-Patienten.</w:t>
      </w:r>
    </w:p>
    <w:p>
      <w:r>
        <w:rPr>
          <w:b/>
        </w:rPr>
        <w:t xml:space="preserve">Ergebnis: </w:t>
      </w:r>
      <w:r>
        <w:t>Digitale Edukation und Selbstmanagement können routinemäßige Herzinsuffizienz-Versorgung ergänzen, besonders wenn mit strukturiertem klinischem Feedback, klarer Verantwortungszuordnung und Eskalationspfaden verbunden. 27 praxisorientierte Statements in drei Ebenen entwickelt (essenzielle Kernkomponenten, bedingte Implementierungskomponenten, aufkommende Aussagen). Evidenz variiert erheblich in Qualität, Direktheit und Interventionstyp; methodische Limitationen und Heterogenität erfordern bedingte Interpretation.</w:t>
      </w:r>
    </w:p>
    <w:p>
      <w:r>
        <w:rPr>
          <w:b/>
          <w:sz w:val="19"/>
        </w:rPr>
        <w:t xml:space="preserve">Übertragbarkeit: </w:t>
      </w:r>
      <w:r>
        <w:rPr>
          <w:sz w:val="19"/>
        </w:rPr>
        <w:t>Synthese mit internationaler Evidenz, Konzepte auf deutsches Versorgungssystem übertragbar.</w:t>
      </w:r>
    </w:p>
    <w:p>
      <w:r>
        <w:rPr>
          <w:color w:val="5A7D3A"/>
          <w:sz w:val="18"/>
        </w:rPr>
        <w:t>https://pubmed.ncbi.nlm.nih.gov/42807594/</w:t>
      </w:r>
    </w:p>
    <w:p>
      <w:pPr>
        <w:pStyle w:val="Heading2"/>
      </w:pPr>
      <w:r>
        <w:t>Ernährungskompetenz und Gesundheitsverhalten bei Magengeschwüren</w:t>
      </w:r>
    </w:p>
    <w:p>
      <w:r>
        <w:rPr>
          <w:i/>
          <w:color w:val="666666"/>
          <w:sz w:val="18"/>
        </w:rPr>
        <w:t>Wu Z et al.  ·  Front Public Health  ·  14.09.2026  ·  PMID 42807539</w:t>
      </w:r>
    </w:p>
    <w:p>
      <w:r>
        <w:t>Querschnittstudie mit 418 Patienten mit Magengeschwüren zu Assoziationen zwischen Food and Nutrition Literacy, Ernährungsbewusstsein und proaktivem Gesundheitsverhalten; latente Klassenanalyse identifizierte vier Literatur-Subgruppen.</w:t>
      </w:r>
    </w:p>
    <w:p>
      <w:r>
        <w:rPr>
          <w:b/>
        </w:rPr>
        <w:t xml:space="preserve">Ergebnis: </w:t>
      </w:r>
      <w:r>
        <w:t>Food and Nutrition Literacy, Ernährungsbewusstsein und proaktives Gesundheitsverhalten waren signifikant und positiv korreliert (r &gt; 0,30, p &lt; 0,001). Bootstrap-Analyse zeigte, dass Ernährungsbewusstsein eine signifikante teilmediierende Rolle spielte (indirekter Effekt nachweisbar). Latente Klassenanalyse identifizierte vier Gruppen (niedrig bis hoch nach Ernährungskompetenz) mit signifikanten Unterschieden im Gesundheitsverhalten (ANOVA, p &lt; 0,05).</w:t>
      </w:r>
    </w:p>
    <w:p>
      <w:r>
        <w:rPr>
          <w:b/>
          <w:sz w:val="19"/>
        </w:rPr>
        <w:t xml:space="preserve">Übertragbarkeit: </w:t>
      </w:r>
      <w:r>
        <w:rPr>
          <w:sz w:val="19"/>
        </w:rPr>
        <w:t>China, aber Konzept der schichtbasierten Interventionen übertragbar.</w:t>
      </w:r>
    </w:p>
    <w:p>
      <w:r>
        <w:rPr>
          <w:color w:val="5A7D3A"/>
          <w:sz w:val="18"/>
        </w:rPr>
        <w:t>https://pubmed.ncbi.nlm.nih.gov/42807539/</w:t>
      </w:r>
    </w:p>
    <w:p>
      <w:pPr>
        <w:pStyle w:val="Heading2"/>
      </w:pPr>
      <w:r>
        <w:t>Navigational Health Literacy und soziale Ungleichheit bei Inanspruchnahme von Versorgung</w:t>
      </w:r>
    </w:p>
    <w:p>
      <w:r>
        <w:rPr>
          <w:i/>
          <w:color w:val="666666"/>
          <w:sz w:val="18"/>
        </w:rPr>
        <w:t>Ulrich TW et al.  ·  Int J Public Health  ·  14.09.2026  ·  PMID 42807278</w:t>
      </w:r>
    </w:p>
    <w:p>
      <w:r>
        <w:t>Bevölkerungsumfrage unter 2.201 erwachsenen Deutschen zur Assoziation von Navigational Health Literacy mit unerfüllten Versorgungsbedarfen und sozialen Disparitäten.</w:t>
      </w:r>
    </w:p>
    <w:p>
      <w:r>
        <w:rPr>
          <w:b/>
        </w:rPr>
        <w:t xml:space="preserve">Ergebnis: </w:t>
      </w:r>
      <w:r>
        <w:t>70 % der Teilnehmenden zeigten unzureichende navigational health literacy. Bessere Navigational Health Literacy war mit niedrigerer Prävalenz unerfüllter Bedarfe assoziiert (Poisson-Regression), aber diese Assoziation reduzierte die Disparitäten zwischen Einkommens- und Versichertengruppen nicht wesentlich. Unerfüllte Bedarfe blieben nach Hinzunahme der Navigational-Health-Literacy-Variable in der Analyse bei sozial benachteiligten Gruppen überrepräsentiert.</w:t>
      </w:r>
    </w:p>
    <w:p>
      <w:r>
        <w:rPr>
          <w:b/>
          <w:sz w:val="19"/>
        </w:rPr>
        <w:t xml:space="preserve">Übertragbarkeit: </w:t>
      </w:r>
      <w:r>
        <w:rPr>
          <w:sz w:val="19"/>
        </w:rPr>
        <w:t>Deutsche Stichprobe mit gesetzlicher Krankenversicherung, direkt anwendbar.</w:t>
      </w:r>
    </w:p>
    <w:p>
      <w:r>
        <w:rPr>
          <w:color w:val="5A7D3A"/>
          <w:sz w:val="18"/>
        </w:rPr>
        <w:t>https://pubmed.ncbi.nlm.nih.gov/42807278/</w:t>
      </w:r>
    </w:p>
    <w:p>
      <w:pPr>
        <w:pStyle w:val="Heading2"/>
      </w:pPr>
      <w:r>
        <w:t>Schnelles Messinstrument für Gesundheitskompetenz von Schülern</w:t>
      </w:r>
    </w:p>
    <w:p>
      <w:r>
        <w:rPr>
          <w:i/>
          <w:color w:val="666666"/>
          <w:sz w:val="18"/>
        </w:rPr>
        <w:t>Guo J et al.  ·  Health Promot Int  ·  01.09.2026  ·  PMID 42802103</w:t>
      </w:r>
    </w:p>
    <w:p>
      <w:r>
        <w:t>Entwicklung und psychometrische Validierung eines altersgerechten, theoriegestützten Fragebogens (CRHLQ-PS) zur Erfassung von Health Literacy bei 7.113 Schülern in vier chinesischen Regionen.</w:t>
      </w:r>
    </w:p>
    <w:p>
      <w:r>
        <w:rPr>
          <w:b/>
        </w:rPr>
        <w:t xml:space="preserve">Ergebnis: </w:t>
      </w:r>
      <w:r>
        <w:t>Vier altersgerechte Fassungen (Klassen 1–2: 39 Items; 3–4: 40 Items; 5–6: 52 Items; Klassenstufe 7–9: 58 Items) mit sieben Domänen (Hygiene, Ernährung, Bewegung, Sicherheit, Prävention, psychosoziale Anpassung, digitale Gesundheit). Rasch-Analyse zeigte gute Modell-Daten-Anpassung, hohe Item-Reliabilität. Instrument zeigt stark unidimensionale Struktur mit angemessener Zielgenauigkeit, wirkt auf aktuelle Stichprobe aber relativ leicht.</w:t>
      </w:r>
    </w:p>
    <w:p>
      <w:r>
        <w:rPr>
          <w:b/>
          <w:sz w:val="19"/>
        </w:rPr>
        <w:t xml:space="preserve">Übertragbarkeit: </w:t>
      </w:r>
      <w:r>
        <w:rPr>
          <w:sz w:val="19"/>
        </w:rPr>
        <w:t>Neue Länder benötigen Validierung; Konzept des altersgerechten Aufbaus übertragbar.</w:t>
      </w:r>
    </w:p>
    <w:p>
      <w:r>
        <w:rPr>
          <w:color w:val="5A7D3A"/>
          <w:sz w:val="18"/>
        </w:rPr>
        <w:t>https://pubmed.ncbi.nlm.nih.gov/42802103/</w:t>
      </w:r>
    </w:p>
    <w:p>
      <w:pPr>
        <w:pStyle w:val="Heading2"/>
      </w:pPr>
      <w:r>
        <w:t>Patientenautonomie durch Steuerungsmechanismen – kein Widerspruch</w:t>
      </w:r>
    </w:p>
    <w:p>
      <w:r>
        <w:rPr>
          <w:i/>
          <w:color w:val="666666"/>
          <w:sz w:val="18"/>
        </w:rPr>
        <w:t>Weis A et al.  ·  Bundesgesundheitsblatt Gesundheitsforschung Gesundheitsschutz  ·  21.09.2026  ·  PMID 42766153</w:t>
      </w:r>
    </w:p>
    <w:p>
      <w:r>
        <w:t>Ethische Analyse, ob Patient Management in Konflikt mit Patientenautonomie steht, mit Überprüfung anhand empirischer Befunde und Formulierung von Bewertungskriterien.</w:t>
      </w:r>
    </w:p>
    <w:p>
      <w:r>
        <w:rPr>
          <w:b/>
        </w:rPr>
        <w:t xml:space="preserve">Ergebnis: </w:t>
      </w:r>
      <w:r>
        <w:t>Kernbefund: Steuerungsmechanismen widersprechen nicht zwangsläufig dem Autonomieprinzip. Empirische Evidenz zeigt, dass formale Wahlfreiheit allein nicht garantiert, dass Patienten informiert und selbstbestimmt entscheiden; strukturierende Instrumente werden häufig als hilfreich wahrgenommen. Drei ethische Bewertungskriterien formuliert: (1) Ermöglichung wertbasierter Entscheidungen, (2) Beitrag zur Versorgungsqualität ohne Verschlechterung, (3) Beitrag zu Gerechtigkeit und fairer Ressourcenverteilung.</w:t>
      </w:r>
    </w:p>
    <w:p>
      <w:r>
        <w:rPr>
          <w:b/>
          <w:sz w:val="19"/>
        </w:rPr>
        <w:t xml:space="preserve">Übertragbarkeit: </w:t>
      </w:r>
      <w:r>
        <w:rPr>
          <w:sz w:val="19"/>
        </w:rPr>
        <w:t>Deutsche Kliniken und Gesundheitspolitik; Analyse deutschsprachiger Debatte.</w:t>
      </w:r>
    </w:p>
    <w:p>
      <w:r>
        <w:rPr>
          <w:color w:val="5A7D3A"/>
          <w:sz w:val="18"/>
        </w:rPr>
        <w:t>https://pubmed.ncbi.nlm.nih.gov/42766153/</w:t>
      </w:r>
    </w:p>
    <w:p>
      <w:pPr>
        <w:pStyle w:val="Heading2"/>
      </w:pPr>
      <w:r>
        <w:t>Zuzahlungen und Patientensteuerung: Evidenz aus Europäischem Vergleich</w:t>
      </w:r>
    </w:p>
    <w:p>
      <w:r>
        <w:rPr>
          <w:i/>
          <w:color w:val="666666"/>
          <w:sz w:val="18"/>
        </w:rPr>
        <w:t>Böhme S et al.  ·  Bundesgesundheitsblatt Gesundheitsforschung Gesundheitsschutz  ·  21.09.2026  ·  PMID 42766152</w:t>
      </w:r>
    </w:p>
    <w:p>
      <w:r>
        <w:t>Analyse der institutionellen Ausgestaltung und empirischen Evidenz finanzieller Steuerungsinstrumente in vier europäischen Gesundheitssystemen (Deutschland, Niederlande, Frankreich, Dänemark).</w:t>
      </w:r>
    </w:p>
    <w:p>
      <w:r>
        <w:rPr>
          <w:b/>
        </w:rPr>
        <w:t xml:space="preserve">Ergebnis: </w:t>
      </w:r>
      <w:r>
        <w:t>Uniforme Zuzahlungen wirken regressiv und belasten niedrigeinkommen Versicherte überproportional. Wiedereinführung der früheren Praxisgebühr wird nicht empfohlen. Sinnvoller ist gezielte Ausgestaltung an Punkten empirisch identifizierter Fehlinanspruchnahme (z. B. unangemessenes Verlassen koordinierter Versorgungspfade) mit verhaltensökonomischen Effekten und einkommensbezogenen Unterschieden. So gestaltet, können Zuzahlungen Patientensteuerung verbessern ohne Regelversorgungszugang zu gefährden.</w:t>
      </w:r>
    </w:p>
    <w:p>
      <w:r>
        <w:rPr>
          <w:b/>
          <w:sz w:val="19"/>
        </w:rPr>
        <w:t xml:space="preserve">Übertragbarkeit: </w:t>
      </w:r>
      <w:r>
        <w:rPr>
          <w:sz w:val="19"/>
        </w:rPr>
        <w:t>Direkter Vergleich deutscher und europäischer Systeme mit evidenter Relevanz.</w:t>
      </w:r>
    </w:p>
    <w:p>
      <w:r>
        <w:rPr>
          <w:color w:val="5A7D3A"/>
          <w:sz w:val="18"/>
        </w:rPr>
        <w:t>https://pubmed.ncbi.nlm.nih.gov/42766152/</w:t>
      </w:r>
    </w:p>
    <w:p>
      <w:pPr>
        <w:pStyle w:val="Heading1"/>
      </w:pPr>
      <w:r>
        <w:t>Aufgenommen am 29.09.2026</w:t>
      </w:r>
    </w:p>
    <w:p>
      <w:pPr>
        <w:pStyle w:val="Heading2"/>
      </w:pPr>
      <w:r>
        <w:t>KI-Chatbot verbessert HPV-Impf-Verständnis gegenüber Regierungsbroschüre</w:t>
      </w:r>
    </w:p>
    <w:p>
      <w:r>
        <w:rPr>
          <w:i/>
          <w:color w:val="666666"/>
          <w:sz w:val="18"/>
        </w:rPr>
        <w:t>Kobayashi K et al.  ·  JAMA Netw Open  ·  01.09.2026  ·  PMID 42804696</w:t>
      </w:r>
    </w:p>
    <w:p>
      <w:r>
        <w:t>Randomisierte Studie mit 848 weiblichen Betreuerinnen in Japan (Endauswertung: 704 unmittelbar, 477 nach 2 Wochen), die Impf-Verständnis nach AI-Chatbot oder Regierungsbroschüre zur HPV-Prävention bei Töchtern maßen.</w:t>
      </w:r>
    </w:p>
    <w:p>
      <w:r>
        <w:rPr>
          <w:b/>
        </w:rPr>
        <w:t xml:space="preserve">Ergebnis: </w:t>
      </w:r>
      <w:r>
        <w:t>Chatbot-Gruppe zeigte höhere Impf-Verständniswerte unmittelbar nach Intervention (adjustierte Mittelwertdifferenz 0,30 Punkte auf 0–7-Skala, KI 0,18–0,43, p &lt; 0,001) und nach 2 Wochen (0,30 Punkte, KI 0,13–0,47, p &lt; 0,001); Impfentscheidungen unterschieden sich nicht (40,3% vs. 39,6%, p = 0,31). Verständnis war messbar höher, führte aber kurzfristig nicht zu mehr Impfungen.</w:t>
      </w:r>
    </w:p>
    <w:p>
      <w:r>
        <w:rPr>
          <w:b/>
          <w:sz w:val="19"/>
        </w:rPr>
        <w:t xml:space="preserve">Übertragbarkeit: </w:t>
      </w:r>
      <w:r>
        <w:rPr>
          <w:sz w:val="19"/>
        </w:rPr>
        <w:t>Japan, Frage sprachabhängig; Chatbot-Effekt auf Verständnis nicht systemgebunden.</w:t>
      </w:r>
    </w:p>
    <w:p>
      <w:r>
        <w:rPr>
          <w:color w:val="5A7D3A"/>
          <w:sz w:val="18"/>
        </w:rPr>
        <w:t>https://pubmed.ncbi.nlm.nih.gov/42804696/</w:t>
      </w:r>
    </w:p>
    <w:p>
      <w:pPr>
        <w:pStyle w:val="Heading2"/>
      </w:pPr>
      <w:r>
        <w:t>Teach-Back-Methode mit Ernährungsberatung senkt Blutzucker und verbessert Schwangerschaftsergebnisse</w:t>
      </w:r>
    </w:p>
    <w:p>
      <w:r>
        <w:rPr>
          <w:i/>
          <w:color w:val="666666"/>
          <w:sz w:val="18"/>
        </w:rPr>
        <w:t>Li H  ·  Endocrine  ·  28.09.2026  ·  PMID 42804033</w:t>
      </w:r>
    </w:p>
    <w:p>
      <w:r>
        <w:t>Retrospektive Analyse von 120 Schwangeren mit Gestationsdiabetes, die entweder Routineaufklärung oder Teach-Back-Methode mit umfassender Ernährungsintervention erhielten, um Auswirkungen auf mütterliche und neonatale Gesundheitsergebnisse zu untersuchen.</w:t>
      </w:r>
    </w:p>
    <w:p>
      <w:r>
        <w:rPr>
          <w:b/>
        </w:rPr>
        <w:t xml:space="preserve">Ergebnis: </w:t>
      </w:r>
      <w:r>
        <w:t>Die Teach-Back-Gruppe zeigte niedrigere Nüchternblutzuckerwerte, höhere Selbstwirksamkeitswerte und weniger postpartale Blutungen, Frühgeburten, Makrosomie und neonatale Asphyxie (alle p &lt; 0,05); spontane vaginale Entbindungsrate höher, Pflegezufriedenheit höher. Ein Maß für das Verständnis der Aufklärung (Teach-Back) führte nachweislich zu besseren klinischen Ergebnissen.</w:t>
      </w:r>
    </w:p>
    <w:p>
      <w:r>
        <w:rPr>
          <w:b/>
          <w:sz w:val="19"/>
        </w:rPr>
        <w:t xml:space="preserve">Übertragbarkeit: </w:t>
      </w:r>
      <w:r>
        <w:rPr>
          <w:sz w:val="19"/>
        </w:rPr>
        <w:t>China, aber Teach-Back-Effektivität nicht sprachgebunden.</w:t>
      </w:r>
    </w:p>
    <w:p>
      <w:r>
        <w:rPr>
          <w:color w:val="5A7D3A"/>
          <w:sz w:val="18"/>
        </w:rPr>
        <w:t>https://pubmed.ncbi.nlm.nih.gov/42804033/</w:t>
      </w:r>
    </w:p>
    <w:p>
      <w:pPr>
        <w:pStyle w:val="Heading2"/>
      </w:pPr>
      <w:r>
        <w:t>Dolmetscher mit Gehörlosenerfahrung verbessern Shared Decision Making bei Krebsvorsorge</w:t>
      </w:r>
    </w:p>
    <w:p>
      <w:r>
        <w:rPr>
          <w:i/>
          <w:color w:val="666666"/>
          <w:sz w:val="18"/>
        </w:rPr>
        <w:t>Perrodin-Njoku E et al.  ·  Cancer Control  ·  28.09.2026  ·  PMID 42803113</w:t>
      </w:r>
    </w:p>
    <w:p>
      <w:r>
        <w:t>Qualitative nested study mit 15 gehörlosen und schwerhörigen Erwachsenen, die an einem Programm mit Gebärdensprachdolmetscher-Navigatoren teilnahmen, zu deren Erfahrungen bei Krebsvorsorgescreening.</w:t>
      </w:r>
    </w:p>
    <w:p>
      <w:r>
        <w:rPr>
          <w:b/>
        </w:rPr>
        <w:t xml:space="preserve">Ergebnis: </w:t>
      </w:r>
      <w:r>
        <w:t>Interventions-Teilnehmer beschrieben selbstgeleitete Entscheidungsfindung und höheres Vertrauen, während Standardversorgung-Teilnehmer häufiger Anbieterempfehlungen befolgten ohne Deliberation. Dolmetscher mit geteilter Gehörlosenerfahrung wurden als entscheidend für Vertrauensaufbau und Screening-Engagement genannt. Videoferndolmetschzugang war universelle Barriere für echte Shared Decision Making.</w:t>
      </w:r>
    </w:p>
    <w:p>
      <w:r>
        <w:rPr>
          <w:b/>
          <w:sz w:val="19"/>
        </w:rPr>
        <w:t xml:space="preserve">Übertragbarkeit: </w:t>
      </w:r>
      <w:r>
        <w:rPr>
          <w:sz w:val="19"/>
        </w:rPr>
        <w:t>USA, Befund zur Identifikation und Vertrauenseffekt übertragbar.</w:t>
      </w:r>
    </w:p>
    <w:p>
      <w:r>
        <w:rPr>
          <w:color w:val="5A7D3A"/>
          <w:sz w:val="18"/>
        </w:rPr>
        <w:t>https://pubmed.ncbi.nlm.nih.gov/42803113/</w:t>
      </w:r>
    </w:p>
    <w:p>
      <w:pPr>
        <w:pStyle w:val="Heading2"/>
      </w:pPr>
      <w:r>
        <w:t>Was fördert und hemmt Patientenbeteiligung in Forschungsgremien</w:t>
      </w:r>
    </w:p>
    <w:p>
      <w:r>
        <w:rPr>
          <w:i/>
          <w:color w:val="666666"/>
          <w:sz w:val="18"/>
        </w:rPr>
        <w:t>Jawanda S et al.  ·  Health Expect  ·  Okt. 2026  ·  PMID 42802662</w:t>
      </w:r>
    </w:p>
    <w:p>
      <w:r>
        <w:t>Qualitative Studie mit 11 Panelmitgliedern (Jugendliche, Betreuer, Gesundheitsanbieter, Systemführer) zu Erfahrungen und Barrieren der Teilnahme an einem integrierten Knowledge-Translation-Panel für Konsensbildung.</w:t>
      </w:r>
    </w:p>
    <w:p>
      <w:r>
        <w:rPr>
          <w:b/>
        </w:rPr>
        <w:t xml:space="preserve">Ergebnis: </w:t>
      </w:r>
      <w:r>
        <w:t>Mittlere PEIRS-22-Bewertung 88,3 (SD 10,5), 70% berichteten sehr oder extrem sinnvolle Beteiligung. Förderfaktoren: klare Kommunikation, Vertrauen, inklusives Umfeld, flexible Teilnahmeoptionen. Hemmnisse: Kommunikationsbelastung, Machtdynamiken, konkurrierende Verpflichtungen, Technologieprobleme, unerfüllte Erwartungen.</w:t>
      </w:r>
    </w:p>
    <w:p>
      <w:r>
        <w:rPr>
          <w:b/>
          <w:sz w:val="19"/>
        </w:rPr>
        <w:t xml:space="preserve">Übertragbarkeit: </w:t>
      </w:r>
      <w:r>
        <w:rPr>
          <w:sz w:val="19"/>
        </w:rPr>
        <w:t>Kanada, übertragbar auf deutschsprachige Beteiligungsgremien.</w:t>
      </w:r>
    </w:p>
    <w:p>
      <w:r>
        <w:rPr>
          <w:color w:val="5A7D3A"/>
          <w:sz w:val="18"/>
        </w:rPr>
        <w:t>https://pubmed.ncbi.nlm.nih.gov/42802662/</w:t>
      </w:r>
    </w:p>
    <w:p>
      <w:pPr>
        <w:pStyle w:val="Heading2"/>
      </w:pPr>
      <w:r>
        <w:t>Gesundheitskompetenz älterer Menschen mit Multimorbidität zeigt drei heterogene Profile</w:t>
      </w:r>
    </w:p>
    <w:p>
      <w:r>
        <w:rPr>
          <w:i/>
          <w:color w:val="666666"/>
          <w:sz w:val="18"/>
        </w:rPr>
        <w:t>Guo J et al.  ·  Front Public Health  ·  11.09.2026  ·  PMID 42798461</w:t>
      </w:r>
    </w:p>
    <w:p>
      <w:r>
        <w:t>Latent-Profile-Analyse mit 302 älteren multimorbiden Patienten aus China zur Identifikation von Gesundheitskompetenz-Klassen und deren Assoziation mit Selbstmanagement-Verhalten.</w:t>
      </w:r>
    </w:p>
    <w:p>
      <w:r>
        <w:rPr>
          <w:b/>
        </w:rPr>
        <w:t xml:space="preserve">Ergebnis: </w:t>
      </w:r>
      <w:r>
        <w:t>Drei Profile identifiziert: 18,5% niedrige Kompetenz mit begrenzter Informationsverarbeitung, 42,6% moderate Kompetenz mit Arztabhängigkeit, 38,9% hohe Kompetenz mit autonomer Entscheidung. Geschlecht, Alter, Wohnort, Bildung, Alkoholkonsum und Krankheitsdauer signifikant assoziiert. Selbstmanagement unterschied sich markant zwischen Profilen. Heterogenität erfordert gestaffelte, profilspezifische Interventionen.</w:t>
      </w:r>
    </w:p>
    <w:p>
      <w:r>
        <w:rPr>
          <w:b/>
          <w:sz w:val="19"/>
        </w:rPr>
        <w:t xml:space="preserve">Übertragbarkeit: </w:t>
      </w:r>
      <w:r>
        <w:rPr>
          <w:sz w:val="19"/>
        </w:rPr>
        <w:t>China, aber Profile-Struktur und Bildungseffekt auf deutsches Alter 65+ übertragbar.</w:t>
      </w:r>
    </w:p>
    <w:p>
      <w:r>
        <w:rPr>
          <w:color w:val="5A7D3A"/>
          <w:sz w:val="18"/>
        </w:rPr>
        <w:t>https://pubmed.ncbi.nlm.nih.gov/42798461/</w:t>
      </w:r>
    </w:p>
    <w:p>
      <w:pPr>
        <w:pStyle w:val="Heading1"/>
      </w:pPr>
      <w:r>
        <w:t>Aufgenommen am 28.09.2026</w:t>
      </w:r>
    </w:p>
    <w:p>
      <w:pPr>
        <w:pStyle w:val="Heading2"/>
      </w:pPr>
      <w:r>
        <w:t>Patient-Aktivierung und eHealth Literacy beeinflussen Selbstmanagement bei koronarer Herzerkrankung</w:t>
      </w:r>
    </w:p>
    <w:p>
      <w:r>
        <w:rPr>
          <w:i/>
          <w:color w:val="666666"/>
          <w:sz w:val="18"/>
        </w:rPr>
        <w:t>Tan J et al.  ·  Front Public Health  ·  11.09.2026  ·  PMID 42798483</w:t>
      </w:r>
    </w:p>
    <w:p>
      <w:r>
        <w:t>Querschnittstudie mit 433 Patienten mit koronarer Herzerkrankung, die den Zusammenhang zwischen Patient-Aktivierung, eHealth Literacy und Selbstmanagement untersuchte.</w:t>
      </w:r>
    </w:p>
    <w:p>
      <w:r>
        <w:rPr>
          <w:b/>
        </w:rPr>
        <w:t xml:space="preserve">Ergebnis: </w:t>
      </w:r>
      <w:r>
        <w:t>Patient-Aktivierung korrelierte moderat positiv mit eHealth Literacy (r = 0,51; p &lt; 0,001) und stärker mit kombiniertem Selbstmanagement (r = 0,59; p &lt; 0,001). eHealth Literacy mediierte die Assoziation teilweise (indirekter Effekt = 0,043, 95%-CI [0,002; 0,088]; 9% des Gesamteffekts). Der direkte Pfad war substantiell wichtiger als der indirekte Pfad.</w:t>
      </w:r>
    </w:p>
    <w:p>
      <w:r>
        <w:rPr>
          <w:b/>
          <w:sz w:val="19"/>
        </w:rPr>
        <w:t xml:space="preserve">Übertragbarkeit: </w:t>
      </w:r>
      <w:r>
        <w:rPr>
          <w:sz w:val="19"/>
        </w:rPr>
        <w:t>China, vergleichbare Erkrankungslast, Messinstrumente international etabliert</w:t>
      </w:r>
    </w:p>
    <w:p>
      <w:r>
        <w:rPr>
          <w:color w:val="5A7D3A"/>
          <w:sz w:val="18"/>
        </w:rPr>
        <w:t>https://pubmed.ncbi.nlm.nih.gov/42798483/</w:t>
      </w:r>
    </w:p>
    <w:p>
      <w:pPr>
        <w:pStyle w:val="Heading2"/>
      </w:pPr>
      <w:r>
        <w:t>Sprachmodelle für öffentliche Gesundheitsinformation zum Myokardinfarkt: Qualität und Verständlichkeit</w:t>
      </w:r>
    </w:p>
    <w:p>
      <w:r>
        <w:rPr>
          <w:i/>
          <w:color w:val="666666"/>
          <w:sz w:val="18"/>
        </w:rPr>
        <w:t>Lv T et al.  ·  Front Public Health  ·  10.09.2026  ·  PMID 42787455</w:t>
      </w:r>
    </w:p>
    <w:p>
      <w:r>
        <w:t>Vergleichende Bewertung von Antworten dreier Sprachmodelle (Gemini, Claude, ChatGPT) auf 25 Laienfragen zum Myokardinfarkt durch zwei Kardiologen mit validierten Qualitätsinstrumenten und Lesbarkeitsmetriken.</w:t>
      </w:r>
    </w:p>
    <w:p>
      <w:r>
        <w:rPr>
          <w:b/>
        </w:rPr>
        <w:t xml:space="preserve">Ergebnis: </w:t>
      </w:r>
      <w:r>
        <w:t>Signifikante Unterschiede in DISCERN (p &lt; 0,001) und EQIP (p &lt; 0,001) zwischen Modellen. Claude erzielte höhere DISCERN-Werte als Gemini und ChatGPT; alle zeigten schwache JAMA-Leistung (mangelnde Transparenz). Alle Modelle unterschritten die angestrebte Lesbarkeit (Klasse 6), erzeugten teilweise unvollständige oder potenziell schädliche Informationen. Sprachmodelle sind als eigenständige Patientenbildungs-Tools nicht geeignet.</w:t>
      </w:r>
    </w:p>
    <w:p>
      <w:r>
        <w:rPr>
          <w:b/>
          <w:sz w:val="19"/>
        </w:rPr>
        <w:t xml:space="preserve">Übertragbarkeit: </w:t>
      </w:r>
      <w:r>
        <w:rPr>
          <w:sz w:val="19"/>
        </w:rPr>
        <w:t>China, aber Befunde zu Lesbarkeit und Transparenz für deutschsprachige Zielgruppen relevant; Sprachgebundenheit beachten</w:t>
      </w:r>
    </w:p>
    <w:p>
      <w:r>
        <w:rPr>
          <w:color w:val="5A7D3A"/>
          <w:sz w:val="18"/>
        </w:rPr>
        <w:t>https://pubmed.ncbi.nlm.nih.gov/42787455/</w:t>
      </w:r>
    </w:p>
    <w:p>
      <w:pPr>
        <w:pStyle w:val="Heading2"/>
      </w:pPr>
      <w:r>
        <w:t>Klimawandelbildung erhöht Awareness, Angst und Hoffnung bei Schwangeren</w:t>
      </w:r>
    </w:p>
    <w:p>
      <w:r>
        <w:rPr>
          <w:i/>
          <w:color w:val="666666"/>
          <w:sz w:val="18"/>
        </w:rPr>
        <w:t>Aydın Çeli̇k S et al.  ·  BMC Pregnancy Childbirth  ·  25.07.2026  ·  PMID 42778888</w:t>
      </w:r>
    </w:p>
    <w:p>
      <w:r>
        <w:t>Randomisierte kontrollierte Studie mit 154 schwangeren Frauen (Interventionsgruppe n = 77, Kontrollgruppe n = 77) zu Effekten einer 60-minütigen Klimawandelschulung auf Bewusstsein, Angst und Hoffnung.</w:t>
      </w:r>
    </w:p>
    <w:p>
      <w:r>
        <w:rPr>
          <w:b/>
        </w:rPr>
        <w:t xml:space="preserve">Ergebnis: </w:t>
      </w:r>
      <w:r>
        <w:t>Interventionsgruppe zeigte signifikante Anstiege in Klimawandelangst, Awareness und Hoffnung nach der Schulung (p &lt; 0,001) mit großen Effektstärken (d = 1,30–2,20). Kontrollgruppe zeigte Angst- und Hoffnungsabnahme (p &lt; 0,05), nur marginale Awareness-Steigerung. Zwischen-Gruppen-Vergleiche zeigten signifikant höhere Posttest-Werte in der Interventionsgruppe (p &lt; 0,05). Wiederholte ANOVA: signifikante Gruppe-Zeit-Wechselwirkung (p &lt; 0,001).</w:t>
      </w:r>
    </w:p>
    <w:p>
      <w:r>
        <w:rPr>
          <w:b/>
          <w:sz w:val="19"/>
        </w:rPr>
        <w:t xml:space="preserve">Übertragbarkeit: </w:t>
      </w:r>
      <w:r>
        <w:rPr>
          <w:sz w:val="19"/>
        </w:rPr>
        <w:t>Türkei, generalisierbar auf deutschsprachige Schwangerschaftsbetreuung; Schulungsformat systemübergreifend adaptierbar</w:t>
      </w:r>
    </w:p>
    <w:p>
      <w:r>
        <w:rPr>
          <w:color w:val="5A7D3A"/>
          <w:sz w:val="18"/>
        </w:rPr>
        <w:t>https://pubmed.ncbi.nlm.nih.gov/42778888/</w:t>
      </w:r>
    </w:p>
    <w:p>
      <w:pPr>
        <w:pStyle w:val="Heading2"/>
      </w:pPr>
      <w:r>
        <w:t>Shared Decision-Making bei Schlaganfall: Umsetzungsformate und Barrieren</w:t>
      </w:r>
    </w:p>
    <w:p>
      <w:r>
        <w:rPr>
          <w:i/>
          <w:color w:val="666666"/>
          <w:sz w:val="18"/>
        </w:rPr>
        <w:t>Wang S et al.  ·  BMJ Open  ·  23.09.2026  ·  PMID 42778243</w:t>
      </w:r>
    </w:p>
    <w:p>
      <w:r>
        <w:t>Scoping Review von 17 Studien zu Shared Decision-Making (SDM) in der Schlaganfall-Akutbehandlung, Sekundärprävention und Entlassungsplanung.</w:t>
      </w:r>
    </w:p>
    <w:p>
      <w:r>
        <w:rPr>
          <w:b/>
        </w:rPr>
        <w:t xml:space="preserve">Ergebnis: </w:t>
      </w:r>
      <w:r>
        <w:t>SDM wurde über mehrere Schlaganfall-Prozesse hinweg angewendet mit variablen Umsetzungsformaten (papiergestützte Entscheidungshilfen, visuell, webbasiert, computergestützt). Einflussfaktoren identifiziert auf Patient-, Professionellen-, Werkzeug- und Organisations-Ebene. Evidenz zeigt potenziellen Nutzen, bleibt aber heterogen und begrenzt. Standardisierte Definitionen und Evaluationen fehlen.</w:t>
      </w:r>
    </w:p>
    <w:p>
      <w:r>
        <w:rPr>
          <w:b/>
          <w:sz w:val="19"/>
        </w:rPr>
        <w:t xml:space="preserve">Übertragbarkeit: </w:t>
      </w:r>
      <w:r>
        <w:rPr>
          <w:sz w:val="19"/>
        </w:rPr>
        <w:t>International, aber USA-Studien eingeschlossen; Empfehlungen zu Definitionen und Messung systemübergreifend relevant</w:t>
      </w:r>
    </w:p>
    <w:p>
      <w:r>
        <w:rPr>
          <w:color w:val="5A7D3A"/>
          <w:sz w:val="18"/>
        </w:rPr>
        <w:t>https://pubmed.ncbi.nlm.nih.gov/42778243/</w:t>
      </w:r>
    </w:p>
    <w:p>
      <w:pPr>
        <w:pStyle w:val="Heading2"/>
      </w:pPr>
      <w:r>
        <w:t>Kulturelle Anpassung von Shared Decision-Making und Navigation für hispanische Lungenkrebsscreening-Teilnehmer</w:t>
      </w:r>
    </w:p>
    <w:p>
      <w:r>
        <w:rPr>
          <w:i/>
          <w:color w:val="666666"/>
          <w:sz w:val="18"/>
        </w:rPr>
        <w:t>Arana-Chicas E et al.  ·  Cancer Causes Control  ·  23.09.2026  ·  PMID 42776309</w:t>
      </w:r>
    </w:p>
    <w:p>
      <w:r>
        <w:t>Qualitative Studie mit 19 hispanischen Erwachsenen (50–77 Jahre, 68 % spanischsprachig) zu Wahrnehmungen von Lungenkrebsscreening und Shared Decision-Making für die kulturelle Adaption der TELESCOPE-Intervention.</w:t>
      </w:r>
    </w:p>
    <w:p>
      <w:r>
        <w:rPr>
          <w:b/>
        </w:rPr>
        <w:t xml:space="preserve">Ergebnis: </w:t>
      </w:r>
      <w:r>
        <w:t>Vier Themen identifiziert: (1) begrenzte Kenntnis von Lungenkrebsscreening; (2) Präferenz für klare und freundliche Kommunikation; (3) Besorgnis um Angst und Fatalismus; (4) Bedeutung kulturell relevanter Gestaltung. Diese Befunde sollen Kulturanpassung einer telemedizingestützten SDM-Intervention leiten.</w:t>
      </w:r>
    </w:p>
    <w:p>
      <w:r>
        <w:rPr>
          <w:b/>
          <w:sz w:val="19"/>
        </w:rPr>
        <w:t xml:space="preserve">Übertragbarkeit: </w:t>
      </w:r>
      <w:r>
        <w:rPr>
          <w:sz w:val="19"/>
        </w:rPr>
        <w:t>USA, aber Befunde zur Kommunikationsgestaltung und Angstabbau gelten systemübergreifend; Sprachkompetenz systemgebunden</w:t>
      </w:r>
    </w:p>
    <w:p>
      <w:r>
        <w:rPr>
          <w:color w:val="5A7D3A"/>
          <w:sz w:val="18"/>
        </w:rPr>
        <w:t>https://pubmed.ncbi.nlm.nih.gov/42776309/</w:t>
      </w:r>
    </w:p>
    <w:p>
      <w:pPr>
        <w:pStyle w:val="Heading2"/>
      </w:pPr>
      <w:r>
        <w:t>Selbsteingeschätzte Gesundheit und eHealth Literacy bei Pflegestudierenden korrelieren</w:t>
      </w:r>
    </w:p>
    <w:p>
      <w:r>
        <w:rPr>
          <w:i/>
          <w:color w:val="666666"/>
          <w:sz w:val="18"/>
        </w:rPr>
        <w:t>Huang L et al.  ·  Nurs Open  ·  Sept. 2026  ·  PMID 42768417</w:t>
      </w:r>
    </w:p>
    <w:p>
      <w:r>
        <w:t>Querschnittsstudie mit 727 Pflegestudierenden aus einer chinesischen Fachschule zur Assoziation zwischen Selbstbewertung der Gesundheit und eHealth Literacy, adjustiert für Alter, Geschlecht, familiärer Sozioökonomie und akademischen Stress.</w:t>
      </w:r>
    </w:p>
    <w:p>
      <w:r>
        <w:rPr>
          <w:b/>
        </w:rPr>
        <w:t xml:space="preserve">Ergebnis: </w:t>
      </w:r>
      <w:r>
        <w:t>Nach Adjustierung für Kovariaten: Studierende mit schlechter Selbsteinschätzung der Gesundheit zeigten signifikant niedrigere eHealth-Literacy-Scores als solche mit guter Gesundheit. Auch Studierende mit fairer Selbstbewertung hatten niedrigere Scores, der Unterschied war aber erheblich kleiner. Assoziation statistisch signifikant, kausale Richtung ungeklärt.</w:t>
      </w:r>
    </w:p>
    <w:p>
      <w:r>
        <w:rPr>
          <w:b/>
          <w:sz w:val="19"/>
        </w:rPr>
        <w:t xml:space="preserve">Übertragbarkeit: </w:t>
      </w:r>
      <w:r>
        <w:rPr>
          <w:sz w:val="19"/>
        </w:rPr>
        <w:t>China, aber Befund zur Bedeutung von Gesundheitswahrnehmung für digitale Kompetenz in Pflegeausbildung EU-weit relevant</w:t>
      </w:r>
    </w:p>
    <w:p>
      <w:r>
        <w:rPr>
          <w:color w:val="5A7D3A"/>
          <w:sz w:val="18"/>
        </w:rPr>
        <w:t>https://pubmed.ncbi.nlm.nih.gov/42768417/</w:t>
      </w:r>
    </w:p>
    <w:p>
      <w:pPr>
        <w:pStyle w:val="Heading1"/>
      </w:pPr>
      <w:r>
        <w:t>Aufgenommen am 27.09.2026</w:t>
      </w:r>
    </w:p>
    <w:p>
      <w:pPr>
        <w:pStyle w:val="Heading2"/>
      </w:pPr>
      <w:r>
        <w:t>Virtuelle Ernährungsschulung für Nierenkranke: hohe Akzeptanz, machbar</w:t>
      </w:r>
    </w:p>
    <w:p>
      <w:r>
        <w:rPr>
          <w:i/>
          <w:color w:val="666666"/>
          <w:sz w:val="18"/>
        </w:rPr>
        <w:t>Santos-López MF et al.  ·  Nutrients  ·  21.09.2026  ·  PMID 42797080</w:t>
      </w:r>
    </w:p>
    <w:p>
      <w:r>
        <w:t>Die Studie entwickelte systematisch ein strukturiertes virtuelles Schulungsprogramm für erwachsene Patienten mit chronischer Nierenerkrankung Stadium 3–4 und prüfte dessen Machbarkeit anhand von Akzeptanz und Vollendungsraten.</w:t>
      </w:r>
    </w:p>
    <w:p>
      <w:r>
        <w:rPr>
          <w:b/>
        </w:rPr>
        <w:t xml:space="preserve">Ergebnis: </w:t>
      </w:r>
      <w:r>
        <w:t>Das Programm besteht aus 4 Sitzungen mit 10 kurzen Videos und 6 digitalen Materialien. 87 % der eingeladenen Patienten absolvierten das Programm und füllten Akzeptanzfragebögen aus. Mittlere Akzeptanzpunktzahl: 32 von 35 Punkten. Hohe Machbarkeit und Akzeptabilität demonstriert.</w:t>
      </w:r>
    </w:p>
    <w:p>
      <w:r>
        <w:rPr>
          <w:b/>
          <w:sz w:val="19"/>
        </w:rPr>
        <w:t xml:space="preserve">Übertragbarkeit: </w:t>
      </w:r>
      <w:r>
        <w:rPr>
          <w:sz w:val="19"/>
        </w:rPr>
        <w:t>Systematische ADDIE-Methode und COM-B-Modell sind sprachsystemunabhängig; Implementierung in Deutschland analog möglich.</w:t>
      </w:r>
    </w:p>
    <w:p>
      <w:r>
        <w:rPr>
          <w:color w:val="5A7D3A"/>
          <w:sz w:val="18"/>
        </w:rPr>
        <w:t>https://pubmed.ncbi.nlm.nih.gov/42797080/</w:t>
      </w:r>
    </w:p>
    <w:p>
      <w:pPr>
        <w:pStyle w:val="Heading2"/>
      </w:pPr>
      <w:r>
        <w:t>Niedrigere Gesundheitskompetenz korreliert mit schlechterer Ernährungsqualität</w:t>
      </w:r>
    </w:p>
    <w:p>
      <w:r>
        <w:rPr>
          <w:i/>
          <w:color w:val="666666"/>
          <w:sz w:val="18"/>
        </w:rPr>
        <w:t>Joo H et al.  ·  Nutrients  ·  20.09.2026  ·  PMID 42797065</w:t>
      </w:r>
    </w:p>
    <w:p>
      <w:r>
        <w:t>Die Studie analysierte an 5.353 koreanischen Erwachsenen den Zusammenhang zwischen Gesundheitskompetenz (10-Item-Instrument) und Ernährungsqualität (Korean Healthy Eating Index aus 24-h-Recall), mit Altersstratifizierung.</w:t>
      </w:r>
    </w:p>
    <w:p>
      <w:r>
        <w:rPr>
          <w:b/>
        </w:rPr>
        <w:t xml:space="preserve">Ergebnis: </w:t>
      </w:r>
      <w:r>
        <w:t>Rohe Differenz schien positiv, aber Altersadjustierung invertierte sie (β = −2,76; vollständig adjustiert β = −1,70, 95%-KI −2,66 bis −0,75). Höhere Odds für schlechteste Ernährungsterzile bei niedriger Kompetenz (OR = 1,37, 95%-KI 1,09–1,72; p = 0,007). Pro 1-SD-Anstieg der Gesundheitskompetenz: β = +0,77 (95%-KI 0,42–1,12). Assoziation stärker bei Männern.</w:t>
      </w:r>
    </w:p>
    <w:p>
      <w:r>
        <w:rPr>
          <w:b/>
          <w:sz w:val="19"/>
        </w:rPr>
        <w:t xml:space="preserve">Übertragbarkeit: </w:t>
      </w:r>
      <w:r>
        <w:rPr>
          <w:sz w:val="19"/>
        </w:rPr>
        <w:t>Südkorea; Querschnittdesign schließt Kausalität aus; Befund zeigt Ungleichheit nach Bildung.</w:t>
      </w:r>
    </w:p>
    <w:p>
      <w:r>
        <w:rPr>
          <w:color w:val="5A7D3A"/>
          <w:sz w:val="18"/>
        </w:rPr>
        <w:t>https://pubmed.ncbi.nlm.nih.gov/42797065/</w:t>
      </w:r>
    </w:p>
    <w:p>
      <w:pPr>
        <w:pStyle w:val="Heading2"/>
      </w:pPr>
      <w:r>
        <w:t>Eltern chronisch kranker Kinder: bessere Gesundheitskompetenz bedeutet weniger Stress</w:t>
      </w:r>
    </w:p>
    <w:p>
      <w:r>
        <w:rPr>
          <w:i/>
          <w:color w:val="666666"/>
          <w:sz w:val="18"/>
        </w:rPr>
        <w:t>Skoss R et al.  ·  BMC Health Serv Res  ·  11.08.2026  ·  PMID 42791541</w:t>
      </w:r>
    </w:p>
    <w:p>
      <w:r>
        <w:t>Die Studie untersuchte mittels Clusteranalyse Gesundheitskompetenz-Profile (Health Literacy Questionnaire) von australischen Eltern von Kindern mit speziellen Gesundheitsbedürfnissen und deren Zusammenhang mit Erfahrungen der Versorgungsintegration und elterlichem Stress.</w:t>
      </w:r>
    </w:p>
    <w:p>
      <w:r>
        <w:rPr>
          <w:b/>
        </w:rPr>
        <w:t xml:space="preserve">Ergebnis: </w:t>
      </w:r>
      <w:r>
        <w:t>Drei distinct Health-Literacy-Profile identifiziert. Eltern mit höherer Gesundheitskompetenz berichteten bessere Erfahrungen mit koordinierter Versorgung und niedrigere wahrgenommene Stresslevels. Profile unterschieden sich nicht in Demografie, aber in Stresserleben und Versorgungserfahrung.</w:t>
      </w:r>
    </w:p>
    <w:p>
      <w:r>
        <w:rPr>
          <w:b/>
          <w:sz w:val="19"/>
        </w:rPr>
        <w:t xml:space="preserve">Übertragbarkeit: </w:t>
      </w:r>
      <w:r>
        <w:rPr>
          <w:sz w:val="19"/>
        </w:rPr>
        <w:t>Australien, englischsprachiges Sozialversicherungssystem; HLQ-Messmethode international validiert, Profile-Ansatz übertragbar.</w:t>
      </w:r>
    </w:p>
    <w:p>
      <w:r>
        <w:rPr>
          <w:color w:val="5A7D3A"/>
          <w:sz w:val="18"/>
        </w:rPr>
        <w:t>https://pubmed.ncbi.nlm.nih.gov/42791541/</w:t>
      </w:r>
    </w:p>
    <w:p>
      <w:pPr>
        <w:pStyle w:val="Heading2"/>
      </w:pPr>
      <w:r>
        <w:t>ChatGPT vereinfacht medizinische Berichte – Patienten verstehen mehr</w:t>
      </w:r>
    </w:p>
    <w:p>
      <w:r>
        <w:rPr>
          <w:i/>
          <w:color w:val="666666"/>
          <w:sz w:val="18"/>
        </w:rPr>
        <w:t>Stephan D et al.  ·  Oral Maxillofac Surg  ·  26.09.2026  ·  PMID 42791420</w:t>
      </w:r>
    </w:p>
    <w:p>
      <w:r>
        <w:t>Die Studie untersuchte, ob ChatGPT komplexe medizinische Berichte (MRT, CT, OP-Berichte, Entlassungssummern) in verständlichere Fassungen für Patienten umwandeln kann und ob dies das Verständnis verbessert.</w:t>
      </w:r>
    </w:p>
    <w:p>
      <w:r>
        <w:rPr>
          <w:b/>
        </w:rPr>
        <w:t xml:space="preserve">Ergebnis: </w:t>
      </w:r>
      <w:r>
        <w:t>Vereinfachte Berichte erhielten signifikant höhere Lesbarkeitsindizes (Flesch Reading Ease 48,4 ± 5,0 vs. 22,9 ± 5,2; p &lt; 0,0001). Patienten beurteilten vereinfachte Texte als deutlich klarer und nützlicher (p &lt; 0,001). Die Verständnisgenauigkeit verbesserte sich markant (z. B. MRI 80,3% vs. 53,7%; p &lt; 0,001). Keine medizinischen Informationen gingen verloren.</w:t>
      </w:r>
    </w:p>
    <w:p>
      <w:r>
        <w:rPr>
          <w:b/>
          <w:sz w:val="19"/>
        </w:rPr>
        <w:t xml:space="preserve">Übertragbarkeit: </w:t>
      </w:r>
      <w:r>
        <w:rPr>
          <w:sz w:val="19"/>
        </w:rPr>
        <w:t>Deutschland: Sprachgebunden; Anwendbarkeit auf deutsche Fachbegriffe und Dokumentationsstandards zu prüfen.</w:t>
      </w:r>
    </w:p>
    <w:p>
      <w:r>
        <w:rPr>
          <w:color w:val="5A7D3A"/>
          <w:sz w:val="18"/>
        </w:rPr>
        <w:t>https://pubmed.ncbi.nlm.nih.gov/42791420/</w:t>
      </w:r>
    </w:p>
    <w:p>
      <w:pPr>
        <w:pStyle w:val="Heading2"/>
      </w:pPr>
      <w:r>
        <w:t>Mentale Gesundheitsschulung für Schüler in Kambodscha und Vietnam: Co-Adaptation gelungen</w:t>
      </w:r>
    </w:p>
    <w:p>
      <w:r>
        <w:rPr>
          <w:i/>
          <w:color w:val="666666"/>
          <w:sz w:val="18"/>
        </w:rPr>
        <w:t>Murray A et al.  ·  BMJ Glob Health  ·  25.09.2026  ·  PMID 42791046</w:t>
      </w:r>
    </w:p>
    <w:p>
      <w:r>
        <w:t>Die Studie beschreibt die partizipative Co-Adaption einer schulgestützten Intervention zur Mental Health Literacy für Jugendliche in zwei Ländern mit niedrigem/mittlerem Einkommen, unter Beteiligung von Schülern, Eltern, Lehrern und Stakeholdern.</w:t>
      </w:r>
    </w:p>
    <w:p>
      <w:r>
        <w:rPr>
          <w:b/>
        </w:rPr>
        <w:t xml:space="preserve">Ergebnis: </w:t>
      </w:r>
      <w:r>
        <w:t>Zentrale Adaptationen: Zwei Facilitatoren pro Sitzung (ein Lehrer, ein externer Provider, Rückfallehrer in Kambodscha); Peer-Co-Facilitation in einigen Sitzungen; Ergänzung neuer Themen (Internet, Essstörungen/Körperbild, Selbstverletzung/Suizid). Frühes und diverse Stakeholder-Engagement stärkte Co-Adaptationsprozess.</w:t>
      </w:r>
    </w:p>
    <w:p>
      <w:r>
        <w:rPr>
          <w:b/>
          <w:sz w:val="19"/>
        </w:rPr>
        <w:t xml:space="preserve">Übertragbarkeit: </w:t>
      </w:r>
      <w:r>
        <w:rPr>
          <w:sz w:val="19"/>
        </w:rPr>
        <w:t>Kambodscha, Vietnam; LMIC-Kontext; partizipative Methodik und Kulturadaption sind systemunabhängig, Modell auf Deutschland übertragbar.</w:t>
      </w:r>
    </w:p>
    <w:p>
      <w:r>
        <w:rPr>
          <w:color w:val="5A7D3A"/>
          <w:sz w:val="18"/>
        </w:rPr>
        <w:t>https://pubmed.ncbi.nlm.nih.gov/42791046/</w:t>
      </w:r>
    </w:p>
    <w:p>
      <w:pPr>
        <w:pStyle w:val="Heading2"/>
      </w:pPr>
      <w:r>
        <w:t>Patienten in Jordanien lesen Beipackzettel – aber nicht bei Polypharmaka</w:t>
      </w:r>
    </w:p>
    <w:p>
      <w:r>
        <w:rPr>
          <w:i/>
          <w:color w:val="666666"/>
          <w:sz w:val="18"/>
        </w:rPr>
        <w:t>Al-Anasweh Q et al.  ·  Farm Comunitarios  ·  15.10.2026  ·  PMID 42774024</w:t>
      </w:r>
    </w:p>
    <w:p>
      <w:r>
        <w:t>Die Studie untersuchte an 343 jordanischen Patienten Einstellungen und Verhalten gegenüber Packungsbeilagen (Patient Information Leaflets) und identifizierte Prädiktoren für deren Lektüre.</w:t>
      </w:r>
    </w:p>
    <w:p>
      <w:r>
        <w:rPr>
          <w:b/>
        </w:rPr>
        <w:t xml:space="preserve">Ergebnis: </w:t>
      </w:r>
      <w:r>
        <w:t>Hohe Leseprävalenz: 87,2 %. Häufigste gelesene Abschnitte: Indikation (80,6 %), Nebenwirkungen (77,9 %), Anwendung (63,5 %). Höhere Wahrscheinlichkeit für Lektüre: weiblich, verheiratet, niedriges Einkommen (alle p &lt; 0,05). Polypharmaka assoziiert mit Nicht-Lesen (p &lt; 0,001). Hauptgründe für Nicht-Lesen: ausreichende ärztliche Information (52,3 %), ungeeignete Schriftgröße (29,5 %).</w:t>
      </w:r>
    </w:p>
    <w:p>
      <w:r>
        <w:rPr>
          <w:b/>
          <w:sz w:val="19"/>
        </w:rPr>
        <w:t xml:space="preserve">Übertragbarkeit: </w:t>
      </w:r>
      <w:r>
        <w:rPr>
          <w:sz w:val="19"/>
        </w:rPr>
        <w:t>Jordanien (Mittlerer Osten); zeigt Ungleichheit nach Geschlecht, Einkommen und Medikamentenzahl; Schriftgrößen-Problem universal.</w:t>
      </w:r>
    </w:p>
    <w:p>
      <w:r>
        <w:rPr>
          <w:color w:val="5A7D3A"/>
          <w:sz w:val="18"/>
        </w:rPr>
        <w:t>https://pubmed.ncbi.nlm.nih.gov/42774024/</w:t>
      </w:r>
    </w:p>
    <w:p>
      <w:pPr>
        <w:pStyle w:val="Heading2"/>
      </w:pPr>
      <w:r>
        <w:t>Herzrehabilitations-Schulung senkt Sterblichkeit nach Herzinfarkt deutlich</w:t>
      </w:r>
    </w:p>
    <w:p>
      <w:r>
        <w:rPr>
          <w:i/>
          <w:color w:val="666666"/>
          <w:sz w:val="18"/>
        </w:rPr>
        <w:t>Jeon K et al.  ·  Yonsei Med J  ·  Okt. 2026  ·  PMID 42773494</w:t>
      </w:r>
    </w:p>
    <w:p>
      <w:r>
        <w:t>Die Studie untersuchte anhand von Krankenkassendaten von 92.968 südkoreanischen Herzinfarkt-Patienten (2018–2022), wie strukturierte Schulung und Therapiesitzungen in der Rehabilitation auf Sterblichkeit und Krankenhauseinweisungen wirken.</w:t>
      </w:r>
    </w:p>
    <w:p>
      <w:r>
        <w:rPr>
          <w:b/>
        </w:rPr>
        <w:t xml:space="preserve">Ergebnis: </w:t>
      </w:r>
      <w:r>
        <w:t>85,5 % erhielten keine Rehabilitation. Alle Rehabilitationsgruppen zeigten niedrigere Sterblichkeit. Größter Effekt: Schulung + ≥4 Therapiesitzungen (HR 0,257, 95%-KI 0,123–0,539) oder ≥4 Sitzungen ohne Schulung (HR 0,291, 95%-KI 0,203–0,417). Schulungsbasierte Rehabilitation korrelierte zudem mit weniger kardiovaskulären Neuaufnahmen und Wiederinterventionen.</w:t>
      </w:r>
    </w:p>
    <w:p>
      <w:r>
        <w:rPr>
          <w:b/>
          <w:sz w:val="19"/>
        </w:rPr>
        <w:t xml:space="preserve">Übertragbarkeit: </w:t>
      </w:r>
      <w:r>
        <w:rPr>
          <w:sz w:val="19"/>
        </w:rPr>
        <w:t>Südkorea, ähnliches Versicherungssystem; Struktur und Outcome-Tracking auf deutsches Gesundheitswesen übertragbar.</w:t>
      </w:r>
    </w:p>
    <w:p>
      <w:r>
        <w:rPr>
          <w:color w:val="5A7D3A"/>
          <w:sz w:val="18"/>
        </w:rPr>
        <w:t>https://pubmed.ncbi.nlm.nih.gov/42773494/</w:t>
      </w:r>
    </w:p>
    <w:p>
      <w:pPr>
        <w:pStyle w:val="Heading1"/>
      </w:pPr>
      <w:r>
        <w:t>Aufgenommen am 26.09.2026</w:t>
      </w:r>
    </w:p>
    <w:p>
      <w:pPr>
        <w:pStyle w:val="Heading2"/>
      </w:pPr>
      <w:r>
        <w:t>Patientenbeteiligung bei digitaler Überwachung: Co-Design für Aortendissektion</w:t>
      </w:r>
    </w:p>
    <w:p>
      <w:r>
        <w:rPr>
          <w:i/>
          <w:color w:val="666666"/>
          <w:sz w:val="18"/>
        </w:rPr>
        <w:t>Grewal N et al.  ·  BMJ Open  ·  25.09.2026  ·  PMID 42790905</w:t>
      </w:r>
    </w:p>
    <w:p>
      <w:r>
        <w:t>Qualitative Co-Creation-Studie mit 76 Patienten mit thorakaler Aortendissektion in vier Phasen, um Monitoring-Domains zu identifizieren, die Patienten selbst als bedeutsam erachten.</w:t>
      </w:r>
    </w:p>
    <w:p>
      <w:r>
        <w:rPr>
          <w:b/>
        </w:rPr>
        <w:t xml:space="preserve">Ergebnis: </w:t>
      </w:r>
      <w:r>
        <w:t>Fünf wiederkehrende Domains: Unsicherheit und Rezidivangst managen, Symptome interpretieren, Blutdrucküberwachung, Lebenspartizipation und Zugänglichkeit. Diese wurden in eine Monitoring-Agenda mit Symptomkontextualisierung, Blutdrucktrends, Patient-Reported Outcomes, Aktivitäts-Feedback, Entscheidungshilfen und Eskalationspfaden übersetzt. Patienten betonten Monitoring als Ergänzung, nicht Ersatz für bildgebende Verfahren.</w:t>
      </w:r>
    </w:p>
    <w:p>
      <w:r>
        <w:rPr>
          <w:b/>
          <w:sz w:val="19"/>
        </w:rPr>
        <w:t xml:space="preserve">Übertragbarkeit: </w:t>
      </w:r>
      <w:r>
        <w:rPr>
          <w:sz w:val="19"/>
        </w:rPr>
        <w:t>Niederlande, tertiäres Zentrum – Strukturen nicht ohne Weiteres übertragbar, aber Co-Design-Methode bewährt.</w:t>
      </w:r>
    </w:p>
    <w:p>
      <w:r>
        <w:rPr>
          <w:color w:val="5A7D3A"/>
          <w:sz w:val="18"/>
        </w:rPr>
        <w:t>https://pubmed.ncbi.nlm.nih.gov/42790905/</w:t>
      </w:r>
    </w:p>
    <w:p>
      <w:pPr>
        <w:pStyle w:val="Heading2"/>
      </w:pPr>
      <w:r>
        <w:t>Konsistenz der Stillaufklärung über perinatale Periode: eHealth-Lösung gefordert</w:t>
      </w:r>
    </w:p>
    <w:p>
      <w:r>
        <w:rPr>
          <w:i/>
          <w:color w:val="666666"/>
          <w:sz w:val="18"/>
        </w:rPr>
        <w:t>Abbass-Dick J et al.  ·  J Mother Child  ·  01.01.2026  ·  PMID 42790888</w:t>
      </w:r>
    </w:p>
    <w:p>
      <w:r>
        <w:t>Deskriptive Befragung von 93 Fachpersonen und 78 Müttern zu Erfahrungen mit Stillaufklärung und Eignung von eHealth-Ressourcen zur Standardisierung.</w:t>
      </w:r>
    </w:p>
    <w:p>
      <w:r>
        <w:rPr>
          <w:b/>
        </w:rPr>
        <w:t xml:space="preserve">Ergebnis: </w:t>
      </w:r>
      <w:r>
        <w:t>Mütter erhielten Aufklärung von diversen Fachpersonen mit variierender Information zu verschiedenen Zeitpunkten. Mündliche Kommunikation war häufigste Methode. Beide Gruppen nannten Online-Videos und Websites als wirksamste digitale Lösungen. Mangel an Konsistenz und Zugänglichkeit über die gesamte perinatale Phase identifiziert.</w:t>
      </w:r>
    </w:p>
    <w:p>
      <w:r>
        <w:rPr>
          <w:b/>
          <w:sz w:val="19"/>
        </w:rPr>
        <w:t xml:space="preserve">Übertragbarkeit: </w:t>
      </w:r>
      <w:r>
        <w:rPr>
          <w:sz w:val="19"/>
        </w:rPr>
        <w:t>Kanada – Organisierungsmodell unterschiedlich, aber Fragmentierung perinataler Beratung systemübergreifend relevant.</w:t>
      </w:r>
    </w:p>
    <w:p>
      <w:r>
        <w:rPr>
          <w:color w:val="5A7D3A"/>
          <w:sz w:val="18"/>
        </w:rPr>
        <w:t>https://pubmed.ncbi.nlm.nih.gov/42790888/</w:t>
      </w:r>
    </w:p>
    <w:p>
      <w:pPr>
        <w:pStyle w:val="Heading2"/>
      </w:pPr>
      <w:r>
        <w:t>Vergleich digitaler Entscheidungshilfen für Endometriose: Qualität und Vollständigkeit unzureichend</w:t>
      </w:r>
    </w:p>
    <w:p>
      <w:r>
        <w:rPr>
          <w:i/>
          <w:color w:val="666666"/>
          <w:sz w:val="18"/>
        </w:rPr>
        <w:t>Pittet O et al.  ·  Health Expect  ·  Okt. 2026  ·  PMID 42788763</w:t>
      </w:r>
    </w:p>
    <w:p>
      <w:r>
        <w:t>Scoping Review zu digitalen Patient Decision Aids (PtDAs) für Endometriose: 10 PtDAs wurden analysiert (5 von Experten, 5 KI-generiert) nach IPDAS-Kriterien und Transparenz.</w:t>
      </w:r>
    </w:p>
    <w:p>
      <w:r>
        <w:rPr>
          <w:b/>
        </w:rPr>
        <w:t xml:space="preserve">Ergebnis: </w:t>
      </w:r>
      <w:r>
        <w:t>Die meisten PtDAs beschrieben Gesundheitszustand, Optionen mit Pro/Contra, verfehlten aber wichtige IPDAS-Kriterien. Expertengenerierte PtDAs zeigten mangelnde Transparenz in Entwicklung und fehlende formale Evaluation. KI-Aids erwähnten häufiger Komplementärmedizin. Alle zeigten Defizite in Vollständigkeit und Evidenzstützung.</w:t>
      </w:r>
    </w:p>
    <w:p>
      <w:r>
        <w:rPr>
          <w:b/>
          <w:sz w:val="19"/>
        </w:rPr>
        <w:t xml:space="preserve">Übertragbarkeit: </w:t>
      </w:r>
      <w:r>
        <w:rPr>
          <w:sz w:val="19"/>
        </w:rPr>
        <w:t>Schweiz, strukturelles Problem unabhängig vom System – Qualitätsdefizite universell.</w:t>
      </w:r>
    </w:p>
    <w:p>
      <w:r>
        <w:rPr>
          <w:color w:val="5A7D3A"/>
          <w:sz w:val="18"/>
        </w:rPr>
        <w:t>https://pubmed.ncbi.nlm.nih.gov/42788763/</w:t>
      </w:r>
    </w:p>
    <w:p>
      <w:pPr>
        <w:pStyle w:val="Heading2"/>
      </w:pPr>
      <w:r>
        <w:t>Spirituelle Ressourcen stärken Patientenempowerment auch bei hoher Symptombelastung</w:t>
      </w:r>
    </w:p>
    <w:p>
      <w:r>
        <w:rPr>
          <w:i/>
          <w:color w:val="666666"/>
          <w:sz w:val="18"/>
        </w:rPr>
        <w:t>Gürdap Z et al.  ·  BMC Palliat Care  ·  05.08.2026  ·  PMID 42786479</w:t>
      </w:r>
    </w:p>
    <w:p>
      <w:r>
        <w:t>Querschnittsstudie mit 140 Patienten in Palliativpflege in der Türkei zur Vorhersage von Patient Empowerment durch Symptombelastung und spirituales Wohlbefinden.</w:t>
      </w:r>
    </w:p>
    <w:p>
      <w:r>
        <w:rPr>
          <w:b/>
        </w:rPr>
        <w:t xml:space="preserve">Ergebnis: </w:t>
      </w:r>
      <w:r>
        <w:t>Mittlere Symptombelastung (50,95 ± 11,41), aber moderate spirituale Wohlbefindensscores (24,25 ± 4,93) und Empowerment (3,05 ± 0,48). Regressionsmodell erklärte 42,8 % der Varianz: Spirituales Wohlbefinden (β = 0,484, p&lt;0,001) und andere chronische Erkrankungen (β = 0,372, p&lt;0,001) waren stärkste Prädiktoren; Symptombelastung zeigte keinen signifikanten Effekt.</w:t>
      </w:r>
    </w:p>
    <w:p>
      <w:r>
        <w:rPr>
          <w:b/>
          <w:sz w:val="19"/>
        </w:rPr>
        <w:t xml:space="preserve">Übertragbarkeit: </w:t>
      </w:r>
      <w:r>
        <w:rPr>
          <w:sz w:val="19"/>
        </w:rPr>
        <w:t>Türkei – holistische Pflege systemunabhängig, spirituelle Begleitung in allen Kulturen relevant.</w:t>
      </w:r>
    </w:p>
    <w:p>
      <w:r>
        <w:rPr>
          <w:color w:val="5A7D3A"/>
          <w:sz w:val="18"/>
        </w:rPr>
        <w:t>https://pubmed.ncbi.nlm.nih.gov/42786479/</w:t>
      </w:r>
    </w:p>
    <w:p>
      <w:pPr>
        <w:pStyle w:val="Heading2"/>
      </w:pPr>
      <w:r>
        <w:t>Umfassende Aufklärung senkt postoperative Schmerzen nach Ureterstent-Einlage</w:t>
      </w:r>
    </w:p>
    <w:p>
      <w:r>
        <w:rPr>
          <w:i/>
          <w:color w:val="666666"/>
          <w:sz w:val="18"/>
        </w:rPr>
        <w:t>Golomb D et al.  ·  Urolithiasis  ·  24.09.2026  ·  PMID 42782293</w:t>
      </w:r>
    </w:p>
    <w:p>
      <w:r>
        <w:t>Randomisierte Pilotstudie mit 48 Patienten (19 Intervention, 29 Kontrolle): Intervention erhielt multimodale Aufklärung (Erklärung, Video, Stent-Muster), Kontrolle Standardberatung.</w:t>
      </w:r>
    </w:p>
    <w:p>
      <w:r>
        <w:rPr>
          <w:b/>
        </w:rPr>
        <w:t xml:space="preserve">Ergebnis: </w:t>
      </w:r>
      <w:r>
        <w:t>Intervention hatte niedrigeren medianen Schmerzwert POD1 (1 vs. 3, p=0,084) und weniger ungeplante Notaufnahme-Besuche (5,3 % vs. 24,1 %, OR 0,18, 95%KI 0,004–1,62; Risikodifferenz –18,9 %, p=0,123). Keine statistischen Signifikanz, aber Konfidenzintervalle vereinbar mit klinischem Nutzen. Geringe Komplikationsraten.</w:t>
      </w:r>
    </w:p>
    <w:p>
      <w:r>
        <w:rPr>
          <w:b/>
          <w:sz w:val="19"/>
        </w:rPr>
        <w:t xml:space="preserve">Übertragbarkeit: </w:t>
      </w:r>
      <w:r>
        <w:rPr>
          <w:sz w:val="19"/>
        </w:rPr>
        <w:t>Israel – Pilotstudie, größere Fallzahl erforderlich; Konzept von Sprachenbarrieren unabhängig.</w:t>
      </w:r>
    </w:p>
    <w:p>
      <w:r>
        <w:rPr>
          <w:color w:val="5A7D3A"/>
          <w:sz w:val="18"/>
        </w:rPr>
        <w:t>https://pubmed.ncbi.nlm.nih.gov/42782293/</w:t>
      </w:r>
    </w:p>
    <w:p>
      <w:pPr>
        <w:pStyle w:val="Heading2"/>
      </w:pPr>
      <w:r>
        <w:t>Digitale Faktoren und Health Literacy: Wer ist anfällig für Gesundheitsfehlinformation?</w:t>
      </w:r>
    </w:p>
    <w:p>
      <w:r>
        <w:rPr>
          <w:i/>
          <w:color w:val="666666"/>
          <w:sz w:val="18"/>
        </w:rPr>
        <w:t>Duplaga M  ·  Stud Health Technol Inform  ·  29.06.2026  ·  PMID 42393957</w:t>
      </w:r>
    </w:p>
    <w:p>
      <w:r>
        <w:t>Online-Befragung von 2.701 polnischen Erwachsenen (18–75 Jahre) zum Zusammenhang zwischen digitalen Verhaltensweisen, Health Literacy und Anfälligkeit für Fehlinformation.</w:t>
      </w:r>
    </w:p>
    <w:p>
      <w:r>
        <w:rPr>
          <w:b/>
        </w:rPr>
        <w:t xml:space="preserve">Ergebnis: </w:t>
      </w:r>
      <w:r>
        <w:t>Höhere Social-Media-Sucht, zwanghafter Internetgebrauch und E-Health Literacy waren mit erhöhter Anfälligkeit assoziiert (p&lt;0,05). Niedrigere tägliche Internetnutzung war mit höherer Anfälligkeit verknüpft als &gt;3 Stunden/Tag. Digitale Variablen erklärten jedoch nur bescheidene zusätzliche Varianz im Gesamtmodell – begrenzte Erklärungskraft.</w:t>
      </w:r>
    </w:p>
    <w:p>
      <w:r>
        <w:rPr>
          <w:b/>
          <w:sz w:val="19"/>
        </w:rPr>
        <w:t xml:space="preserve">Übertragbarkeit: </w:t>
      </w:r>
      <w:r>
        <w:rPr>
          <w:sz w:val="19"/>
        </w:rPr>
        <w:t>Polen, EU-Land mit vergleichbarem Gesundheitssystem – digitale Literacy-Befunde potenziell übertragbar.</w:t>
      </w:r>
    </w:p>
    <w:p>
      <w:r>
        <w:rPr>
          <w:color w:val="5A7D3A"/>
          <w:sz w:val="18"/>
        </w:rPr>
        <w:t>https://pubmed.ncbi.nlm.nih.gov/42393957/</w:t>
      </w:r>
    </w:p>
    <w:p>
      <w:pPr>
        <w:pStyle w:val="Heading1"/>
      </w:pPr>
      <w:r>
        <w:t>Aufgenommen am 25.09.2026</w:t>
      </w:r>
    </w:p>
    <w:p>
      <w:pPr>
        <w:pStyle w:val="Heading2"/>
      </w:pPr>
      <w:r>
        <w:t>Sprachliche Barrieren erklären Gesundheitskompetenz-Unterschiede nicht vollständig</w:t>
      </w:r>
    </w:p>
    <w:p>
      <w:r>
        <w:rPr>
          <w:i/>
          <w:color w:val="666666"/>
          <w:sz w:val="18"/>
        </w:rPr>
        <w:t>Ausserhofer D et al.  ·  JMIR Form Res  ·  24.09.2026  ·  PMID 42784772</w:t>
      </w:r>
    </w:p>
    <w:p>
      <w:r>
        <w:t>Studie untersuchte in Südtirol, wie digitale Gesundheitsinformation die sprachbedingten Unterschiede in Health Literacy zwischen deutsch- und italienischsprachigen Bevölkerungsgruppen vermittelt.</w:t>
      </w:r>
    </w:p>
    <w:p>
      <w:r>
        <w:rPr>
          <w:b/>
        </w:rPr>
        <w:t xml:space="preserve">Ergebnis: </w:t>
      </w:r>
      <w:r>
        <w:t>Italienischsprachige Teilnehmende zeigten signifikant höhere HL-Werte (Mittelwert 12,54 vs. 11,56 auf 0-16-Skala; p&lt;0,001) und nutzten häufiger digitale Gesundheitsinformation (p=0,003). Der indirekte Effekt der Sprache auf HL durch digitale Nutzung war jedoch nicht signifikant (B=0,018, 95% CI -0,035–0,074), während der direkte Effekt robust blieb (B=0,96; p&lt;0,001). Vertrauen in professionelle Quellen (B=0,39) und Internet-Gesundheitsinformation (B=0,61) waren beide positiv mit HL assoziiert.</w:t>
      </w:r>
    </w:p>
    <w:p>
      <w:r>
        <w:rPr>
          <w:b/>
          <w:sz w:val="19"/>
        </w:rPr>
        <w:t xml:space="preserve">Übertragbarkeit: </w:t>
      </w:r>
      <w:r>
        <w:rPr>
          <w:sz w:val="19"/>
        </w:rPr>
        <w:t>Südtirol, zweisprachiges Versicherungssystem, weist auf kulturelle/sprachliche Ungleichheit hin</w:t>
      </w:r>
    </w:p>
    <w:p>
      <w:r>
        <w:rPr>
          <w:color w:val="5A7D3A"/>
          <w:sz w:val="18"/>
        </w:rPr>
        <w:t>https://pubmed.ncbi.nlm.nih.gov/42784772/</w:t>
      </w:r>
    </w:p>
    <w:p>
      <w:pPr>
        <w:pStyle w:val="Heading2"/>
      </w:pPr>
      <w:r>
        <w:t>Entscheidungshilfen senken Entscheidungskonflikt bei Brustkrebs nachweislich</w:t>
      </w:r>
    </w:p>
    <w:p>
      <w:r>
        <w:rPr>
          <w:i/>
          <w:color w:val="666666"/>
          <w:sz w:val="18"/>
        </w:rPr>
        <w:t>Sdinami S et al.  ·  Curr Oncol  ·  30.08.2026  ·  PMID 42782865</w:t>
      </w:r>
    </w:p>
    <w:p>
      <w:r>
        <w:t>Systematischer Review von 26 Studien (5174 Teilnehmende) bewertete Effektivität von Patient Decision Aids (PDA) auf Entscheidungsqualität, Psyche und Lebensqualität bei frühem Brustkrebs, mit Fokus auf vulnerable Bevölkerungsgruppen.</w:t>
      </w:r>
    </w:p>
    <w:p>
      <w:r>
        <w:rPr>
          <w:b/>
        </w:rPr>
        <w:t xml:space="preserve">Ergebnis: </w:t>
      </w:r>
      <w:r>
        <w:t>PDAs waren assoziiert mit reduziertem Entscheidungskonflikt (6 von 7 Studien), verbesserter Entscheidungszufriedenheit (4 Studien) und verbessertem Wissen (4 von 8 Studien signifikant). Zehn Studien zu niedrigerem sozioökonomischem Status/niedriger Literalität zeigten Effektivität von piktorialen und vereinfachten PDAs. Keine konsistenten negativen Effekte auf Angst/Depression. Qualitative Befunde: hohe Akzeptabilität, aber Barrieren bei Timing und institutioneller Umsetzung.</w:t>
      </w:r>
    </w:p>
    <w:p>
      <w:r>
        <w:rPr>
          <w:b/>
          <w:sz w:val="19"/>
        </w:rPr>
        <w:t xml:space="preserve">Übertragbarkeit: </w:t>
      </w:r>
      <w:r>
        <w:rPr>
          <w:sz w:val="19"/>
        </w:rPr>
        <w:t>Südeuropäische Onkologiesysteme, Shared Decision Making, PDA-Prinzipien deutschlandgerecht adaptierbar</w:t>
      </w:r>
    </w:p>
    <w:p>
      <w:r>
        <w:rPr>
          <w:color w:val="5A7D3A"/>
          <w:sz w:val="18"/>
        </w:rPr>
        <w:t>https://pubmed.ncbi.nlm.nih.gov/42782865/</w:t>
      </w:r>
    </w:p>
    <w:p>
      <w:pPr>
        <w:pStyle w:val="Heading2"/>
      </w:pPr>
      <w:r>
        <w:t>Diätassistentin-geführtes Webinar verbessert Wissen und Verhalten bei Zöliakie</w:t>
      </w:r>
    </w:p>
    <w:p>
      <w:r>
        <w:rPr>
          <w:i/>
          <w:color w:val="666666"/>
          <w:sz w:val="18"/>
        </w:rPr>
        <w:t>Seamark L et al.  ·  J Hum Nutr Diet  ·  Okt. 2026  ·  PMID 42779232</w:t>
      </w:r>
    </w:p>
    <w:p>
      <w:r>
        <w:t>Diätassistentinnen erstellten ein Webinar zur glutenfreien Ernährung für Patienten mit Zöliakie und evaluierten den Wissens- und Verhaltenseffekt vor und nach dem Anschauen.</w:t>
      </w:r>
    </w:p>
    <w:p>
      <w:r>
        <w:rPr>
          <w:b/>
        </w:rPr>
        <w:t xml:space="preserve">Ergebnis: </w:t>
      </w:r>
      <w:r>
        <w:t>Von 1050 Zugriff durch erwachsene Patienten (57% innerhalb 8 Wochen nach Diagnose) zeigten 165 Komplettbeantworter signifikante Verbesserungen: Sicherheit (p&lt;0,001) und Wissen (p&lt;0,001) zur glutenfreien Diät. Von 71 mit Symptomen bei Glutenaufnahme berichteten nachher mehr zufriedenstellende Symptomlinderung (p=0,02). Mehr Patienten praktizieren Maßnahmen zur Glutenvermeidung zuhause und haben glutenfreie Lebensmittel unterwegs dabei (p&lt;0,05).</w:t>
      </w:r>
    </w:p>
    <w:p>
      <w:r>
        <w:rPr>
          <w:b/>
          <w:sz w:val="19"/>
        </w:rPr>
        <w:t xml:space="preserve">Übertragbarkeit: </w:t>
      </w:r>
      <w:r>
        <w:rPr>
          <w:sz w:val="19"/>
        </w:rPr>
        <w:t>Britischer Kontext NHS, digitale Spezialistenkommunikation, skalierbar auf deutschsprachige Diätologie</w:t>
      </w:r>
    </w:p>
    <w:p>
      <w:r>
        <w:rPr>
          <w:color w:val="5A7D3A"/>
          <w:sz w:val="18"/>
        </w:rPr>
        <w:t>https://pubmed.ncbi.nlm.nih.gov/42779232/</w:t>
      </w:r>
    </w:p>
    <w:p>
      <w:pPr>
        <w:pStyle w:val="Heading2"/>
      </w:pPr>
      <w:r>
        <w:t>Gesundheitskompetenz prägt Informationsverhalten unterschiedlich je Alter</w:t>
      </w:r>
    </w:p>
    <w:p>
      <w:r>
        <w:rPr>
          <w:i/>
          <w:color w:val="666666"/>
          <w:sz w:val="18"/>
        </w:rPr>
        <w:t>Kwon DH et al.  ·  JMIR Public Health Surveill  ·  23.09.2026  ·  PMID 42777145</w:t>
      </w:r>
    </w:p>
    <w:p>
      <w:r>
        <w:t>Südkoreanische Querschnittsstudie (N=7910) untersuchte, ob Gesundheitskompetenz die Assoziation zwischen Alter und zwei Stufen der Gesundheitsinformationssuche (Erfahrung und Quelltyp) erklärt.</w:t>
      </w:r>
    </w:p>
    <w:p>
      <w:r>
        <w:rPr>
          <w:b/>
        </w:rPr>
        <w:t xml:space="preserve">Ergebnis: </w:t>
      </w:r>
      <w:r>
        <w:t>Mittlere HL-Werte sanken mit Alter (14,10±2,94 bei 19–44 Jahren vs. 8,34±4,65 bei ≥65 Jahren). Informationssuchprävalenz war höchst bei Jüngsten (66,7%) und niedrigst bei Ältesten (30,2%). Im aktiven Informationssuchen-Modus waren 92,7% der Jüngsten vs. 48,2% der Ältesten. HL war signifikant assoziiert mit Informationsverhalten bei 45–64 und ≥65 Jahren, nicht bei 19–44 Jahren; dort waren Bildung und Gesundheitsfaktoren salienter.</w:t>
      </w:r>
    </w:p>
    <w:p>
      <w:r>
        <w:rPr>
          <w:b/>
          <w:sz w:val="19"/>
        </w:rPr>
        <w:t xml:space="preserve">Übertragbarkeit: </w:t>
      </w:r>
      <w:r>
        <w:rPr>
          <w:sz w:val="19"/>
        </w:rPr>
        <w:t>Südkorea, hochdigitalisiertes System, Hinweis auf altersgerechte Strategien jenseits reiner HL</w:t>
      </w:r>
    </w:p>
    <w:p>
      <w:r>
        <w:rPr>
          <w:color w:val="5A7D3A"/>
          <w:sz w:val="18"/>
        </w:rPr>
        <w:t>https://pubmed.ncbi.nlm.nih.gov/42777145/</w:t>
      </w:r>
    </w:p>
    <w:p>
      <w:pPr>
        <w:pStyle w:val="Heading2"/>
      </w:pPr>
      <w:r>
        <w:t>Rahmenwerk zur klinischen Bewertung von KI-Patientenedukation nach Verständlichkeit</w:t>
      </w:r>
    </w:p>
    <w:p>
      <w:r>
        <w:rPr>
          <w:i/>
          <w:color w:val="666666"/>
          <w:sz w:val="18"/>
        </w:rPr>
        <w:t>Austria D et al.  ·  JMIR Form Res  ·  21.09.2026  ·  PMID 42766478</w:t>
      </w:r>
    </w:p>
    <w:p>
      <w:r>
        <w:t>Autorengruppe entwickelt TAM-MCRS-Evaluierungsrahmen für Kliniker, um von großen Sprachmodellen erzeugte Patientenmaterialien auf Genauigkeit, Verständlichkeit und Vollständigkeit zu bewerten, unter Kontrolle von Evaluator-Einstellungen.</w:t>
      </w:r>
    </w:p>
    <w:p>
      <w:r>
        <w:rPr>
          <w:b/>
        </w:rPr>
        <w:t xml:space="preserve">Ergebnis: </w:t>
      </w:r>
      <w:r>
        <w:t>Das Rahmenwerk paart Technologieakzeptanzmodell (TAM) mit Medizinische-Erkrankung-Würdigung-Skala (MCRS). TAM ordnet wahrgenommene Nützlichkeit auf Genauigkeit/Vollständigkeit, wahrgenommene Bedienfreundlichkeit auf Klarheit/Angemessenheit. Nach Bewertung durch klinisches Panel wird MCRS als Kovariat für Evaluator-Einstellung administriert, um zu testen, ob Einstellung die Ratings beeinflusst. Ziel: objektive, theoriegestützte, klinisch realistische und Ungleichheit-responsive Evidenz.</w:t>
      </w:r>
    </w:p>
    <w:p>
      <w:r>
        <w:rPr>
          <w:b/>
          <w:sz w:val="19"/>
        </w:rPr>
        <w:t xml:space="preserve">Übertragbarkeit: </w:t>
      </w:r>
      <w:r>
        <w:rPr>
          <w:sz w:val="19"/>
        </w:rPr>
        <w:t>USA, Konzeptpapier für KI-Governance, Übertragbarkeit auf deutsche Kliniken hoch bei Adaptierung an ärztliche Entscheidungskultur</w:t>
      </w:r>
    </w:p>
    <w:p>
      <w:r>
        <w:rPr>
          <w:color w:val="5A7D3A"/>
          <w:sz w:val="18"/>
        </w:rPr>
        <w:t>https://pubmed.ncbi.nlm.nih.gov/42766478/</w:t>
      </w:r>
    </w:p>
    <w:p>
      <w:pPr>
        <w:pStyle w:val="Heading2"/>
      </w:pPr>
      <w:r>
        <w:t>Wahrgenommene Physical Literacy vermittelt Bewegung und Ausdauerfitness bei Jugendlichen</w:t>
      </w:r>
    </w:p>
    <w:p>
      <w:r>
        <w:rPr>
          <w:i/>
          <w:color w:val="666666"/>
          <w:sz w:val="18"/>
        </w:rPr>
        <w:t>Valle-Muñoz VM et al.  ·  Front Public Health  ·  09.06.2026  ·  PMID 42344264</w:t>
      </w:r>
    </w:p>
    <w:p>
      <w:r>
        <w:t>Studie untersuchte in Spanien (ENERGYCO), wie wahrgenommene Physical Literacy die Beziehung zwischen körperlicher Aktivität und kardiorespiratorischer Fitness bei Jugendlichen vermittelt.</w:t>
      </w:r>
    </w:p>
    <w:p>
      <w:r>
        <w:rPr>
          <w:b/>
        </w:rPr>
        <w:t xml:space="preserve">Ergebnis: </w:t>
      </w:r>
      <w:r>
        <w:t>Bei 262 spanischen Jugendlichen (Median 14,3 Jahre, 47,7% Mädchen) zeigte die Mediationsanalyse einen signifikanten indirekten Effekt von Aktivität auf VO₂max durch Physical Literacy (indirekter Effekt=0,61, 95% BCa CI 0,14–1,16), der 54,2% des Gesamteffekts ausmachte. Besonders relevant waren Kommunikation (indirekter Effekt=0,38, 95% BCa CI 0,05–0,77) und Wissen/Verständnis (indirekter Effekt=0,60, 95% BCa CI 0,17–1,08).</w:t>
      </w:r>
    </w:p>
    <w:p>
      <w:r>
        <w:rPr>
          <w:b/>
          <w:sz w:val="19"/>
        </w:rPr>
        <w:t xml:space="preserve">Übertragbarkeit: </w:t>
      </w:r>
      <w:r>
        <w:rPr>
          <w:sz w:val="19"/>
        </w:rPr>
        <w:t>Spanisches Schulsystem, Fitness-Assessment, europäisch übertragbar auf deutschsprachige Prävention</w:t>
      </w:r>
    </w:p>
    <w:p>
      <w:r>
        <w:rPr>
          <w:color w:val="5A7D3A"/>
          <w:sz w:val="18"/>
        </w:rPr>
        <w:t>https://pubmed.ncbi.nlm.nih.gov/42344264/</w:t>
      </w:r>
    </w:p>
    <w:p>
      <w:pPr>
        <w:pStyle w:val="Heading1"/>
      </w:pPr>
      <w:r>
        <w:t>Aufgenommen am 24.09.2026</w:t>
      </w:r>
    </w:p>
    <w:p>
      <w:pPr>
        <w:pStyle w:val="Heading2"/>
      </w:pPr>
      <w:r>
        <w:t>Beteiligung in der Geburtshilfe: Engagement-Stufen bei der Entscheidungsfindung unter Echtbedingungen</w:t>
      </w:r>
    </w:p>
    <w:p>
      <w:r>
        <w:rPr>
          <w:i/>
          <w:color w:val="666666"/>
          <w:sz w:val="18"/>
        </w:rPr>
        <w:t>Johnson K et al.  ·  PLoS One  ·  23.09.2026  ·  PMID 42776998</w:t>
      </w:r>
    </w:p>
    <w:p>
      <w:r>
        <w:t>Qualitative Studie mit 65 Interviews und 79 Beobachtungen zu vier Engagement-Ebenen bei der Einbeziehung von Frauen in Entscheidungen während der Geburt in schwedischen Kliniken.</w:t>
      </w:r>
    </w:p>
    <w:p>
      <w:r>
        <w:rPr>
          <w:b/>
        </w:rPr>
        <w:t xml:space="preserve">Ergebnis: </w:t>
      </w:r>
      <w:r>
        <w:t>Vier Engagement-Ebenen identifiziert: Keine Einbeziehung (Anweisungen ohne Erklärung), Information (kurze Updates), Beteiligung (Diskussionen, aber Entscheidungen durch Personal – häufigste Ebene) und Partnerschaft (gemeinsame Entscheidungen – seltenste Ebene). Barrieren: begrenzte Schwedischkenntnisse, hohe Arbeitsbelastung, kritische Situationen. Förderfaktoren: kontinuierliche Unterstützung, effektives Schmerzmanagement, TeamBirth-Prozess.</w:t>
      </w:r>
    </w:p>
    <w:p>
      <w:r>
        <w:rPr>
          <w:b/>
          <w:sz w:val="19"/>
        </w:rPr>
        <w:t xml:space="preserve">Übertragbarkeit: </w:t>
      </w:r>
      <w:r>
        <w:rPr>
          <w:sz w:val="19"/>
        </w:rPr>
        <w:t>Schweden, vergleichbares Gesundheitssystem; systemisch übertragbar auf deutsches Klinikwesen.</w:t>
      </w:r>
    </w:p>
    <w:p>
      <w:r>
        <w:rPr>
          <w:color w:val="5A7D3A"/>
          <w:sz w:val="18"/>
        </w:rPr>
        <w:t>https://pubmed.ncbi.nlm.nih.gov/42776998/</w:t>
      </w:r>
    </w:p>
    <w:p>
      <w:pPr>
        <w:pStyle w:val="Heading2"/>
      </w:pPr>
      <w:r>
        <w:t>Frauengesundheit auf Instagram: Kommerzielle Desinformation dominiert Inhalte</w:t>
      </w:r>
    </w:p>
    <w:p>
      <w:r>
        <w:rPr>
          <w:i/>
          <w:color w:val="666666"/>
          <w:sz w:val="18"/>
        </w:rPr>
        <w:t>Nickel B et al.  ·  Health Promot Int  ·  01.09.2026  ·  PMID 42773967</w:t>
      </w:r>
    </w:p>
    <w:p>
      <w:r>
        <w:t>Inhaltsanalyse von 472 Instagram-Posts zum Hashtag #womenshealth auf Genauigkeit, Interessenskonflikte und Evidenzreferenzen.</w:t>
      </w:r>
    </w:p>
    <w:p>
      <w:r>
        <w:rPr>
          <w:b/>
        </w:rPr>
        <w:t xml:space="preserve">Ergebnis: </w:t>
      </w:r>
      <w:r>
        <w:t>63 % von individuellen Influencern erstellt (162 Nicht-Mediziner, 105 Ärzte). 56 % allgemeine Gesundheitsinformationen, 16 % Produkt-Werbung. 48 % zu Hormon- und Reproduktionsgesundheit (58 Posts zur Menopause). 69 % mit expliziten Gesundheitsbehauptungen, nur 7 % mit Evidenzreferenzen. 51 % der Konten mit finanziellen Interessen, 39 % direkt verkaufend. Schlussfolgerung: Umfeld dominiert von Nicht-Experten und kommerziellen Botschaften.</w:t>
      </w:r>
    </w:p>
    <w:p>
      <w:r>
        <w:rPr>
          <w:b/>
          <w:sz w:val="19"/>
        </w:rPr>
        <w:t xml:space="preserve">Übertragbarkeit: </w:t>
      </w:r>
      <w:r>
        <w:rPr>
          <w:sz w:val="19"/>
        </w:rPr>
        <w:t>Englischsprachiges Instagram; sprachlich übertragbar, aber Plattformdynamiken unterscheiden sich; regulatorische Befunde gelten global.</w:t>
      </w:r>
    </w:p>
    <w:p>
      <w:r>
        <w:rPr>
          <w:color w:val="5A7D3A"/>
          <w:sz w:val="18"/>
        </w:rPr>
        <w:t>https://pubmed.ncbi.nlm.nih.gov/42773967/</w:t>
      </w:r>
    </w:p>
    <w:p>
      <w:pPr>
        <w:pStyle w:val="Heading2"/>
      </w:pPr>
      <w:r>
        <w:t>Schmerzedukation plus Training gegen chronische Schmerzen nach Knieop: RCT-Protokoll</w:t>
      </w:r>
    </w:p>
    <w:p>
      <w:r>
        <w:rPr>
          <w:i/>
          <w:color w:val="666666"/>
          <w:sz w:val="18"/>
        </w:rPr>
        <w:t>Xu J et al.  ·  J Orthop Surg Res  ·  20.08.2026  ·  PMID 42773464</w:t>
      </w:r>
    </w:p>
    <w:p>
      <w:r>
        <w:t>Protokoll für vier-armige RCT mit 148 Patienten nach Totalendoprothese des Knies: Schmerzneurowissenschafts-Edukation (PNE) kombiniert mit Blutfluss-Restriktionstraining (BFRT) gegen chronische postoperative Schmerzen.</w:t>
      </w:r>
    </w:p>
    <w:p>
      <w:r>
        <w:rPr>
          <w:b/>
        </w:rPr>
        <w:t xml:space="preserve">Ergebnis: </w:t>
      </w:r>
      <w:r>
        <w:t>Studiendesign: Kontrolle, PNE allein, BFRT allein, PNE+BFRT. Zwei strukturierte PNE-Sitzungen, 12-wöchiges BFRT. Primärer Endpunkt: KOOS₄-Zeitverlauf. Sekundär: Schmerzintensität, globales Wohlbefinden, psychologische Maße (HADS, PCS), körperliche Tests, Kraft. Follow-up: 12, 24, 36 Wochen. Intention-to-treat-Analyse. Ethikvotum erhalten.</w:t>
      </w:r>
    </w:p>
    <w:p>
      <w:r>
        <w:rPr>
          <w:b/>
          <w:sz w:val="19"/>
        </w:rPr>
        <w:t xml:space="preserve">Übertragbarkeit: </w:t>
      </w:r>
      <w:r>
        <w:rPr>
          <w:sz w:val="19"/>
        </w:rPr>
        <w:t>China-basiert, Studienprotokoll ohne Ergebnisse; methodisch aber auf deutsches Versorgungssystem übertragbar (keine System-Abhängigkeit).</w:t>
      </w:r>
    </w:p>
    <w:p>
      <w:r>
        <w:rPr>
          <w:color w:val="5A7D3A"/>
          <w:sz w:val="18"/>
        </w:rPr>
        <w:t>https://pubmed.ncbi.nlm.nih.gov/42773464/</w:t>
      </w:r>
    </w:p>
    <w:p>
      <w:pPr>
        <w:pStyle w:val="Heading2"/>
      </w:pPr>
      <w:r>
        <w:t>Mental Health Literacy bei Studierenden: Kurs verbessert Verständnis und Sicherheit im Umgang mit Peers</w:t>
      </w:r>
    </w:p>
    <w:p>
      <w:r>
        <w:rPr>
          <w:i/>
          <w:color w:val="666666"/>
          <w:sz w:val="18"/>
        </w:rPr>
        <w:t>Newbold A et al.  ·  BMJ Open  ·  22.09.2026  ·  PMID 42772882</w:t>
      </w:r>
    </w:p>
    <w:p>
      <w:r>
        <w:t>Qualitative Studie mit fünf Fokusgruppen zu 19 Studierenden, die einen asynchronen Mental Health Literacy-Kurs absolvierten.</w:t>
      </w:r>
    </w:p>
    <w:p>
      <w:r>
        <w:rPr>
          <w:b/>
        </w:rPr>
        <w:t xml:space="preserve">Ergebnis: </w:t>
      </w:r>
      <w:r>
        <w:t>Vier Themen aus Erfahrungen: verbessertes Verständnis für psychische Gesundheit, größeres Selbstbewusstsein, besseres Verständnis für andere mit Schwierigkeiten. Kurs wurde als relevant, nützlich und zugänglich bewertet. Empfehlung aller 19 Teilnehmer. Aber: Unsicherheit bei Peer-Unterstützung, Grenzenziehung, Krisenhilfe und professioneller Weitervermittlung identifiziert.</w:t>
      </w:r>
    </w:p>
    <w:p>
      <w:r>
        <w:rPr>
          <w:b/>
          <w:sz w:val="19"/>
        </w:rPr>
        <w:t xml:space="preserve">Übertragbarkeit: </w:t>
      </w:r>
      <w:r>
        <w:rPr>
          <w:sz w:val="19"/>
        </w:rPr>
        <w:t>Großbritannien, vergleichbares Hochschulsystem; auch deutsch anwendbar, nutzt digitales Format ohne technische Barrieren.</w:t>
      </w:r>
    </w:p>
    <w:p>
      <w:r>
        <w:rPr>
          <w:color w:val="5A7D3A"/>
          <w:sz w:val="18"/>
        </w:rPr>
        <w:t>https://pubmed.ncbi.nlm.nih.gov/42772882/</w:t>
      </w:r>
    </w:p>
    <w:p>
      <w:pPr>
        <w:pStyle w:val="Heading2"/>
      </w:pPr>
      <w:r>
        <w:t>Gesundheitskompetenz und psychologische Resilienz vorhersagen Funktionsfähigkeit nach Rückenmarksverletzung</w:t>
      </w:r>
    </w:p>
    <w:p>
      <w:r>
        <w:rPr>
          <w:i/>
          <w:color w:val="666666"/>
          <w:sz w:val="18"/>
        </w:rPr>
        <w:t>Li S et al.  ·  J Rehabil Med  ·  22.09.2026  ·  PMID 42768903</w:t>
      </w:r>
    </w:p>
    <w:p>
      <w:r>
        <w:t>6-Monat-Follow-up-Studie bei 367 Rückenmarksverletzungspatienten: Alter, Resilienz, soziale Unterstützung und Health Literacy als Prädiktoren der funktionalen Fähigkeit (Modified Barthel Index).</w:t>
      </w:r>
    </w:p>
    <w:p>
      <w:r>
        <w:rPr>
          <w:b/>
        </w:rPr>
        <w:t xml:space="preserve">Ergebnis: </w:t>
      </w:r>
      <w:r>
        <w:t>MBI-Scores verbesserten sich leicht (43,50 auf 46,81, geringe Effektgröße). Multivariate Analyse: jüngeres Alter (β = -0,02; p = 0,028), höhere Resilienz (β = 0,22; p &lt; 0,001) und höhere Health Literacy (β = 0,32; p = 0,001) waren unabhängige Prädiktoren besserer Funktionsfähigkeit. Soziale Unterstützung nur in univariater Analyse signifikant (β = 0,44; p = 0,038).</w:t>
      </w:r>
    </w:p>
    <w:p>
      <w:r>
        <w:rPr>
          <w:b/>
          <w:sz w:val="19"/>
        </w:rPr>
        <w:t xml:space="preserve">Übertragbarkeit: </w:t>
      </w:r>
      <w:r>
        <w:rPr>
          <w:sz w:val="19"/>
        </w:rPr>
        <w:t>China, aber Konzepte und Messinstrumente (Health Literacy, Connor-Davidson Resilience) sind international validiert; übertragbar auf deutsche Rehabilitationsstrukturen.</w:t>
      </w:r>
    </w:p>
    <w:p>
      <w:r>
        <w:rPr>
          <w:color w:val="5A7D3A"/>
          <w:sz w:val="18"/>
        </w:rPr>
        <w:t>https://pubmed.ncbi.nlm.nih.gov/42768903/</w:t>
      </w:r>
    </w:p>
    <w:p>
      <w:pPr>
        <w:pStyle w:val="Heading2"/>
      </w:pPr>
      <w:r>
        <w:t>Digitale COPD-Selbstmanagement-App: Proaktive Unterstützung steigert Adhärenz stärker als passive Einführung</w:t>
      </w:r>
    </w:p>
    <w:p>
      <w:r>
        <w:rPr>
          <w:i/>
          <w:color w:val="666666"/>
          <w:sz w:val="18"/>
        </w:rPr>
        <w:t>Ruddock M et al.  ·  JMIR Hum Factors  ·  21.09.2026  ·  PMID 42766845</w:t>
      </w:r>
    </w:p>
    <w:p>
      <w:r>
        <w:t>Qualitative Studie mit 30 Interviews (16 Patienten, 14 Fachkräfte) zu Lieferung und Engagement mit myCOPD-App in zwei englischen NHS-Settings (Gemeinde-Reha und Krankenhausentlassung).</w:t>
      </w:r>
    </w:p>
    <w:p>
      <w:r>
        <w:rPr>
          <w:b/>
        </w:rPr>
        <w:t xml:space="preserve">Ergebnis: </w:t>
      </w:r>
      <w:r>
        <w:t>Zwei Liefermodelle: (1) Gemeindemedzinteams – proaktiv, beziehungsbasiert, iterative Unterstützung, kontinuierlich: multifacettiertes Engagement (routinemäßig, langfristig). (2) Krankenhausteams – passiv, Onboarding-fokussiert, Zeitdruck, Entlassungspriorität: einfaches Engagement (kurzfristig, transaktional). Vulnerabilitätsschichten (Multimorbidität, digitale Fähigkeiten, Sozioökonomie) beeinflussen Priorisierung der COPD-Selbstpflege.</w:t>
      </w:r>
    </w:p>
    <w:p>
      <w:r>
        <w:rPr>
          <w:b/>
          <w:sz w:val="19"/>
        </w:rPr>
        <w:t xml:space="preserve">Übertragbarkeit: </w:t>
      </w:r>
      <w:r>
        <w:rPr>
          <w:sz w:val="19"/>
        </w:rPr>
        <w:t>Großbritannien, NHS-Struktur; System-gebunden an Gatekeeping-Modell und Schichtarbeit; Evidenz zur proaktiven Unterstützung ist systemübergreifend übertragbar.</w:t>
      </w:r>
    </w:p>
    <w:p>
      <w:r>
        <w:rPr>
          <w:color w:val="5A7D3A"/>
          <w:sz w:val="18"/>
        </w:rPr>
        <w:t>https://pubmed.ncbi.nlm.nih.gov/42766845/</w:t>
      </w:r>
    </w:p>
    <w:p>
      <w:pPr>
        <w:pStyle w:val="Heading2"/>
      </w:pPr>
      <w:r>
        <w:t>Patientenbeteiligung bei Studiendesign: Co-Design reduziert Barrieren zur Adhärenz</w:t>
      </w:r>
    </w:p>
    <w:p>
      <w:r>
        <w:rPr>
          <w:i/>
          <w:color w:val="666666"/>
          <w:sz w:val="18"/>
        </w:rPr>
        <w:t>Holze M et al.  ·  Eur J Surg Oncol  ·  28.07.2026  ·  PMID 42570350</w:t>
      </w:r>
    </w:p>
    <w:p>
      <w:r>
        <w:t>Strukturierte 12-Monat-Konzeptphase in Deutschland mit Patientenumfrage, Fokusgruppen und Expertenbeteiligung zur Gestaltung einer RCT zu Prehabilitation vor Darmkrebsoperation.</w:t>
      </w:r>
    </w:p>
    <w:p>
      <w:r>
        <w:rPr>
          <w:b/>
        </w:rPr>
        <w:t xml:space="preserve">Ergebnis: </w:t>
      </w:r>
      <w:r>
        <w:t>Patientenvertreter und klinische Experten einigten sich auf: gezielte Risikogruppe (Alter, Gebrechlichkeit, Ernährung), vierwöchiges ambulantes Prähabilitationsprogramm mit vier Komponenten, Quality of Recovery als primärer Endpunkt. Co-Entwicklung von Adhärenz-Strategien gegen identifizierte Barrieren; Patientenprioritäten führten zu Studiendesign-Änderungen.</w:t>
      </w:r>
    </w:p>
    <w:p>
      <w:r>
        <w:rPr>
          <w:b/>
          <w:sz w:val="19"/>
        </w:rPr>
        <w:t xml:space="preserve">Übertragbarkeit: </w:t>
      </w:r>
      <w:r>
        <w:rPr>
          <w:sz w:val="19"/>
        </w:rPr>
        <w:t>Deutschland, deutsche Patienten und Versorgungssystem; direkt übertragbar.</w:t>
      </w:r>
    </w:p>
    <w:p>
      <w:r>
        <w:rPr>
          <w:color w:val="5A7D3A"/>
          <w:sz w:val="18"/>
        </w:rPr>
        <w:t>https://pubmed.ncbi.nlm.nih.gov/42570350/</w:t>
      </w:r>
    </w:p>
    <w:p>
      <w:pPr>
        <w:pStyle w:val="Heading1"/>
      </w:pPr>
      <w:r>
        <w:t>Aufgenommen am 23.09.2026</w:t>
      </w:r>
    </w:p>
    <w:p>
      <w:pPr>
        <w:pStyle w:val="Heading2"/>
      </w:pPr>
      <w:r>
        <w:t>Schulung zu Gesundheitsinformation stärkt Gesundheitskompetenz in ländlichen Gemeinden</w:t>
      </w:r>
    </w:p>
    <w:p>
      <w:r>
        <w:rPr>
          <w:i/>
          <w:color w:val="666666"/>
          <w:sz w:val="18"/>
        </w:rPr>
        <w:t>Dai R et al.  ·  Ann N Y Acad Sci  ·  Sept. 2026  ·  PMID 42771486</w:t>
      </w:r>
    </w:p>
    <w:p>
      <w:r>
        <w:t>Randomisierte Cluster-Kontrolltrial zu einem theorie-basierten Interventionsprogramm zur Verbesserung der Gesundheitskompetenz bei Erwachsenen in ländlichen Regionen Chinas durch Schulungsmaterialien, WeChat-Messaging, interaktive Vorträge und praktisches Training.</w:t>
      </w:r>
    </w:p>
    <w:p>
      <w:r>
        <w:rPr>
          <w:b/>
        </w:rPr>
        <w:t xml:space="preserve">Ergebnis: </w:t>
      </w:r>
      <w:r>
        <w:t>Das Interventionsprogramm verbesserte signifikant die Verhaltenseinstellung (p&lt;0,001), subjektiven Normen (p&lt;0,001), Verhaltensabsicht (p&lt;0,001), Gesundheitskompetenz-Akquisitionsverhalten (p&lt;0,001) und die allgemeine Gesundheitskompetenz (p&lt;0,001), nicht aber die wahrgenommene Verhaltenskontrolle. Die Effekte zeigten sich konsistent in den Sensitivitätsanalysen.</w:t>
      </w:r>
    </w:p>
    <w:p>
      <w:r>
        <w:rPr>
          <w:b/>
          <w:sz w:val="19"/>
        </w:rPr>
        <w:t xml:space="preserve">Übertragbarkeit: </w:t>
      </w:r>
      <w:r>
        <w:rPr>
          <w:sz w:val="19"/>
        </w:rPr>
        <w:t>China - ländliches Versicherungssystem, begrenzte Internetinfrastruktur wie in Teilen Deutschlands</w:t>
      </w:r>
    </w:p>
    <w:p>
      <w:r>
        <w:rPr>
          <w:color w:val="5A7D3A"/>
          <w:sz w:val="18"/>
        </w:rPr>
        <w:t>https://pubmed.ncbi.nlm.nih.gov/42771486/</w:t>
      </w:r>
    </w:p>
    <w:p>
      <w:pPr>
        <w:pStyle w:val="Heading2"/>
      </w:pPr>
      <w:r>
        <w:t>Transparenz in Transplantationsentscheidungen: Patientenbeteiligung an Ausschusssitzungen</w:t>
      </w:r>
    </w:p>
    <w:p>
      <w:r>
        <w:rPr>
          <w:i/>
          <w:color w:val="666666"/>
          <w:sz w:val="18"/>
        </w:rPr>
        <w:t>Graham N et al.  ·  JAMA Netw Open  ·  01.09.2026  ·  PMID 42771341</w:t>
      </w:r>
    </w:p>
    <w:p>
      <w:r>
        <w:t>Qualitative Studie mit 41 Teilnehmern (19 Patienten, 13 Kliniker, 9 Patienten-Kliniker) zu Perspektiven auf Patientenbeteiligung bei Transplantationsausschuss-Meetings mittels semistrukturierter Interviews und thematischer Analyse.</w:t>
      </w:r>
    </w:p>
    <w:p>
      <w:r>
        <w:rPr>
          <w:b/>
        </w:rPr>
        <w:t xml:space="preserve">Ergebnis: </w:t>
      </w:r>
      <w:r>
        <w:t>Vier Themen wurden identifiziert: Machtausgleich und Autonomie, Prozessverständnis als Empowerment, gegenseitige Verwundbarkeit und Umgang mit Unsicherheit. Teilnehmer befürworteten bedingt die Patientenbeteiligung mit strukturierten Rollen, moderierter Teilnahme, Meeting-Zusammenfassungen und standardisierten Kommunikationsrahmen als Voraussetzungen für Vertrauen und Transparenz.</w:t>
      </w:r>
    </w:p>
    <w:p>
      <w:r>
        <w:rPr>
          <w:b/>
          <w:sz w:val="19"/>
        </w:rPr>
        <w:t xml:space="preserve">Übertragbarkeit: </w:t>
      </w:r>
      <w:r>
        <w:rPr>
          <w:sz w:val="19"/>
        </w:rPr>
        <w:t>USA - Transplantationssystem und ethische Grundlagen unterscheiden sich; Kernfrage nach Transparenz ist systemübergreifend gültig</w:t>
      </w:r>
    </w:p>
    <w:p>
      <w:r>
        <w:rPr>
          <w:color w:val="5A7D3A"/>
          <w:sz w:val="18"/>
        </w:rPr>
        <w:t>https://pubmed.ncbi.nlm.nih.gov/42771341/</w:t>
      </w:r>
    </w:p>
    <w:p>
      <w:pPr>
        <w:pStyle w:val="Heading2"/>
      </w:pPr>
      <w:r>
        <w:t>Strukturiertes Schulungsprogramm reduziert Angst vor der Geburt nachweislich</w:t>
      </w:r>
    </w:p>
    <w:p>
      <w:r>
        <w:rPr>
          <w:i/>
          <w:color w:val="666666"/>
          <w:sz w:val="18"/>
        </w:rPr>
        <w:t>Al Mamari M et al.  ·  Sultan Qaboos Univ Med J  ·  10.09.2026  ·  PMID 42770113</w:t>
      </w:r>
    </w:p>
    <w:p>
      <w:r>
        <w:t>Quasi-experimentelle Vor-Nach-Studie mit 79 Erstgebärenden in Oman zur Wirkung eines strukturierten pränatalen Schulungsprogramms auf die Geburtsangst, gemessen mit dem Self-Evaluation Questionnaire.</w:t>
      </w:r>
    </w:p>
    <w:p>
      <w:r>
        <w:rPr>
          <w:b/>
        </w:rPr>
        <w:t xml:space="preserve">Ergebnis: </w:t>
      </w:r>
      <w:r>
        <w:t>Die Angst-vor-Geburt-Score sank signifikant von 4,35±0,63 vor der Intervention auf 1,79±0,74 zwei Wochen postpartum (Mittelwertdifferenz 2,56 Punkte; 95%-CI: 2,38–2,74; t=27,8; p&lt;0,001; Cohens d=3,12). Die Effektstärke zeigt klinisch relevante Verbesserung.</w:t>
      </w:r>
    </w:p>
    <w:p>
      <w:r>
        <w:rPr>
          <w:b/>
          <w:sz w:val="19"/>
        </w:rPr>
        <w:t xml:space="preserve">Übertragbarkeit: </w:t>
      </w:r>
      <w:r>
        <w:rPr>
          <w:sz w:val="19"/>
        </w:rPr>
        <w:t>Oman - anderes Gesundheitssystem; Befund zur Wirksamkeit von Schulung ist kulturübergreifend übertragbar</w:t>
      </w:r>
    </w:p>
    <w:p>
      <w:r>
        <w:rPr>
          <w:color w:val="5A7D3A"/>
          <w:sz w:val="18"/>
        </w:rPr>
        <w:t>https://pubmed.ncbi.nlm.nih.gov/42770113/</w:t>
      </w:r>
    </w:p>
    <w:p>
      <w:pPr>
        <w:pStyle w:val="Heading2"/>
      </w:pPr>
      <w:r>
        <w:t>Kinderrecht auf echte Mitsprache in Krebsforschung: Beteiligung noch lückenhaft</w:t>
      </w:r>
    </w:p>
    <w:p>
      <w:r>
        <w:rPr>
          <w:i/>
          <w:color w:val="666666"/>
          <w:sz w:val="18"/>
        </w:rPr>
        <w:t>Wieslander KN et al.  ·  Trials  ·  21.09.2026  ·  PMID 42768367</w:t>
      </w:r>
    </w:p>
    <w:p>
      <w:r>
        <w:t>Qualitative Studie mit 11 Kinder mit Krebs, 17 Geschwistern und 9 Eltern in Schweden zur Erfahrung von Assent-Prozessen bei der Teilnahme an pädiatrischer Onkologie-Forschung mittels Interviews und reflexiver thematischer Analyse.</w:t>
      </w:r>
    </w:p>
    <w:p>
      <w:r>
        <w:rPr>
          <w:b/>
        </w:rPr>
        <w:t xml:space="preserve">Ergebnis: </w:t>
      </w:r>
      <w:r>
        <w:t>Zwei Hauptthemen: moralisches und emotionales Engagement für Forschung; relationales Assent durch Vertrauen, Loyalität und elterliche Vermittlung. Kinder zeigten Spektrum von aktiver bis zu minimaler Teilnahme; einige Entscheidungen wurden primär von Eltern getroffen. Familien waren stark motiviert, zur Forschung beizutragen, aber echtes Assent erfordert Kind-zentrierte, flexible und kontextabhängige Prozesse mit ethischem Bewusstsein für Autonomiedynamiken.</w:t>
      </w:r>
    </w:p>
    <w:p>
      <w:r>
        <w:rPr>
          <w:b/>
          <w:sz w:val="19"/>
        </w:rPr>
        <w:t xml:space="preserve">Übertragbarkeit: </w:t>
      </w:r>
      <w:r>
        <w:rPr>
          <w:sz w:val="19"/>
        </w:rPr>
        <w:t>Schweden - europäischer Ethikstandard und Kinderrechte ähnlich Deutschland; Befunde zu echter Beteiligung universal gültig</w:t>
      </w:r>
    </w:p>
    <w:p>
      <w:r>
        <w:rPr>
          <w:color w:val="5A7D3A"/>
          <w:sz w:val="18"/>
        </w:rPr>
        <w:t>https://pubmed.ncbi.nlm.nih.gov/42768367/</w:t>
      </w:r>
    </w:p>
    <w:p>
      <w:pPr>
        <w:pStyle w:val="Heading2"/>
      </w:pPr>
      <w:r>
        <w:t>eHealth-Kompetenz bei Sportstudierenden: niedrig und mehrdimensional beeinflussbar</w:t>
      </w:r>
    </w:p>
    <w:p>
      <w:r>
        <w:rPr>
          <w:i/>
          <w:color w:val="666666"/>
          <w:sz w:val="18"/>
        </w:rPr>
        <w:t>Yin Y et al.  ·  Front Public Health  ·  03.09.2026  ·  PMID 42756107</w:t>
      </w:r>
    </w:p>
    <w:p>
      <w:r>
        <w:t>Online-Umfrage mit 923 Sportstudierenden aus sechs chinesischen Universitäten zur eHealth-Kompetenz mittels standardisiertem Fragebogen und statistischer Analyse von Einflussfaktoren.</w:t>
      </w:r>
    </w:p>
    <w:p>
      <w:r>
        <w:rPr>
          <w:b/>
        </w:rPr>
        <w:t xml:space="preserve">Ergebnis: </w:t>
      </w:r>
      <w:r>
        <w:t>Durchschnittliche eHealth-Literacy-Score 41,91±6,90; adäquate Rate nur 22,2% (205 Personen). Signifikante Einflussfaktoren: Ethnizität (95%-CI: -3,641–-0,408), Geschlecht (95%-CI: 1,292–3,445), selbstbewerteter Gesundheitszustand (95%-CI: -1,276–-0,100), Nutzung von Smart-Wearables (95%-CI: 0,100–0,794), interpersonale Harmonie (95%-CI: 0,379–1,733), Häufigkeit der Internetsuche nach Gesundheitswissen (95%-CI: 0,246–1,099).</w:t>
      </w:r>
    </w:p>
    <w:p>
      <w:r>
        <w:rPr>
          <w:b/>
          <w:sz w:val="19"/>
        </w:rPr>
        <w:t xml:space="preserve">Übertragbarkeit: </w:t>
      </w:r>
      <w:r>
        <w:rPr>
          <w:sz w:val="19"/>
        </w:rPr>
        <w:t>China - Bildungssystem und digitale Infrastruktur unterscheiden sich; Befunde zu demografischen Faktoren sind universal gültig</w:t>
      </w:r>
    </w:p>
    <w:p>
      <w:r>
        <w:rPr>
          <w:color w:val="5A7D3A"/>
          <w:sz w:val="18"/>
        </w:rPr>
        <w:t>https://pubmed.ncbi.nlm.nih.gov/42756107/</w:t>
      </w:r>
    </w:p>
    <w:p>
      <w:pPr>
        <w:pStyle w:val="Heading2"/>
      </w:pPr>
      <w:r>
        <w:t>Shared Decision Making in der Prostatakrebsfrüherkennung bleibt unterentwickelt</w:t>
      </w:r>
    </w:p>
    <w:p>
      <w:r>
        <w:rPr>
          <w:i/>
          <w:color w:val="666666"/>
          <w:sz w:val="18"/>
        </w:rPr>
        <w:t>Oliveira B et al.  ·  BMC Prim Care  ·  26.06.2026  ·  PMID 42363103</w:t>
      </w:r>
    </w:p>
    <w:p>
      <w:r>
        <w:t>Querschnittsstudie mit 107 Hausärzten in Portugal zur Umsetzung von Shared Decision Making (SDM) bei opportunistischem PSA-Screening: Erfassung von Screening-Kriterien, SDM-Praktiken, Entscheidungshilfen und Überweisungsmuster.</w:t>
      </w:r>
    </w:p>
    <w:p>
      <w:r>
        <w:rPr>
          <w:b/>
        </w:rPr>
        <w:t xml:space="preserve">Ergebnis: </w:t>
      </w:r>
      <w:r>
        <w:t>80,4% der Hausärzte erklärten PSA-Tests, aber nur 64,5% diskutierten konsistent Nutzen/Risiken oder erkundeten Patientenpräferenzen. Nur 6,5% nutzen Entscheidungshilfen; 72% waren damit nicht vertraut. Nationale Richtlinien bestimmten die Praxis (75,7%), insbesondere bei unerfahreneren Ärzten (p=0,027). Bevölkerungsbasiertes Screening-Befürwortung nur 12,2%.</w:t>
      </w:r>
    </w:p>
    <w:p>
      <w:r>
        <w:rPr>
          <w:b/>
          <w:sz w:val="19"/>
        </w:rPr>
        <w:t xml:space="preserve">Übertragbarkeit: </w:t>
      </w:r>
      <w:r>
        <w:rPr>
          <w:sz w:val="19"/>
        </w:rPr>
        <w:t>Portugal - Gatekeeping-Hausarztsystem ähnlich Deutschland, vergleichbare Versorgungsstruktur</w:t>
      </w:r>
    </w:p>
    <w:p>
      <w:r>
        <w:rPr>
          <w:color w:val="5A7D3A"/>
          <w:sz w:val="18"/>
        </w:rPr>
        <w:t>https://pubmed.ncbi.nlm.nih.gov/42363103/</w:t>
      </w:r>
    </w:p>
    <w:p>
      <w:pPr>
        <w:pStyle w:val="Heading1"/>
      </w:pPr>
      <w:r>
        <w:t>Aufgenommen am 22.09.2026</w:t>
      </w:r>
    </w:p>
    <w:p>
      <w:pPr>
        <w:pStyle w:val="Heading2"/>
      </w:pPr>
      <w:r>
        <w:t>Patienten in Forschung einbinden: Machbarkeitsstudie zur Beteiligung an Pharmakoepidemiogie</w:t>
      </w:r>
    </w:p>
    <w:p>
      <w:r>
        <w:rPr>
          <w:i/>
          <w:color w:val="666666"/>
          <w:sz w:val="18"/>
        </w:rPr>
        <w:t>Rigoureau J et al.  ·  Health Expect  ·  Okt. 2026  ·  PMID 42765183</w:t>
      </w:r>
    </w:p>
    <w:p>
      <w:r>
        <w:t>Feasibility-Studie zur Beteiligung von Patienten als Forschungspartner in einem Patient Committee für eine Pharmakoepidemiogie-Studie mit französischer Versicherungsdatenbank.</w:t>
      </w:r>
    </w:p>
    <w:p>
      <w:r>
        <w:rPr>
          <w:b/>
        </w:rPr>
        <w:t xml:space="preserve">Ergebnis: </w:t>
      </w:r>
      <w:r>
        <w:t>Drei Patienten rekrutiert (von fünf angestrebt), drei von fünf Meetings mit vollständiger Teilnahme, Konsens bei den meisten Punkten erreicht. Patientenbeteiligung führte zu einer effektiven Änderung eines primären Outcomes und einer zusätzlichen statistischen Analyse. 13 % der codierten Austausche entsprachen den vordefinierten Kategorien. Patienten äußerten Zufriedenheit mit ihrer Beteiligung, wobei die Machbarkeit durch Rekrutierungshindernisse und begrenzte Patientenverständigung eingeschränkt war.</w:t>
      </w:r>
    </w:p>
    <w:p>
      <w:r>
        <w:rPr>
          <w:b/>
          <w:sz w:val="19"/>
        </w:rPr>
        <w:t xml:space="preserve">Übertragbarkeit: </w:t>
      </w:r>
      <w:r>
        <w:rPr>
          <w:sz w:val="19"/>
        </w:rPr>
        <w:t>Frankreich, vergleichbares Versicherungssystem; Training und Methodology müssen an Komplexität angepasst werden.</w:t>
      </w:r>
    </w:p>
    <w:p>
      <w:r>
        <w:rPr>
          <w:color w:val="5A7D3A"/>
          <w:sz w:val="18"/>
        </w:rPr>
        <w:t>https://pubmed.ncbi.nlm.nih.gov/42765183/</w:t>
      </w:r>
    </w:p>
    <w:p>
      <w:pPr>
        <w:pStyle w:val="Heading2"/>
      </w:pPr>
      <w:r>
        <w:t>Ältere Patienten gestalten Sturz-Prävention mit: Partizipatives Design von Schulungsinhalten</w:t>
      </w:r>
    </w:p>
    <w:p>
      <w:r>
        <w:rPr>
          <w:i/>
          <w:color w:val="666666"/>
          <w:sz w:val="18"/>
        </w:rPr>
        <w:t>Heng H et al.  ·  Health Expect  ·  Okt. 2026  ·  PMID 42765165</w:t>
      </w:r>
    </w:p>
    <w:p>
      <w:r>
        <w:t>Qualitativ-partizipative Studie (World Café) mit älteren Patienten zu Anforderungen bei der Umsetzung eines Programms zur Sturzprävention im Krankenhaus.</w:t>
      </w:r>
    </w:p>
    <w:p>
      <w:r>
        <w:rPr>
          <w:b/>
        </w:rPr>
        <w:t xml:space="preserve">Ergebnis: </w:t>
      </w:r>
      <w:r>
        <w:t>33 ältere Konsumenten aus zwei Bundesstaaten in Australien beteiligt. Sie empfahlen Aufmerksamkeit für korrektes Timing der Patientenedukation, Personalisierung und mehrere Vermittlungskanäle. Ward- und Organisationsebene müssen Unterstützung durch Staff, Familien, Freiwillige und Peers sichern, mit klarer Kommunikation und Wiederholung. Konsens: Alle können zusammenarbeiten, um Sturzprävention zu priorisieren.</w:t>
      </w:r>
    </w:p>
    <w:p>
      <w:r>
        <w:rPr>
          <w:b/>
          <w:sz w:val="19"/>
        </w:rPr>
        <w:t xml:space="preserve">Übertragbarkeit: </w:t>
      </w:r>
      <w:r>
        <w:rPr>
          <w:sz w:val="19"/>
        </w:rPr>
        <w:t>Australien, vergleichbare klinische Strukturen; Patientenbeteiligung an Programmdesign übertragbar.</w:t>
      </w:r>
    </w:p>
    <w:p>
      <w:r>
        <w:rPr>
          <w:color w:val="5A7D3A"/>
          <w:sz w:val="18"/>
        </w:rPr>
        <w:t>https://pubmed.ncbi.nlm.nih.gov/42765165/</w:t>
      </w:r>
    </w:p>
    <w:p>
      <w:pPr>
        <w:pStyle w:val="Heading2"/>
      </w:pPr>
      <w:r>
        <w:t>Indikatoren für echte Partnerschaft in Gesundheitsforschung: modifizierte Delphi-Studie</w:t>
      </w:r>
    </w:p>
    <w:p>
      <w:r>
        <w:rPr>
          <w:i/>
          <w:color w:val="666666"/>
          <w:sz w:val="18"/>
        </w:rPr>
        <w:t>Verweij L et al.  ·  Health Expect  ·  Okt. 2026  ·  PMID 42765156</w:t>
      </w:r>
    </w:p>
    <w:p>
      <w:r>
        <w:t>Co-designed modifizierte Delphi-Studie zur Definition von Qualitätsindikatoren für Evaluierung von Partnerschaften zwischen Nutzern und Forschern in Health Research.</w:t>
      </w:r>
    </w:p>
    <w:p>
      <w:r>
        <w:rPr>
          <w:b/>
        </w:rPr>
        <w:t xml:space="preserve">Ergebnis: </w:t>
      </w:r>
      <w:r>
        <w:t>Participatory expert workshop mit 7 Nutzern und 7 Forschern identifizierte 35 potenzielle Indikatoren. Nach zwei Surveyierungsrunden (response rate 11/14 und 13/24) wurden 30 Indikatoren operationalisiert und kategorisiert in Strukturen (n=9), Prozesse (n=9) und Outcomes (n=12) von PPIE. Indikatoren als relevant und von Nutzer- wie Forscherseite akzeptiert eingestuft.</w:t>
      </w:r>
    </w:p>
    <w:p>
      <w:r>
        <w:rPr>
          <w:b/>
          <w:sz w:val="19"/>
        </w:rPr>
        <w:t xml:space="preserve">Übertragbarkeit: </w:t>
      </w:r>
      <w:r>
        <w:rPr>
          <w:sz w:val="19"/>
        </w:rPr>
        <w:t>Schweiz, Europa; Indikatoren sollten in Praxis validiert werden; übertragbare Methodologie.</w:t>
      </w:r>
    </w:p>
    <w:p>
      <w:r>
        <w:rPr>
          <w:color w:val="5A7D3A"/>
          <w:sz w:val="18"/>
        </w:rPr>
        <w:t>https://pubmed.ncbi.nlm.nih.gov/42765156/</w:t>
      </w:r>
    </w:p>
    <w:p>
      <w:pPr>
        <w:pStyle w:val="Heading2"/>
      </w:pPr>
      <w:r>
        <w:t>Verständnis von End-of-Life-Informationen: Validierung einer spanischen Health-Literacy-Skala</w:t>
      </w:r>
    </w:p>
    <w:p>
      <w:r>
        <w:rPr>
          <w:i/>
          <w:color w:val="666666"/>
          <w:sz w:val="18"/>
        </w:rPr>
        <w:t>Meier C et al.  ·  Palliat Support Care  ·  21.09.2026  ·  PMID 42764784</w:t>
      </w:r>
    </w:p>
    <w:p>
      <w:r>
        <w:t>Kulturelle Adaptation und Validierung der spanischen Version der Subjective End-of-Life Health Literacy Scale durch community-basierte Workshops in Argentinien.</w:t>
      </w:r>
    </w:p>
    <w:p>
      <w:r>
        <w:rPr>
          <w:b/>
        </w:rPr>
        <w:t xml:space="preserve">Ergebnis: </w:t>
      </w:r>
      <w:r>
        <w:t>3-Faktor-Struktur (funktional, interaktiv, kritisch) unterstützt; Factor Loadings 0,57–0,91; Cronbach's α=0,89. Qualitatives Feedback verbesserte Klarheit und Kontextrelevanz. Teilnehmer verstanden technische End-of-Life-Terminologie leicht, zeigten aber Unsicherheit bei interaktiven und Entscheidungs-Items, was Herausforderungen bei Anwendung auf persönliche Therapiewahl anzeigt.</w:t>
      </w:r>
    </w:p>
    <w:p>
      <w:r>
        <w:rPr>
          <w:b/>
          <w:sz w:val="19"/>
        </w:rPr>
        <w:t xml:space="preserve">Übertragbarkeit: </w:t>
      </w:r>
      <w:r>
        <w:rPr>
          <w:sz w:val="19"/>
        </w:rPr>
        <w:t>Argentinien/Lateinamerika; Skala als strukturierter Reflexions- und Dialogprompt einsetzbar.</w:t>
      </w:r>
    </w:p>
    <w:p>
      <w:r>
        <w:rPr>
          <w:color w:val="5A7D3A"/>
          <w:sz w:val="18"/>
        </w:rPr>
        <w:t>https://pubmed.ncbi.nlm.nih.gov/42764784/</w:t>
      </w:r>
    </w:p>
    <w:p>
      <w:pPr>
        <w:pStyle w:val="Heading2"/>
      </w:pPr>
      <w:r>
        <w:t>Arzneimittelsicherheit kommunizieren: Was Ärzte über REMS-Programme verstehen und benötigen</w:t>
      </w:r>
    </w:p>
    <w:p>
      <w:r>
        <w:rPr>
          <w:i/>
          <w:color w:val="666666"/>
          <w:sz w:val="18"/>
        </w:rPr>
        <w:t>Zakoul H et al.  ·  Pharmacoepidemiol Drug Saf  ·  Okt. 2026  ·  PMID 42764159</w:t>
      </w:r>
    </w:p>
    <w:p>
      <w:r>
        <w:t>Qualitative Interviews mit 50 Ärzten zu Verständnis, Nutzen und Informationspräferenzen bei Risk Evaluation and Mitigation Strategy (REMS)-Programmen für Arzneimittel mit hohem Sicherheitsrisiko.</w:t>
      </w:r>
    </w:p>
    <w:p>
      <w:r>
        <w:rPr>
          <w:b/>
        </w:rPr>
        <w:t xml:space="preserve">Ergebnis: </w:t>
      </w:r>
      <w:r>
        <w:t>Die meisten Ärzte waren informiert über REMS-Risiken, äußerten aber Bedenken zu nicht abgedeckten Nebenwirkungen. Ärzte wünschten mehr Informationen zu Nebenwirkungsmanagement, bessere Integration in elektronische Patientenakten (EMR), elektronische Kommunikation mit Zusammenfassungen des Nutzen-Risiko-Profils und Links zu klinischen Studien/Literatur, sowie zeitnahe Updates bei neuen Sicherheitsdaten.</w:t>
      </w:r>
    </w:p>
    <w:p>
      <w:r>
        <w:rPr>
          <w:b/>
          <w:sz w:val="19"/>
        </w:rPr>
        <w:t xml:space="preserve">Übertragbarkeit: </w:t>
      </w:r>
      <w:r>
        <w:rPr>
          <w:sz w:val="19"/>
        </w:rPr>
        <w:t>USA-Studie; Kommunikationsformat und Integrationswünsche sind systemunabhängig relevant.</w:t>
      </w:r>
    </w:p>
    <w:p>
      <w:r>
        <w:rPr>
          <w:color w:val="5A7D3A"/>
          <w:sz w:val="18"/>
        </w:rPr>
        <w:t>https://pubmed.ncbi.nlm.nih.gov/42764159/</w:t>
      </w:r>
    </w:p>
    <w:p>
      <w:pPr>
        <w:pStyle w:val="Heading2"/>
      </w:pPr>
      <w:r>
        <w:t>Verständlichkeit und Nutzbarkeit eines KI-Chatbots für Magenkrebs-Patientenschulung</w:t>
      </w:r>
    </w:p>
    <w:p>
      <w:r>
        <w:rPr>
          <w:i/>
          <w:color w:val="666666"/>
          <w:sz w:val="18"/>
        </w:rPr>
        <w:t>Kang Y et al.  ·  J Med Internet Res  ·  10.09.2026  ·  PMID 42721321</w:t>
      </w:r>
    </w:p>
    <w:p>
      <w:r>
        <w:t>Action-Research-Studie zur Entwicklung und Usability-Bewertung eines Health-Education-Conversational-Agent (KI-Chatbot) für Magenkrebs basierend auf RAG-Architektur und OpenMEDLab 2.0.</w:t>
      </w:r>
    </w:p>
    <w:p>
      <w:r>
        <w:rPr>
          <w:b/>
        </w:rPr>
        <w:t xml:space="preserve">Ergebnis: </w:t>
      </w:r>
      <w:r>
        <w:t>44 Patienten, 13 Pflegekräfte und andere Stakeholder beteiligt. Accuracy stieg über 3 Alpha-Test-Runden von 67 % auf 82 %; RAG knowledge hit rates erreichten 100 %. Mean Chatbot Usability Score 91,9 (SD 3,6); Content Relevance Score 3,75 (SD 0,9). Drei Themes identifiziert: Perceived Usefulness, Ease of Use, Intention to Use. Potential zur Reduktion von Workload und Verstärkung der Patientenschulung erkannt.</w:t>
      </w:r>
    </w:p>
    <w:p>
      <w:r>
        <w:rPr>
          <w:b/>
          <w:sz w:val="19"/>
        </w:rPr>
        <w:t xml:space="preserve">Übertragbarkeit: </w:t>
      </w:r>
      <w:r>
        <w:rPr>
          <w:sz w:val="19"/>
        </w:rPr>
        <w:t>China; Methodik und RAG-Technologie-Ansatz übertragbar, aber Genauigkeit und Sicherheit müssen vor klinischem Einsatz weiter validiert werden.</w:t>
      </w:r>
    </w:p>
    <w:p>
      <w:r>
        <w:rPr>
          <w:color w:val="5A7D3A"/>
          <w:sz w:val="18"/>
        </w:rPr>
        <w:t>https://pubmed.ncbi.nlm.nih.gov/42721321/</w:t>
      </w:r>
    </w:p>
    <w:p>
      <w:pPr>
        <w:pStyle w:val="Heading1"/>
      </w:pPr>
      <w:r>
        <w:t>Aufgenommen am 21.09.2026</w:t>
      </w:r>
    </w:p>
    <w:p>
      <w:pPr>
        <w:pStyle w:val="Heading2"/>
      </w:pPr>
      <w:r>
        <w:t>Künstliche Intelligenz antwortet Lungenpatienten: ChatGPT zuverlässiger als Bard und Copilot</w:t>
      </w:r>
    </w:p>
    <w:p>
      <w:r>
        <w:rPr>
          <w:i/>
          <w:color w:val="666666"/>
          <w:sz w:val="18"/>
        </w:rPr>
        <w:t>Nigro M et al.  ·  Ther Adv Respir Dis  ·  17.09.2026  ·  PMID 42755220</w:t>
      </w:r>
    </w:p>
    <w:p>
      <w:r>
        <w:t>28 Expertenärzte und 33 Patienten bewerteten Antworten von ChatGPT, Bard und Copilot auf 15 von Patienten formulierte Bronchiektasen-Fragen nach Zuverlässigkeit, Genauigkeit, Vollständigkeit und Verständlichkeit.</w:t>
      </w:r>
    </w:p>
    <w:p>
      <w:r>
        <w:rPr>
          <w:b/>
        </w:rPr>
        <w:t xml:space="preserve">Ergebnis: </w:t>
      </w:r>
      <w:r>
        <w:t>ChatGPT erreichte höhere Genauigkeitswerte (Median 8,0 [7,0–9,0]) als Copilot und Bard (je 7,0 [6,0–8,0]; p &lt; 0,001); höhere Vollständigkeit (8,0 vs. 7,0; p &lt; 0,001); Verständlichkeit ähnlich bei ChatGPT und Bard (9,0 [8,0–10,0] vs. 9,0 [7,0–10,0]); Copilot weniger verständlich (9,0 [7,0–10,0]; p &lt; 0,001).</w:t>
      </w:r>
    </w:p>
    <w:p>
      <w:r>
        <w:rPr>
          <w:b/>
          <w:sz w:val="19"/>
        </w:rPr>
        <w:t xml:space="preserve">Übertragbarkeit: </w:t>
      </w:r>
      <w:r>
        <w:rPr>
          <w:sz w:val="19"/>
        </w:rPr>
        <w:t>Sprach- und Modellabhängig; Befunde zu englischsprachigen KI-Modellen; Übertragung auf Deutschland erfordert Deutsche-Sprache-Tests.</w:t>
      </w:r>
    </w:p>
    <w:p>
      <w:r>
        <w:rPr>
          <w:color w:val="5A7D3A"/>
          <w:sz w:val="18"/>
        </w:rPr>
        <w:t>https://pubmed.ncbi.nlm.nih.gov/42755220/</w:t>
      </w:r>
    </w:p>
    <w:p>
      <w:pPr>
        <w:pStyle w:val="Heading2"/>
      </w:pPr>
      <w:r>
        <w:t>Computer- und Smartphonenutzung: Indirekter Weg zur Vermeidung von Gebrechlichkeit?</w:t>
      </w:r>
    </w:p>
    <w:p>
      <w:r>
        <w:rPr>
          <w:i/>
          <w:color w:val="666666"/>
          <w:sz w:val="18"/>
        </w:rPr>
        <w:t>Hori N et al.  ·  Geriatr Gerontol Int  ·  Sept. 2026  ·  PMID 42753144</w:t>
      </w:r>
    </w:p>
    <w:p>
      <w:r>
        <w:t>Querschnittstudie mit 423 älteren Erwachsenen (≥65 Jahre) in Japan untersucht, ob Computernutzung für Gesundheitsinformation mit Gebrechlichkeit assoziiert ist und welche Rolle Health Literacy als Mediator spielt.</w:t>
      </w:r>
    </w:p>
    <w:p>
      <w:r>
        <w:rPr>
          <w:b/>
        </w:rPr>
        <w:t xml:space="preserve">Ergebnis: </w:t>
      </w:r>
      <w:r>
        <w:t>Gebrechlichkeitsprävalenz: 3,5 % (15/451); 33,8 % nutzten Computer/Smartphone (143/423). Nicht-direkter Effekt signifikant (β = 0,323, 95%-KI 0,084–0,698); Nicht-Nutzung für Gesundheitsinformation assoziiert mit Gebrechlichkeit, vermittelt durch niedrigere Health Literacy. Longitudinale Studien nötig zur Klärung zeitlicher Abfolge.</w:t>
      </w:r>
    </w:p>
    <w:p>
      <w:r>
        <w:rPr>
          <w:b/>
          <w:sz w:val="19"/>
        </w:rPr>
        <w:t xml:space="preserve">Übertragbarkeit: </w:t>
      </w:r>
      <w:r>
        <w:rPr>
          <w:sz w:val="19"/>
        </w:rPr>
        <w:t>Japan; Muster zu Technologiezugang und Gesundheitskompetenz teilweise übertragbar auf Deutschland, aber Altersgruppen und Infrastruktur unterscheiden sich.</w:t>
      </w:r>
    </w:p>
    <w:p>
      <w:r>
        <w:rPr>
          <w:color w:val="5A7D3A"/>
          <w:sz w:val="18"/>
        </w:rPr>
        <w:t>https://pubmed.ncbi.nlm.nih.gov/42753144/</w:t>
      </w:r>
    </w:p>
    <w:p>
      <w:pPr>
        <w:pStyle w:val="Heading2"/>
      </w:pPr>
      <w:r>
        <w:t>Patientenberichtete Ergebnisse bei Shared Decision Making: Systematischer Review (Protokoll)</w:t>
      </w:r>
    </w:p>
    <w:p>
      <w:r>
        <w:rPr>
          <w:i/>
          <w:color w:val="666666"/>
          <w:sz w:val="18"/>
        </w:rPr>
        <w:t>Yoo SH et al.  ·  BMJ Open  ·  15.09.2026  ·  PMID 42744382</w:t>
      </w:r>
    </w:p>
    <w:p>
      <w:r>
        <w:t>Protokoll für systematischen Review von Shared Decision Making-Interventionsstudien, die patientenberichtete Ergebnisse (PROs) messen – Mapping und Metaanalyse von konstrukten wie Informiertheit, Verständnis von Risiken, Entscheidungskonflikt, Reue und Behandlungslast.</w:t>
      </w:r>
    </w:p>
    <w:p>
      <w:r>
        <w:rPr>
          <w:b/>
        </w:rPr>
        <w:t xml:space="preserve">Ergebnis: </w:t>
      </w:r>
      <w:r>
        <w:t>Protokoll registriert (PROSPERO CRD420261413222); 7 Datenbanken werden systematisch durchsucht; randomisierte und nicht-randomisierte vergleichende Studien werden separat synthetisiert; Risk-of-Bias und Evidenzqualität werden beurteilt. Ergebnisse noch ausstehend, aber Review wird Klarheit über Effektivität von SDM-Interventionen auf für Patienten relevante Ergebnisse geben.</w:t>
      </w:r>
    </w:p>
    <w:p>
      <w:r>
        <w:rPr>
          <w:b/>
          <w:sz w:val="19"/>
        </w:rPr>
        <w:t xml:space="preserve">Übertragbarkeit: </w:t>
      </w:r>
      <w:r>
        <w:rPr>
          <w:sz w:val="19"/>
        </w:rPr>
        <w:t>Internationales Protokoll, übertragbar auf deutschsprachige Literatur über Entscheidungsbeteiligung.</w:t>
      </w:r>
    </w:p>
    <w:p>
      <w:r>
        <w:rPr>
          <w:color w:val="5A7D3A"/>
          <w:sz w:val="18"/>
        </w:rPr>
        <w:t>https://pubmed.ncbi.nlm.nih.gov/42744382/</w:t>
      </w:r>
    </w:p>
    <w:p>
      <w:pPr>
        <w:pStyle w:val="Heading2"/>
      </w:pPr>
      <w:r>
        <w:t>App-gestützte Prehabilitation vor großen Operationen: Senkung der Morbidität um ein Drittel?</w:t>
      </w:r>
    </w:p>
    <w:p>
      <w:r>
        <w:rPr>
          <w:i/>
          <w:color w:val="666666"/>
          <w:sz w:val="18"/>
        </w:rPr>
        <w:t>Sliwinski S et al.  ·  Trials  ·  10.09.2026  ·  PMID 42723102</w:t>
      </w:r>
    </w:p>
    <w:p>
      <w:r>
        <w:t>Randomisierte Kontrolltrial mit 382 Patienten vergleicht ein 3–6-Wochen-Programm mit digitaler Rehabilitation gegen eine Informations-App allein vor Großoperationen.</w:t>
      </w:r>
    </w:p>
    <w:p>
      <w:r>
        <w:rPr>
          <w:b/>
        </w:rPr>
        <w:t xml:space="preserve">Ergebnis: </w:t>
      </w:r>
      <w:r>
        <w:t>Primärer Endpunkt: Reduktion der 90-Tage-Morbidität (Dindo-Clavien I–V) von 60 % auf 45 %. Sekundäre Ziele sind 1-Jahres-Überleben, Lebensqualität, Krankenhausaufenthalt, Wiederaufnahmeraten und Kostenanalyse. Studie noch nicht abgeschlossen, Phase-III-Ergebnisse ausstehend.</w:t>
      </w:r>
    </w:p>
    <w:p>
      <w:r>
        <w:rPr>
          <w:b/>
          <w:sz w:val="19"/>
        </w:rPr>
        <w:t xml:space="preserve">Übertragbarkeit: </w:t>
      </w:r>
      <w:r>
        <w:rPr>
          <w:sz w:val="19"/>
        </w:rPr>
        <w:t>Deutsche Klinikmehrheit, vergleichbare Dokumentationspflichten, deutsch registriert.</w:t>
      </w:r>
    </w:p>
    <w:p>
      <w:r>
        <w:rPr>
          <w:color w:val="5A7D3A"/>
          <w:sz w:val="18"/>
        </w:rPr>
        <w:t>https://pubmed.ncbi.nlm.nih.gov/42723102/</w:t>
      </w:r>
    </w:p>
    <w:p>
      <w:pPr>
        <w:pStyle w:val="Heading2"/>
      </w:pPr>
      <w:r>
        <w:t>Risikomitteilung zu Tropenkrankheiten: Was Gemeinschaften in Tansania verstehen und brauchen</w:t>
      </w:r>
    </w:p>
    <w:p>
      <w:r>
        <w:rPr>
          <w:i/>
          <w:color w:val="666666"/>
          <w:sz w:val="18"/>
        </w:rPr>
        <w:t>Buse CG et al.  ·  PLoS Negl Trop Dis  ·  14.07.2026  ·  PMID 42447149</w:t>
      </w:r>
    </w:p>
    <w:p>
      <w:r>
        <w:t>Qualitative Studie in Nord-Tansania (44 Teilnehmer in Fokusgruppen; 13 Interviews mit Fachpersonen) erfasst, wie Agropastoralistinnen und Agropastorалisten sowie Gesundheitsfachpersonen Informationen zu klimabeeinflussten Tropenkrankheiten verstehen und bewerten.</w:t>
      </w:r>
    </w:p>
    <w:p>
      <w:r>
        <w:rPr>
          <w:b/>
        </w:rPr>
        <w:t xml:space="preserve">Ergebnis: </w:t>
      </w:r>
      <w:r>
        <w:t>Kernfunde: Spannungen zwischen Gemeinschaftsbedarfen und bereitgestellten Informationen; erhebliche Unterschiede in Ressourcen und Informationszugang zwischen städtischen (Arusha) und ländlichen Gebieten (Monduli); Gemeinschaften bevorzugen spezifische Formate für Risikomitteilung, die Praktiker aber nicht immer nutzen.</w:t>
      </w:r>
    </w:p>
    <w:p>
      <w:r>
        <w:rPr>
          <w:b/>
          <w:sz w:val="19"/>
        </w:rPr>
        <w:t xml:space="preserve">Übertragbarkeit: </w:t>
      </w:r>
      <w:r>
        <w:rPr>
          <w:sz w:val="19"/>
        </w:rPr>
        <w:t>Teilweise übertragbar: Muster von Ungleichheit in Zugang und Verständnis gelten global, aber lokale Kontexte (Sprache, Livelihood, Klima) sind zentral.</w:t>
      </w:r>
    </w:p>
    <w:p>
      <w:r>
        <w:rPr>
          <w:color w:val="5A7D3A"/>
          <w:sz w:val="18"/>
        </w:rPr>
        <w:t>https://pubmed.ncbi.nlm.nih.gov/42447149/</w:t>
      </w:r>
    </w:p>
    <w:p>
      <w:pPr>
        <w:pStyle w:val="Heading2"/>
      </w:pPr>
      <w:r>
        <w:t>Patienten als Partner im Datenfluss: Natursprachliche Hausplattform für ältere Menschen</w:t>
      </w:r>
    </w:p>
    <w:p>
      <w:r>
        <w:rPr>
          <w:i/>
          <w:color w:val="666666"/>
          <w:sz w:val="18"/>
        </w:rPr>
        <w:t>Hoogestraat AT et al.  ·  Stud Health Technol Inform  ·  29.06.2026  ·  PMID 42394088</w:t>
      </w:r>
    </w:p>
    <w:p>
      <w:r>
        <w:t>Partizipativ entwickelte Webplattform mit Large Language Model ermöglicht älteren Menschen, Gesundheitsereignisse in eigenen Worten zu dokumentieren und mit Klinikenteam zu teilen.</w:t>
      </w:r>
    </w:p>
    <w:p>
      <w:r>
        <w:rPr>
          <w:b/>
        </w:rPr>
        <w:t xml:space="preserve">Ergebnis: </w:t>
      </w:r>
      <w:r>
        <w:t>Prototyp wurde durch Teilnehmerfeedback iterativ verfeinert; Real-World-Nutzer-Studie läuft. Frühe Rückmeldung zeigt, dass das System das Verständnis der Kliniker für die gelebte Erfahrung zu Hause verbessert und die Brücke zwischen Klinik und Heim überbrückt.</w:t>
      </w:r>
    </w:p>
    <w:p>
      <w:r>
        <w:rPr>
          <w:b/>
          <w:sz w:val="19"/>
        </w:rPr>
        <w:t xml:space="preserve">Übertragbarkeit: </w:t>
      </w:r>
      <w:r>
        <w:rPr>
          <w:sz w:val="19"/>
        </w:rPr>
        <w:t>Deutschland möglich, Sprach- und Systemabhängigkeit bleibt zu prüfen bei Regelversorgung.</w:t>
      </w:r>
    </w:p>
    <w:p>
      <w:r>
        <w:rPr>
          <w:color w:val="5A7D3A"/>
          <w:sz w:val="18"/>
        </w:rPr>
        <w:t>https://pubmed.ncbi.nlm.nih.gov/42394088/</w:t>
      </w:r>
    </w:p>
    <w:p>
      <w:pPr>
        <w:pStyle w:val="Heading1"/>
      </w:pPr>
      <w:r>
        <w:t>Aufgenommen am 20.09.2026</w:t>
      </w:r>
    </w:p>
    <w:p>
      <w:pPr>
        <w:pStyle w:val="Heading2"/>
      </w:pPr>
      <w:r>
        <w:t>Kurze Fragebogenschulung verbessert Patienten-wissen zu Antikoagulation</w:t>
      </w:r>
    </w:p>
    <w:p>
      <w:r>
        <w:rPr>
          <w:i/>
          <w:color w:val="666666"/>
          <w:sz w:val="18"/>
        </w:rPr>
        <w:t>Sarger T et al.  ·  Medicine (Baltimore)  ·  18.09.2026  ·  PMID 42760734</w:t>
      </w:r>
    </w:p>
    <w:p>
      <w:r>
        <w:t>Eine französische Studie untersuchte, ob ein 7-Item-Fragebogen zur Venenthromboembolie (7VTE-Quest), der in der Wartezimmer ausgefüllt und zur Patientenedukation in der Konsultation genutzt wurde, das Patientenwissen über Antikoagulationstherapie verbessert.</w:t>
      </w:r>
    </w:p>
    <w:p>
      <w:r>
        <w:rPr>
          <w:b/>
        </w:rPr>
        <w:t xml:space="preserve">Ergebnis: </w:t>
      </w:r>
      <w:r>
        <w:t>Bei 135 Patienten mit Antikoagulation ≥3 Monate verbesserte sich der Fragebogscore bei 56,5% (74/131 nach Ausschluss von 4 mit Perfectem Score) bei der zweiten Beantwortung nach durchschnittlich 211 Tagen. Größte Gewinne: 20,0% besser beim Umgang mit vergessenen Dosen, 11,1% bei NSAID-Wechselwirkungen. Allerdings zeigte sich auch Wissensverlust in allen Items (1,6–40%), besonders bei NSAID-Kontraindikation (40,0% vergaßen diese). Die Studie zeigt begrenzte, aber nachweisbare Wissenserbesserung.</w:t>
      </w:r>
    </w:p>
    <w:p>
      <w:r>
        <w:rPr>
          <w:b/>
          <w:sz w:val="19"/>
        </w:rPr>
        <w:t xml:space="preserve">Übertragbarkeit: </w:t>
      </w:r>
      <w:r>
        <w:rPr>
          <w:sz w:val="19"/>
        </w:rPr>
        <w:t>Frankreich, vergleichbares Versicherungssystem; Teach-Back-ähnliche Methode übertragbar auf deutschsprachige Antikoagulations-Praxen.</w:t>
      </w:r>
    </w:p>
    <w:p>
      <w:r>
        <w:rPr>
          <w:color w:val="5A7D3A"/>
          <w:sz w:val="18"/>
        </w:rPr>
        <w:t>https://pubmed.ncbi.nlm.nih.gov/42760734/</w:t>
      </w:r>
    </w:p>
    <w:p>
      <w:pPr>
        <w:pStyle w:val="Heading2"/>
      </w:pPr>
      <w:r>
        <w:t>KI-Chatbot gibt zu Akne oft oberflächliche oder fehlerhafte Ratschläge</w:t>
      </w:r>
    </w:p>
    <w:p>
      <w:r>
        <w:rPr>
          <w:i/>
          <w:color w:val="666666"/>
          <w:sz w:val="18"/>
        </w:rPr>
        <w:t>Caf N et al.  ·  Medicine (Baltimore)  ·  18.09.2026  ·  PMID 42760683</w:t>
      </w:r>
    </w:p>
    <w:p>
      <w:r>
        <w:t>Eine türkische Studie ließ ChatGPT-5 25 häufig gestellte Akne-Patientenfragen beantworten und ließ Dermatologen die Qualität in vier Domänen bewerten.</w:t>
      </w:r>
    </w:p>
    <w:p>
      <w:r>
        <w:rPr>
          <w:b/>
        </w:rPr>
        <w:t xml:space="preserve">Ergebnis: </w:t>
      </w:r>
      <w:r>
        <w:t>Von 75 Antworten waren 49 (65,3%) angemessen. Höchste Angemessenheit bei Hautpflege (83,3%) und Ernährung (77,8%), niedrigst bei Behandlung (50,0%) und Diagnose (33,3%). Häufigste Fehler: irreführende Information und zu technische Sprache, gefolgt von fehlender Sicherheitshinweisen. Inter-Rater-Übereinstimmung war niedrig. ChatGPT kann Einführungsinformation geben, aber Diagnose- und Behandlungsleitlinien erfordern ärztliche Überwachung.</w:t>
      </w:r>
    </w:p>
    <w:p>
      <w:r>
        <w:rPr>
          <w:b/>
          <w:sz w:val="19"/>
        </w:rPr>
        <w:t xml:space="preserve">Übertragbarkeit: </w:t>
      </w:r>
      <w:r>
        <w:rPr>
          <w:sz w:val="19"/>
        </w:rPr>
        <w:t>Türkei; Befund zu Grenzen von KI bei sensiblen Diagnosen/Therapie ist sprachunabhängig, aber deutsche Ärzte-Verantwortung unterscheidet sich nicht.</w:t>
      </w:r>
    </w:p>
    <w:p>
      <w:r>
        <w:rPr>
          <w:color w:val="5A7D3A"/>
          <w:sz w:val="18"/>
        </w:rPr>
        <w:t>https://pubmed.ncbi.nlm.nih.gov/42760683/</w:t>
      </w:r>
    </w:p>
    <w:p>
      <w:pPr>
        <w:pStyle w:val="Heading2"/>
      </w:pPr>
      <w:r>
        <w:t>Elternpräferenzen bei Entscheidungen zu Lebensende von Neugeborenen: Vielfalt statt Schablone</w:t>
      </w:r>
    </w:p>
    <w:p>
      <w:r>
        <w:rPr>
          <w:i/>
          <w:color w:val="666666"/>
          <w:sz w:val="18"/>
        </w:rPr>
        <w:t>Kuehlmeyer K et al.  ·  BMC Med Ethics  ·  18.09.2026  ·  PMID 42760532</w:t>
      </w:r>
    </w:p>
    <w:p>
      <w:r>
        <w:t>Diese Meta-Ethnographie von 16 qualitativen Studien zu Elternperspektiven analysierte, wie Eltern ihre Rolle bei medizinischen Entscheidungen am Lebensende ihres (ungeborenen) Kindes erleben und welche Entscheidungsbeteiligung sie bevorzugen.</w:t>
      </w:r>
    </w:p>
    <w:p>
      <w:r>
        <w:rPr>
          <w:b/>
        </w:rPr>
        <w:t xml:space="preserve">Ergebnis: </w:t>
      </w:r>
      <w:r>
        <w:t>Die Synthese identifizierte vier Entscheidungsmodelle basierend auf Elternerfahrung: stilles Zustimmungsmodell, Empfehlungsannahmemodell, geteiltes Deliberationsmodell und Präferenzbestimmungsmodell. Entgegen theoretischer Literatur wurde das geteilte Deliberationsmodell (Shared Decision Making) nur in zwei Studien von Eltern beschrieben. Die meisten Eltern wollten ihre Erfahrung wiederholen, unabhängig von ihrer Rolle. Schlüsselfund: Elternpräferenzen und Beteiligung variieren erheblich je Kontext; keine einzige Richtlinien-empfohlene Methode passt allen.</w:t>
      </w:r>
    </w:p>
    <w:p>
      <w:r>
        <w:rPr>
          <w:b/>
          <w:sz w:val="19"/>
        </w:rPr>
        <w:t xml:space="preserve">Übertragbarkeit: </w:t>
      </w:r>
      <w:r>
        <w:rPr>
          <w:sz w:val="19"/>
        </w:rPr>
        <w:t>Deutschland (LMU München), europäische Perinatalmedizin; zeigt Grenzen universalisierter SDM-Leitlinien bei kulturell unterschiedlichen Familienstrukturen.</w:t>
      </w:r>
    </w:p>
    <w:p>
      <w:r>
        <w:rPr>
          <w:color w:val="5A7D3A"/>
          <w:sz w:val="18"/>
        </w:rPr>
        <w:t>https://pubmed.ncbi.nlm.nih.gov/42760532/</w:t>
      </w:r>
    </w:p>
    <w:p>
      <w:pPr>
        <w:pStyle w:val="Heading2"/>
      </w:pPr>
      <w:r>
        <w:t>KI-Chatbots zu diabetischer Neuropathie: ChatGPT führt, aber alle haben Sicherheitslücken</w:t>
      </w:r>
    </w:p>
    <w:p>
      <w:r>
        <w:rPr>
          <w:i/>
          <w:color w:val="666666"/>
          <w:sz w:val="18"/>
        </w:rPr>
        <w:t>Gu L et al.  ·  Front Public Health  ·  03.09.2026  ·  PMID 42757292</w:t>
      </w:r>
    </w:p>
    <w:p>
      <w:r>
        <w:t>Eine chinesische Studie verglich fünf KI-Chatbots (ChatGPT, Gemini, Copilot, DeepSeek, Doubao) in Sicherheit, Genauigkeit, Leitlinienkonkordanz, Handlungsfähigkeit und Lesbarkeit bei standardisierten Patient:innenfragen zur schmerzhaften diabetischen peripheren Neuropathie.</w:t>
      </w:r>
    </w:p>
    <w:p>
      <w:r>
        <w:rPr>
          <w:b/>
        </w:rPr>
        <w:t xml:space="preserve">Ergebnis: </w:t>
      </w:r>
      <w:r>
        <w:t>300 Antworten analysiert, hohe Inter-Rater-Übereinstimmung (κ = 0,87–0,88). 28 Antworten (9,3%) unsicher oder potenziell unsicher; Unsicherheitsraten 5–15%, kein signifikanter Unterschied zwischen Modellen (p = 0,347). ChatGPT höhere Genauigkeit und Leitlinienkonkordanz (alle p &lt; 0,001), DeepSeek niedriger. Lesbarkeit unterschied sich (p &lt; 0,001); ChatGPT und Doubao weniger komplex als DeepSeek. Fazit: Jedes System erzeugte mindestens eine Antwort mit Potenzial für unangemessenes Selbstmanagement oder verzögerte Fachberatung. KI für Allgemeinbildung, aber Medikation und Risiko-einschätzung erfordern ärztliche Prüfung.</w:t>
      </w:r>
    </w:p>
    <w:p>
      <w:r>
        <w:rPr>
          <w:b/>
          <w:sz w:val="19"/>
        </w:rPr>
        <w:t xml:space="preserve">Übertragbarkeit: </w:t>
      </w:r>
      <w:r>
        <w:rPr>
          <w:sz w:val="19"/>
        </w:rPr>
        <w:t>China; Sicherheitsbefunde zur KI-Lückenhaftigkeit übertragbar auf deutschsprachige Patienten-Chatbot-Risiken.</w:t>
      </w:r>
    </w:p>
    <w:p>
      <w:r>
        <w:rPr>
          <w:color w:val="5A7D3A"/>
          <w:sz w:val="18"/>
        </w:rPr>
        <w:t>https://pubmed.ncbi.nlm.nih.gov/42757292/</w:t>
      </w:r>
    </w:p>
    <w:p>
      <w:pPr>
        <w:pStyle w:val="Heading2"/>
      </w:pPr>
      <w:r>
        <w:t>Kritische Evaluation von Online-Gesundheitsinformation schwach bei Studierenden</w:t>
      </w:r>
    </w:p>
    <w:p>
      <w:r>
        <w:rPr>
          <w:i/>
          <w:color w:val="666666"/>
          <w:sz w:val="18"/>
        </w:rPr>
        <w:t>Sarcone A et al.  ·  Front Public Health  ·  31.08.2026  ·  PMID 42740965</w:t>
      </w:r>
    </w:p>
    <w:p>
      <w:r>
        <w:t>Eine italienische Querschnittsstudie mit 407 Studierenden untersuchte, wo sie Gesundheitsinformationen suchen, wie kritisch sie diese bewerten und wie das mit Wissenschaftshaltung zusammenhängt.</w:t>
      </w:r>
    </w:p>
    <w:p>
      <w:r>
        <w:rPr>
          <w:b/>
        </w:rPr>
        <w:t xml:space="preserve">Ergebnis: </w:t>
      </w:r>
      <w:r>
        <w:t>75,43% nutzen Social Media als Gesundheitsinformation, aber nur 12,78% halten das für zuverlässig; 94,10% vertrauen dem Arzt. Aber nur 15,72% berichten über Fähigkeit zur kritischen Online-Inhaltsauswahl. Positive Wissenschaftshaltung bestand oft neben schwacher kritischer Evaluationskompetenz. Frauen zeigten mehr Sensibilität für ethische Dimensionen (OR = 1,61). Befund: Positive Einstellungen reichen nicht aus; spezialisierte Digital-Health-Literacy-Schulung in Curricula nötig.</w:t>
      </w:r>
    </w:p>
    <w:p>
      <w:r>
        <w:rPr>
          <w:b/>
          <w:sz w:val="19"/>
        </w:rPr>
        <w:t xml:space="preserve">Übertragbarkeit: </w:t>
      </w:r>
      <w:r>
        <w:rPr>
          <w:sz w:val="19"/>
        </w:rPr>
        <w:t>Italien; Befund zur Diskrepanz zwischen Vertrauen und kritischer Kompetenz gilt für deutschsprachige Studierende analog.</w:t>
      </w:r>
    </w:p>
    <w:p>
      <w:r>
        <w:rPr>
          <w:color w:val="5A7D3A"/>
          <w:sz w:val="18"/>
        </w:rPr>
        <w:t>https://pubmed.ncbi.nlm.nih.gov/42740965/</w:t>
      </w:r>
    </w:p>
    <w:p>
      <w:pPr>
        <w:pStyle w:val="Heading2"/>
      </w:pPr>
      <w:r>
        <w:t>Spanische Schulskala zu psychischer Gesundheit: Adoleszenten unterstützen schwächer als Fachkräfte</w:t>
      </w:r>
    </w:p>
    <w:p>
      <w:r>
        <w:rPr>
          <w:i/>
          <w:color w:val="666666"/>
          <w:sz w:val="18"/>
        </w:rPr>
        <w:t>Alonso Martínez L et al.  ·  Acta Psychol (Amst)  ·  27.06.2026  ·  PMID 42364393</w:t>
      </w:r>
    </w:p>
    <w:p>
      <w:r>
        <w:t>Eine spanische Studie entwickelte und validierte die Spanish Mental Health Support Scale for Adolescents (MHSSA) mit 578 Personen (Schüler:innen ab 13 Jahren, zukünftige Schulgesundheitsfachkräfte) zur Messung unterstützenden Verhaltens bei psychischen Problemen.</w:t>
      </w:r>
    </w:p>
    <w:p>
      <w:r>
        <w:rPr>
          <w:b/>
        </w:rPr>
        <w:t xml:space="preserve">Ergebnis: </w:t>
      </w:r>
      <w:r>
        <w:t>Zwei-Faktor-Struktur (hilfreich/schädlich), Cronbachs α = 0,88, Test-Retest-Reliabilität ICC = 0,88. Baseline: Adoleszenten zeigten niedrigere Unterstützungsfähigkeiten als Fachkräfte. Nach Intervention signifikante Verbesserungen. Höhere Unterstützungsintentionen bei Frauen, nach Intervention, mit eigener Erfahrung psychischer Probleme und bei Fachkräften. Scores assoziiert mit niedrigeren Stigma-Einstellungen und höherer Mental-Health-Literacy. Schlüsselbefund: Schulisches Wissen über psychische Gesundheit ist interventionsabhängig und zeigt Chancen für Peer-Unterstützung in der Schule.</w:t>
      </w:r>
    </w:p>
    <w:p>
      <w:r>
        <w:rPr>
          <w:b/>
          <w:sz w:val="19"/>
        </w:rPr>
        <w:t xml:space="preserve">Übertragbarkeit: </w:t>
      </w:r>
      <w:r>
        <w:rPr>
          <w:sz w:val="19"/>
        </w:rPr>
        <w:t>Spanien, vergleichbares Schulsystem; Mental-Health-Literacy-Schulung in Schulen übertragbar auf Deutschland, aber kulturelle Stigma-Unterschiede beachten.</w:t>
      </w:r>
    </w:p>
    <w:p>
      <w:r>
        <w:rPr>
          <w:color w:val="5A7D3A"/>
          <w:sz w:val="18"/>
        </w:rPr>
        <w:t>https://pubmed.ncbi.nlm.nih.gov/42364393/</w:t>
      </w:r>
    </w:p>
    <w:p>
      <w:pPr>
        <w:pStyle w:val="Heading1"/>
      </w:pPr>
      <w:r>
        <w:t>Aufgenommen am 19.09.2026</w:t>
      </w:r>
    </w:p>
    <w:p>
      <w:pPr>
        <w:pStyle w:val="Heading2"/>
      </w:pPr>
      <w:r>
        <w:t>Patientenedukation zur Therapieadhärenz bei Krebs in afrikanischen Ländern</w:t>
      </w:r>
    </w:p>
    <w:p>
      <w:r>
        <w:rPr>
          <w:i/>
          <w:color w:val="666666"/>
          <w:sz w:val="18"/>
        </w:rPr>
        <w:t>Alem DT et al.  ·  Support Care Cancer  ·  18.09.2026  ·  PMID 42758338</w:t>
      </w:r>
    </w:p>
    <w:p>
      <w:r>
        <w:t>Scoping Review zu Schulungsmaßnahmen, die Therapieadhärenz bei Krebspatienten in ressourcenlimitierten Ländern Afrikas verbessern.</w:t>
      </w:r>
    </w:p>
    <w:p>
      <w:r>
        <w:rPr>
          <w:b/>
        </w:rPr>
        <w:t xml:space="preserve">Ergebnis: </w:t>
      </w:r>
      <w:r>
        <w:t>11 eingeschlossene Studien zeigen: Wirksame Strategien sind technologiegestützte Bildung, direkte Vorträge, Rollenspiele und Demonstrationen in Gruppen- und Einzelsitzungen. Barrieren sind niedrige Health Literacy (53 %), finanzielle Belastung, Kulturelle Faktoren und begrenzte Gesundheitsinfrastruktur.</w:t>
      </w:r>
    </w:p>
    <w:p>
      <w:r>
        <w:rPr>
          <w:b/>
          <w:sz w:val="19"/>
        </w:rPr>
        <w:t xml:space="preserve">Übertragbarkeit: </w:t>
      </w:r>
      <w:r>
        <w:rPr>
          <w:sz w:val="19"/>
        </w:rPr>
        <w:t>Afrika mit begrenzten Ressourcen; Erkenntnisse zur Rolle von Health Literacy, Familie und interpersonalen Beziehungen sind systemübergreifend relevant.</w:t>
      </w:r>
    </w:p>
    <w:p>
      <w:r>
        <w:rPr>
          <w:color w:val="5A7D3A"/>
          <w:sz w:val="18"/>
        </w:rPr>
        <w:t>https://pubmed.ncbi.nlm.nih.gov/42758338/</w:t>
      </w:r>
    </w:p>
    <w:p>
      <w:pPr>
        <w:pStyle w:val="Heading2"/>
      </w:pPr>
      <w:r>
        <w:t>Geschlechtsunterschiede in digitaler Gesundheitskompetenz von Studierenden</w:t>
      </w:r>
    </w:p>
    <w:p>
      <w:r>
        <w:rPr>
          <w:i/>
          <w:color w:val="666666"/>
          <w:sz w:val="18"/>
        </w:rPr>
        <w:t>Song Y et al.  ·  Front Public Health  ·  03.09.2026  ·  PMID 42756360</w:t>
      </w:r>
    </w:p>
    <w:p>
      <w:r>
        <w:t>Querschnittsanalyse von 7.230 chinesischen Studierenden mit Fairlie-Dekomposition zur Quantifizierung der Beiträge einzelner Faktoren zu Geschlechtsdisparitäten in eHealth Literacy.</w:t>
      </w:r>
    </w:p>
    <w:p>
      <w:r>
        <w:rPr>
          <w:b/>
        </w:rPr>
        <w:t xml:space="preserve">Ergebnis: </w:t>
      </w:r>
      <w:r>
        <w:t>57,2 % der Studierenden unterschreiten die eHEALS-Schwelle (≥32 Punkte). Frauen haben höhere Quote inadequater eHealth Literacy (59,07 % vs. Männer 53,44 %; p&lt;0,001). Fairlie-Dekomposition: 45 % der Disparität attributierbar auf depressive Symptome (28,57 %), Haushaltstyp (14,29 %), Einkommen (10,71 %) und Bewegung (-3,57 %); 55 % auf unmessbare Faktoren.</w:t>
      </w:r>
    </w:p>
    <w:p>
      <w:r>
        <w:rPr>
          <w:b/>
          <w:sz w:val="19"/>
        </w:rPr>
        <w:t xml:space="preserve">Übertragbarkeit: </w:t>
      </w:r>
      <w:r>
        <w:rPr>
          <w:sz w:val="19"/>
        </w:rPr>
        <w:t>China, aber psychische Gesundheit, Socioeconomic Status und Lifestyle-Faktoren sind in Gesundheitssystemen relevant; Dekompositionsmethode systemübergreifend anwendbar.</w:t>
      </w:r>
    </w:p>
    <w:p>
      <w:r>
        <w:rPr>
          <w:color w:val="5A7D3A"/>
          <w:sz w:val="18"/>
        </w:rPr>
        <w:t>https://pubmed.ncbi.nlm.nih.gov/42756360/</w:t>
      </w:r>
    </w:p>
    <w:p>
      <w:pPr>
        <w:pStyle w:val="Heading2"/>
      </w:pPr>
      <w:r>
        <w:t>Animierte Videos für Reha-Compliance nach Schulteroperationen</w:t>
      </w:r>
    </w:p>
    <w:p>
      <w:r>
        <w:rPr>
          <w:i/>
          <w:color w:val="666666"/>
          <w:sz w:val="18"/>
        </w:rPr>
        <w:t>Zhang S et al.  ·  Ann Ital Chir  ·  15.09.2026  ·  PMID 42755316</w:t>
      </w:r>
    </w:p>
    <w:p>
      <w:r>
        <w:t>Randomisierte Studie vergleicht kombinierte Video-Intervention (Animation + Praxis-Demonstration + App-Anleitung) mit Standardberatung bei postoperativer Funktionsübung nach Schultergelenkspiegelung.</w:t>
      </w:r>
    </w:p>
    <w:p>
      <w:r>
        <w:rPr>
          <w:b/>
        </w:rPr>
        <w:t xml:space="preserve">Ergebnis: </w:t>
      </w:r>
      <w:r>
        <w:t>Experimental-Gruppe zeigte signifikant höhere Übungs-Compliance nach 6 Wochen (90 % vs. 71,43 %), 3 Monaten (78,57 % vs. 57,14 %) und 6 Monaten (71,43 % vs. 41,43 %; alle p&lt;0,05). Korrekte Schiene-Nutzung nach 1 Woche 75,71 % vs. 41,43 %, nach 6 Wochen 88,57 % vs. 58,57 % (beide p&lt;0,001). Komplikationen sanken von 24,29 % auf 8,57 % (p=0,012).</w:t>
      </w:r>
    </w:p>
    <w:p>
      <w:r>
        <w:rPr>
          <w:b/>
          <w:sz w:val="19"/>
        </w:rPr>
        <w:t xml:space="preserve">Übertragbarkeit: </w:t>
      </w:r>
      <w:r>
        <w:rPr>
          <w:sz w:val="19"/>
        </w:rPr>
        <w:t>China, aber Intervention (Video + App) ist sprach- und plattformgebunden; Mechanismus der Compliance-Verbesserung durch verständliche Materialien übertragbar.</w:t>
      </w:r>
    </w:p>
    <w:p>
      <w:r>
        <w:rPr>
          <w:color w:val="5A7D3A"/>
          <w:sz w:val="18"/>
        </w:rPr>
        <w:t>https://pubmed.ncbi.nlm.nih.gov/42755316/</w:t>
      </w:r>
    </w:p>
    <w:p>
      <w:pPr>
        <w:pStyle w:val="Heading2"/>
      </w:pPr>
      <w:r>
        <w:t>Messung von Shared Decision Making: Core Outcome Set für einheitliche Bewertung</w:t>
      </w:r>
    </w:p>
    <w:p>
      <w:r>
        <w:rPr>
          <w:i/>
          <w:color w:val="666666"/>
          <w:sz w:val="18"/>
        </w:rPr>
        <w:t>Hoffmann C et al.  ·  BMJ Open  ·  15.09.2026  ·  PMID 42744360</w:t>
      </w:r>
    </w:p>
    <w:p>
      <w:r>
        <w:t>Studie entwickelt standardisierte Messkriterien für die Evaluation von Shared Decision Making-Interventionen durch internationale Expertengruppen und Patientenbeteiligung.</w:t>
      </w:r>
    </w:p>
    <w:p>
      <w:r>
        <w:rPr>
          <w:b/>
        </w:rPr>
        <w:t xml:space="preserve">Ergebnis: </w:t>
      </w:r>
      <w:r>
        <w:t>Geplante Core Outcome Set mit Delphi-Befragung (≥150 internationale Teilnehmer) und Consensus Meetings; Abschluss September 2026. Ziel ist, Heterogenität bei der Bewertung von SDM-Interventionen zu reduzieren und vergleichbare Evaluationen zu ermöglichen.</w:t>
      </w:r>
    </w:p>
    <w:p>
      <w:r>
        <w:rPr>
          <w:b/>
          <w:sz w:val="19"/>
        </w:rPr>
        <w:t xml:space="preserve">Übertragbarkeit: </w:t>
      </w:r>
      <w:r>
        <w:rPr>
          <w:sz w:val="19"/>
        </w:rPr>
        <w:t>Großbritannien, international mit deutscher Beteiligung (Universitäten Hamburg, Schleswig-Holstein, Düsseldorf); vergleichbare Gesundheitssysteme.</w:t>
      </w:r>
    </w:p>
    <w:p>
      <w:r>
        <w:rPr>
          <w:color w:val="5A7D3A"/>
          <w:sz w:val="18"/>
        </w:rPr>
        <w:t>https://pubmed.ncbi.nlm.nih.gov/42744360/</w:t>
      </w:r>
    </w:p>
    <w:p>
      <w:pPr>
        <w:pStyle w:val="Heading2"/>
      </w:pPr>
      <w:r>
        <w:t>Patientenzentrierte Retention in Langzeitkohorten: Befragte nennen Hürden</w:t>
      </w:r>
    </w:p>
    <w:p>
      <w:r>
        <w:rPr>
          <w:i/>
          <w:color w:val="666666"/>
          <w:sz w:val="18"/>
        </w:rPr>
        <w:t>Di Meglio A et al.  ·  JAMA Netw Open  ·  01.09.2026  ·  PMID 42734916</w:t>
      </w:r>
    </w:p>
    <w:p>
      <w:r>
        <w:t>Mixed-Methods-Studie in der CANTO-Kohort (11.413 Brustkrebsüberlebende) mit Fragebogen und qualitativer Analyse, um Abbruchfaktoren und Retentionsstrategien zu identifizieren.</w:t>
      </w:r>
    </w:p>
    <w:p>
      <w:r>
        <w:rPr>
          <w:b/>
        </w:rPr>
        <w:t xml:space="preserve">Ergebnis: </w:t>
      </w:r>
      <w:r>
        <w:t>Nonresponsiveness stieg von 1,3 % (Jahr 1) auf 25,8 % (Jahr 6). Risikofaktoren: niedriges Einkommen (&lt;1.500 € vs. ≥3.000 €: aOR 1,51), Rauchen (aOR 1,37), kleine Zentren (aOR 1,88). Befragte bevorzugten Remote-Questionnaires (94,8 %), digitale Completion (95,4 %), flexible Zeitpläne (67,4 %) und regelmäßige Feedback (71,4 %). Qualitativ: Burden-Reduction, dezentralisierte Teilnahme und Navigation als Facilitator.</w:t>
      </w:r>
    </w:p>
    <w:p>
      <w:r>
        <w:rPr>
          <w:b/>
          <w:sz w:val="19"/>
        </w:rPr>
        <w:t xml:space="preserve">Übertragbarkeit: </w:t>
      </w:r>
      <w:r>
        <w:rPr>
          <w:sz w:val="19"/>
        </w:rPr>
        <w:t>Frankreich/Europa, vergleichbare Sozialversicherung; Erkenntnisse zu Social Inequality und Partizipationshürden hochgradig systemübertragbar.</w:t>
      </w:r>
    </w:p>
    <w:p>
      <w:r>
        <w:rPr>
          <w:color w:val="5A7D3A"/>
          <w:sz w:val="18"/>
        </w:rPr>
        <w:t>https://pubmed.ncbi.nlm.nih.gov/42734916/</w:t>
      </w:r>
    </w:p>
    <w:p>
      <w:pPr>
        <w:pStyle w:val="Heading2"/>
      </w:pPr>
      <w:r>
        <w:t>Wie Risikoperception und Informationssuche Impfbereitschaft lenken</w:t>
      </w:r>
    </w:p>
    <w:p>
      <w:r>
        <w:rPr>
          <w:i/>
          <w:color w:val="666666"/>
          <w:sz w:val="18"/>
        </w:rPr>
        <w:t>Liu RW et al.  ·  J Health Commun  ·  23.06.2026  ·  PMID 42338078</w:t>
      </w:r>
    </w:p>
    <w:p>
      <w:r>
        <w:t>Studie testet das erweiterte Integrative Behavioral Prediction Model: Wie Risikowahrnehmung über Informationssuche und kognitive Überzeugungen zu Impfintention führt, in Italien und USA.</w:t>
      </w:r>
    </w:p>
    <w:p>
      <w:r>
        <w:rPr>
          <w:b/>
        </w:rPr>
        <w:t xml:space="preserve">Ergebnis: </w:t>
      </w:r>
      <w:r>
        <w:t>Italien: Risikowahrnehmung führte zu Impfintention durch Informationssuche und SDM-Faktoren (Einstellung zu sozialer Distanz; injunktive Normen + Selbstwirksamkeit zu Masken). USA: Kein solches Muster. Einstellung, injunktive Normen und Selbstwirksamkeit vorhersagend in beiden Ländern; deskriptive Normen nur in USA relevant.</w:t>
      </w:r>
    </w:p>
    <w:p>
      <w:r>
        <w:rPr>
          <w:b/>
          <w:sz w:val="19"/>
        </w:rPr>
        <w:t xml:space="preserve">Übertragbarkeit: </w:t>
      </w:r>
      <w:r>
        <w:rPr>
          <w:sz w:val="19"/>
        </w:rPr>
        <w:t>Vergleich USA-Italien zeigt, dass kulturelle/strukturelle Faktoren Informationsverarbeitung prägen; Erkenntnisse zu kognitiven Verarbeitungspfaden kultur-abhängig.</w:t>
      </w:r>
    </w:p>
    <w:p>
      <w:r>
        <w:rPr>
          <w:color w:val="5A7D3A"/>
          <w:sz w:val="18"/>
        </w:rPr>
        <w:t>https://pubmed.ncbi.nlm.nih.gov/42338078/</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Gesundheitskompetenz bei älteren Patienten mit Herz-Kreislauf-Erkrankungen: Latente Profilanalyse</w:t>
      </w:r>
    </w:p>
    <w:p>
      <w:r>
        <w:rPr>
          <w:i/>
          <w:color w:val="666666"/>
          <w:sz w:val="18"/>
        </w:rPr>
        <w:t>Mestl H  ·  Tidsskr Nor Laegeforen  ·  23.06.2026  ·  PMID 42343611</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https://pubmed.ncbi.nlm.nih.gov/42343611/</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Digitale Gesundheitswerkzeuge für Patienten mit Nierenerkrankung: Anforderungen südostasiatischer Bevölkerungsgruppen</w:t>
      </w:r>
    </w:p>
    <w:p>
      <w:r>
        <w:rPr>
          <w:i/>
          <w:color w:val="666666"/>
          <w:sz w:val="18"/>
        </w:rPr>
        <w:t>Lightfoot CJ et al.  ·  Health Expect  ·  Aug. 2026  ·  PMID 42365449</w:t>
      </w:r>
    </w:p>
    <w:p>
      <w:r>
        <w:t>Qualitative Studie mit 10 Personen südostasiatischer Herkunft mit Nierenerkrankungen zu Barrieren und Chancen bei der Nutzung digitaler Gesundheitsinformationen.</w:t>
      </w:r>
    </w:p>
    <w:p>
      <w:r>
        <w:rPr>
          <w:b/>
        </w:rPr>
        <w:t xml:space="preserve">Ergebnis: </w:t>
      </w:r>
      <w:r>
        <w:t>Hauptbarriere: Sprache – Teilnehmer forderten Informationen in ihrer Muttersprache. Chancen: Empfehlungen durch vertraute Personen (Ärzte, Gemeindeleiter) reduzierten Angst. Kulturell angepasste Inhalte sind notwendig für Akzeptanz und Nutzung.</w:t>
      </w:r>
    </w:p>
    <w:p>
      <w:r>
        <w:rPr>
          <w:b/>
          <w:sz w:val="19"/>
        </w:rPr>
        <w:t xml:space="preserve">Übertragbarkeit: </w:t>
      </w:r>
      <w:r>
        <w:rPr>
          <w:sz w:val="19"/>
        </w:rPr>
        <w:t>UK-Kontext, übertragbar auf mehrsprachige Gruppen in europäischen Gesundheitssystemen.</w:t>
      </w:r>
    </w:p>
    <w:p>
      <w:r>
        <w:rPr>
          <w:color w:val="5A7D3A"/>
          <w:sz w:val="18"/>
        </w:rPr>
        <w:t>https://pubmed.ncbi.nlm.nih.gov/42365449/</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2026-10-04T06:00:00Z</dcterms:created>
  <dcterms:modified xsi:type="dcterms:W3CDTF">2026-10-04T06:00:00Z</dcterms:modified>
  <cp:category/>
</cp:coreProperties>
</file>