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13.10.2026  |  6 Studien  |  healthliteracy.m-vf.de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CollaboRATE-5 misst Patientenbeteiligung an Entscheidungen reliabel – auch in Türkei</w:t>
      </w:r>
    </w:p>
    <w:p>
      <w:r>
        <w:rPr>
          <w:i/>
          <w:color w:val="666666"/>
          <w:sz w:val="18"/>
        </w:rPr>
        <w:t>Toçoğlu M et al.  ·  J Eval Clin Pract  ·  Okt. 2026  ·  PMID 42862937</w:t>
      </w:r>
    </w:p>
    <w:p>
      <w:r>
        <w:t>Methodische Studie zur Adaptation und psychometrischen Validierung der 5-Item-Skala CollaboRATE-5 für türkische Diabetespatienten (n=200) zur Erfassung wahrgenommener Shared Decision-Making.</w:t>
      </w:r>
    </w:p>
    <w:p>
      <w:r>
        <w:rPr>
          <w:b/>
        </w:rPr>
        <w:t xml:space="preserve">Ergebnis: </w:t>
      </w:r>
      <w:r>
        <w:t>Cronbach's α=0,918 (hohe innere Konsistenz). Test-Retest-Reliabilität ICC=0,892 (n=65). Item-Gesamt-Korrelationen 0,776–0,866. Standardisierte Faktorladungen 0,872–0,986. Mittleres Score 9,51±2,22 (Range 0–12), 31,5% erreichten Maximalwert. Inverse Korrelation mit Decisional Conflict Scale (rs=−0,641; p&lt;0,001). Höhere Scores assoziiert mit höherer Bildung, besserer Gesundheitswahrnehmung, männlichem Geschlecht (alle p&lt;0,01). Strukturelle Validität in just-identified Modell nicht unabhängig bestätigt, aber insgesamt Reliabilität und Konstruktvalidität unterstützt.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Türkei, aber CollaboRATE-5 international validierter Standard – Ergebnis auf Deutschland übertragbar</w:t>
      </w:r>
    </w:p>
    <w:p>
      <w:r>
        <w:rPr>
          <w:color w:val="5A7D3A"/>
          <w:sz w:val="18"/>
        </w:rPr>
        <w:t>https://pubmed.ncbi.nlm.nih.gov/42862937/</w:t>
      </w:r>
    </w:p>
    <w:p>
      <w:pPr>
        <w:pStyle w:val="Heading2"/>
      </w:pPr>
      <w:r>
        <w:t>Strukturierte Stillvorbereitung erhöht Stillquoten und reduziert Stillkomplikationen</w:t>
      </w:r>
    </w:p>
    <w:p>
      <w:r>
        <w:rPr>
          <w:i/>
          <w:color w:val="666666"/>
          <w:sz w:val="18"/>
        </w:rPr>
        <w:t>Zhang C et al.  ·  J Obstet Gynaecol  ·  12.10.2026  ·  PMID 42862704</w:t>
      </w:r>
    </w:p>
    <w:p>
      <w:r>
        <w:t>Eine Studie verglich Frauen mit multikomponentenem Schulungsprogramm (Wissen, Einstellungen, praktische Fähigkeiten) gegen Standardvorbereitung auf Stilleergebnis und Selbstwirksamkeit.</w:t>
      </w:r>
    </w:p>
    <w:p>
      <w:r>
        <w:rPr>
          <w:b/>
        </w:rPr>
        <w:t xml:space="preserve">Ergebnis: </w:t>
      </w:r>
      <w:r>
        <w:t>Die Interventionsgruppe erreichte höhere Wissens-Einstellungs-Praktiken-Scores (80,8±5,6 vs. 63,4±6,9; p&lt;0,001), bessere Stillselbstwirksamkeit (58,2±4,8 vs. 48,6±5,4; p&lt;0,001) und signifikant höhere Quote ausschließlichen Stillens nach 6 Monaten (55,9% vs. 31,6%; p&lt;0,001); Morbidität (Brustwarzentrauma, Stauung, Mastitis) war deutlich reduziert (alle p&lt;0,01). Expositionsgruppe zeigte unabhängig erhöhte Chancen für Stillen nach 6 Monaten (adjustierte OR 2,84; 95%-CI 1,98–4,07).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- Aussagen zur Stillförderung durch Wissen und Selbstwirksamkeit kulturunabhängig, Schulungsformat anpassbar</w:t>
      </w:r>
    </w:p>
    <w:p>
      <w:r>
        <w:rPr>
          <w:color w:val="5A7D3A"/>
          <w:sz w:val="18"/>
        </w:rPr>
        <w:t>https://pubmed.ncbi.nlm.nih.gov/42862704/</w:t>
      </w:r>
    </w:p>
    <w:p>
      <w:pPr>
        <w:pStyle w:val="Heading2"/>
      </w:pPr>
      <w:r>
        <w:t>Patientenbeteiligung in Forschung gelingt – braucht aber Struktur und kontinuierliche Information</w:t>
      </w:r>
    </w:p>
    <w:p>
      <w:r>
        <w:rPr>
          <w:i/>
          <w:color w:val="666666"/>
          <w:sz w:val="18"/>
        </w:rPr>
        <w:t>Reeck N et al.  ·  Health Expect  ·  Okt. 2026  ·  PMID 42861438</w:t>
      </w:r>
    </w:p>
    <w:p>
      <w:r>
        <w:t>Qualitative Evaluationsstudie zur Beteiligung von 8 älteren Forschungskollaborateuren mit Sturzerfahrung über 3 Jahre mit dem Public and Patient Engagement Evaluation Tool (PPEET) und Prozessdokumentation.</w:t>
      </w:r>
    </w:p>
    <w:p>
      <w:r>
        <w:rPr>
          <w:b/>
        </w:rPr>
        <w:t xml:space="preserve">Ergebnis: </w:t>
      </w:r>
      <w:r>
        <w:t>8 ältere Personen, 29 Sitzungen über 3 Jahre. Positive Atmosphäre, aber initial Unklarheit über Ziele. Gesundheitsbedingte Ausfälle führten zur Aufnahme von 3 neuen Mitgliedern. PRT beeinflusste mehrere Forschungsphasen (z.B. Fokusgruppenmethode). Kernbefunde: Persönlicher Zugang, Zeit für Erfahrungsaustausch und kontinuierliche Information als kritische Erfolgsfaktoren; infrastrukturelle Unterstützung war vorhanden, aber Informationsstrukturen für Mitglieder müssen gestärkt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vergleichbares System – partizipative Forschung übertragbar, erfordert aber Kontinuität und klare Rollen</w:t>
      </w:r>
    </w:p>
    <w:p>
      <w:r>
        <w:rPr>
          <w:color w:val="5A7D3A"/>
          <w:sz w:val="18"/>
        </w:rPr>
        <w:t>https://pubmed.ncbi.nlm.nih.gov/42861438/</w:t>
      </w:r>
    </w:p>
    <w:p>
      <w:pPr>
        <w:pStyle w:val="Heading2"/>
      </w:pPr>
      <w:r>
        <w:t>Gesundheitskompetenz korreliert schwach mit Lebensqualität – Organisationsebene entscheidend</w:t>
      </w:r>
    </w:p>
    <w:p>
      <w:r>
        <w:rPr>
          <w:i/>
          <w:color w:val="666666"/>
          <w:sz w:val="18"/>
        </w:rPr>
        <w:t>Mostoles RJ et al.  ·  J Nurs Manag  ·  2026  ·  PMID 42860772</w:t>
      </w:r>
    </w:p>
    <w:p>
      <w:r>
        <w:t>Querschnittsstudie mit 215 Dialysepatienten in Saudi-Arabien zur Assoziation von Health Literacy und wahrgenommener Familienunterstützung mit nierenbezogener Lebensqualität sowie Implikationen für Pflegeleitung.</w:t>
      </w:r>
    </w:p>
    <w:p>
      <w:r>
        <w:rPr>
          <w:b/>
        </w:rPr>
        <w:t xml:space="preserve">Ergebnis: </w:t>
      </w:r>
      <w:r>
        <w:t>Health Literacy war einziger signifikanter Prädiktor (β=0,19; p=0,012), erklärte aber &lt;7% der Lebensqualitätsvarianz (R²=0,068). Wahrgenommene Familienunterstützung war an der Decke (M=6,99/7,0) und nicht assoziiert (r=−0,09; p=0,188). 91,7% der Patienten hatten geringe Health Literacy; 81,9% wählten verbale statt schriftlicher Information während Dialyse. Schlussfolgerung: Organisatorische Maßnahmen (universelles Teach-Back, Plain Language, Visualisierung) statt Individualinterventionen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 – Strukturelle Unterschiede (Familienzentrierung, Ressourcen), aber Befund zu organisatorischer Verantwortung übertragbar</w:t>
      </w:r>
    </w:p>
    <w:p>
      <w:r>
        <w:rPr>
          <w:color w:val="5A7D3A"/>
          <w:sz w:val="18"/>
        </w:rPr>
        <w:t>https://pubmed.ncbi.nlm.nih.gov/42860772/</w:t>
      </w:r>
    </w:p>
    <w:p>
      <w:pPr>
        <w:pStyle w:val="Heading2"/>
      </w:pPr>
      <w:r>
        <w:t>Health-Literacy-Interventionsstudien sind lückenhaft – standardisierte Messung und Implementierungsberichte fehlen</w:t>
      </w:r>
    </w:p>
    <w:p>
      <w:r>
        <w:rPr>
          <w:i/>
          <w:color w:val="666666"/>
          <w:sz w:val="18"/>
        </w:rPr>
        <w:t>Zhou Y et al.  ·  Health Lit Res Pract  ·  09.10.2026  ·  PMID 42858454</w:t>
      </w:r>
    </w:p>
    <w:p>
      <w:r>
        <w:t>Scoping Review von 117 US-amerikanischen Interventionsstudien (2014–2024) zur Kartierung von Health-Literacy-Messinstrumenten, Implementierungsqualität und Reporting-Praktiken nach RE-AIM-Rahmen.</w:t>
      </w:r>
    </w:p>
    <w:p>
      <w:r>
        <w:rPr>
          <w:b/>
        </w:rPr>
        <w:t xml:space="preserve">Ergebnis: </w:t>
      </w:r>
      <w:r>
        <w:t>71 von 117 Studien berichteten Health-Literacy-Messung; nur 49 nutzten validierte Instrumente. Am häufigsten: Newest Vital Sign, eHealth Literacy Scale, RE-AIM. Trotz starker Repräsentation von Rassen-/Ethnien begrenzte Einbindung von Nicht-Englischsprachigen. Nahezu alle Studien zeigten Effektivität; vorwiegend Verhaltensoutcomes gemessen. RE-AIM-Analyse: erhebliche Lücken in Demografica, Implementierungstreue (nur 18%), Kostenberichte und Nachhaltigkeitsplanung (&lt;10%). Schlussfolgerung: fehlende Standardisierung in Messung und Implementierungsberichte limitieren Vergleichbarkeit und Praxisübertrag.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Systematische Bewertung übertragbar, aber Tools müssen sprachspezifisch validiert werden</w:t>
      </w:r>
    </w:p>
    <w:p>
      <w:r>
        <w:rPr>
          <w:color w:val="5A7D3A"/>
          <w:sz w:val="18"/>
        </w:rPr>
        <w:t>https://pubmed.ncbi.nlm.nih.gov/42858454/</w:t>
      </w:r>
    </w:p>
    <w:p>
      <w:pPr>
        <w:pStyle w:val="Heading2"/>
      </w:pPr>
      <w:r>
        <w:t>Arztstatus und Einrichtung erklären Studienteilnahme stärker als Patienten-Merkmale</w:t>
      </w:r>
    </w:p>
    <w:p>
      <w:r>
        <w:rPr>
          <w:i/>
          <w:color w:val="666666"/>
          <w:sz w:val="18"/>
        </w:rPr>
        <w:t>Jiang C et al.  ·  JAMA Netw Open  ·  01.10.2026  ·  PMID 42837155</w:t>
      </w:r>
    </w:p>
    <w:p>
      <w:r>
        <w:t>Kohortenstudie mit 205.743 amerikanischen Krebspatienten mit fortgeschrittener/metastasierter Erkrankung (2011–2024) zur Analyse von Variationsquellen in Studienteilnahme mittels gemischter logistischer Regressionsmodelle.</w:t>
      </w:r>
    </w:p>
    <w:p>
      <w:r>
        <w:rPr>
          <w:b/>
        </w:rPr>
        <w:t xml:space="preserve">Ergebnis: </w:t>
      </w:r>
      <w:r>
        <w:t>10.785 Patienten (5,2%) nahmen an Studien teil; Quote stieg von 3,9% (2011) auf 6,8% (2024). Teilnahme stark konzentriert: 389 von 1.664 Ärzten (23,4%) erklären 83,6% aller Anmeldungen; 21 von 107 Einrichtungen (19,6%) 80,5% der Patienten. 494 Ärzte (29,7%) rekrutierten niemandem. Arzt- und Einrichtungsebene erklärten zusammen 27,4% der Varianz, Patientenmerkmale nur 11,4%. Spezialisierung des Arztes (1–2 Indikationen: OR 4,11; 95%-CI 2,53–6,68), frühere Rekrutierungsaktivität (OR 1,58; 95%-CI 1,43–1,76) und Forschungsengagement der Einrichtung (OR 2,68; 95%-CI 2,12–3,39) zeigten höchste Assoziationen.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Struktur und Organisationskontext universal, aber Gesundheitssystem und Rekrutierungserwartungen andersartig</w:t>
      </w:r>
    </w:p>
    <w:p>
      <w:r>
        <w:rPr>
          <w:color w:val="5A7D3A"/>
          <w:sz w:val="18"/>
        </w:rPr>
        <w:t>https://pubmed.ncbi.nlm.nih.gov/42837155/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