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18.08.2026  |  7 Studien  |  healthliteracy.m-vf.de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Shared Decision-Making in der Orthopädischen Schulter-Klinik: ethnografische Studie zu Entscheidungsarbeit unter Unsicherheit</w:t>
      </w:r>
    </w:p>
    <w:p>
      <w:r>
        <w:rPr>
          <w:i/>
          <w:color w:val="666666"/>
          <w:sz w:val="18"/>
        </w:rPr>
        <w:t>Skovgaard AL et al.  ·  Sociol Health Illn  ·  Sept. 2026  ·  PMID 42571051</w:t>
      </w:r>
    </w:p>
    <w:p>
      <w:r>
        <w:t>Ethnografische Feldarbeit in zwei dänischen Schulter-Kliniken untersuchte, wie SDM-Modelle mit alltäglichen Anliegen von Patienten und Klinikern unter Unsicherheit umgehen; pragmatistisches Rahmenwerk.</w:t>
      </w:r>
    </w:p>
    <w:p>
      <w:r>
        <w:rPr>
          <w:b/>
        </w:rPr>
        <w:t xml:space="preserve">Ergebnis: </w:t>
      </w:r>
      <w:r>
        <w:t>Entscheidungsfindung emergiert als interaktionale Arbeit in der 'subjektiven Stimmung', um Behandlungsvorschläge akzeptabel zu machen. Zweifel und Hoffnung sind inhärente Elemente, nicht zu vermeiden. SDM-Richtlinien berücksichtigen nicht vollständig die komplexen subjektiven Belange von Patienten und Klinikern, die mit hochgradig unsicheren Terrains navigieren. Pragmatistische Ideale (Anerkennung von Unsicherheit, interaktive Sinnbildung) sind fundamental.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System; Qualitative Befunde zu SDM-Implementierung unter Unsicherheit universal.</w:t>
      </w:r>
    </w:p>
    <w:p>
      <w:r>
        <w:rPr>
          <w:color w:val="5A7D3A"/>
          <w:sz w:val="18"/>
        </w:rPr>
        <w:t>https://pubmed.ncbi.nlm.nih.gov/42571051/</w:t>
      </w:r>
    </w:p>
    <w:p>
      <w:pPr>
        <w:pStyle w:val="Heading2"/>
      </w:pPr>
      <w:r>
        <w:t>Fachkompetenz zum Hinterfragen von Gesundheitsinformation: Interventionen zur Förderung von Critical Health Literacy</w:t>
      </w:r>
    </w:p>
    <w:p>
      <w:r>
        <w:rPr>
          <w:i/>
          <w:color w:val="666666"/>
          <w:sz w:val="18"/>
        </w:rPr>
        <w:t>Kalteis M et al.  ·  Health Promot Int  ·  01.07.2026  ·  PMID 42555370</w:t>
      </w:r>
    </w:p>
    <w:p>
      <w:r>
        <w:t>Systematische Übersicht identifizierte 81 Publikationen mit 53 Interventionen zur Förderung kritischer Gesundheitskompetenz (CHL); Schwerpunkt lag auf Appraisal-Fähigkeiten für informierte Entscheidungen in Bildungseinrichtungen.</w:t>
      </w:r>
    </w:p>
    <w:p>
      <w:r>
        <w:rPr>
          <w:b/>
        </w:rPr>
        <w:t xml:space="preserve">Ergebnis: </w:t>
      </w:r>
      <w:r>
        <w:t>53 Interventionen in 19 Ländern, überwiegend in Schulen und Universitäten; Publikationen nahmen seit 2016 zu, Peak 2021–2025; Barrieren waren Zeitmangel, Ressourcenengpässe und hohe Anforderungen an Lehrende; Facilitators waren Leadershipsupport, Schulung und hochwertige Lernmaterialien.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Bildungssysteme haben vergleichbare Strukturen; Fokus auf Schulen übertragbar.</w:t>
      </w:r>
    </w:p>
    <w:p>
      <w:r>
        <w:rPr>
          <w:color w:val="5A7D3A"/>
          <w:sz w:val="18"/>
        </w:rPr>
        <w:t>https://pubmed.ncbi.nlm.nih.gov/42555370/</w:t>
      </w:r>
    </w:p>
    <w:p>
      <w:pPr>
        <w:pStyle w:val="Heading2"/>
      </w:pPr>
      <w:r>
        <w:t>Antenatal Intervention für Impfakzeptanz entwickelt durch Einbeziehung von Eltern, Patienten und Öffentlichkeit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Entwicklung einer pränatalen Intervention zur Verbesserung der Impfakzeptanz mittels systematischer Patientenbeteiligung (PPPIE) in Nordirland; Partnerschaft mit Maternity Service Liaison Committee, Sure Start Programmen und community outreach clinic.</w:t>
      </w:r>
    </w:p>
    <w:p>
      <w:r>
        <w:rPr>
          <w:b/>
        </w:rPr>
        <w:t xml:space="preserve">Ergebnis: </w:t>
      </w:r>
      <w:r>
        <w:t>Input von Eltern und Gemeinschaften formte Inhalt, Timing und Präsentation von Impfinformation. Beteiligung zeigte: Wichtigkeit klarer, Plain-Language-Information früh in Schwangerschaft; Bedarf nach Tailoring für unterschiedliche Bedürfnisse. Arbeit über etablierte Community-Netzwerke erreichte unterrepräsentierte Gruppen; 'you said, we did'-Ansatz demonstrierte Einfluss der 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(Nordirland), NHS-System; vergleichbarer Maternity Care und Community-Engagement.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Krebsprävention verstehen: Ungleichheiten in Prävention-Kompetenz und Awareness in der EU</w:t>
      </w:r>
    </w:p>
    <w:p>
      <w:r>
        <w:rPr>
          <w:i/>
          <w:color w:val="666666"/>
          <w:sz w:val="18"/>
        </w:rPr>
        <w:t>Romeo-Cervera P et al.  ·  Eur J Public Health  ·  10.06.2026  ·  PMID 42501755</w:t>
      </w:r>
    </w:p>
    <w:p>
      <w:r>
        <w:t>Cross-sectional Online-Befragung in 23 EU-Ländern (n = 2.312; Februar–März 2024) zur Krebsprävention-Gesundheitskompetenz (CPL), Awareness zum European Code Against Cancer (ECAC) und Assoziation mit sozialen Determinanten und digitaler Health Literacy.</w:t>
      </w:r>
    </w:p>
    <w:p>
      <w:r>
        <w:rPr>
          <w:b/>
        </w:rPr>
        <w:t xml:space="preserve">Ergebnis: </w:t>
      </w:r>
      <w:r>
        <w:t>81,4% mit ausreichender CPL, aber nur 61,1% kannten den ECAC. Männer weniger wahrscheinlich ausreichend CPL als Frauen (OR 0,66; [0,49–0,89]). Unter-Universitäts-Bildung: niedrigere Odds für CPL (OR 0,50; [0,39–0,64]). Digitale Health Literacy stärkster Prädiktor: höchste Quartile 3,11-fach höhere Chancen für CPL als niedrigste (OR 3,11; [2,12–4,67]). Persönliche/familiale Krebsgeschichte erhöhte Chancen (OR 1,47; [1,10–1,94]). Persistierende Ungleichheiten nach Bildung, Geschlecht,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Multiple europäische Länder, vergleichbare Gesundheitssysteme und Prävention; ECAC auf deutschem Markt relevant.</w:t>
      </w:r>
    </w:p>
    <w:p>
      <w:r>
        <w:rPr>
          <w:color w:val="5A7D3A"/>
          <w:sz w:val="18"/>
        </w:rPr>
        <w:t>https://pubmed.ncbi.nlm.nih.gov/42501755/</w:t>
      </w:r>
    </w:p>
    <w:p>
      <w:pPr>
        <w:pStyle w:val="Heading2"/>
      </w:pPr>
      <w:r>
        <w:t>Verständliche Informationen über stille Atherosklerose: Effekt auf Adhärenz zu Lebensstiländerungen</w:t>
      </w:r>
    </w:p>
    <w:p>
      <w:r>
        <w:rPr>
          <w:i/>
          <w:color w:val="666666"/>
          <w:sz w:val="18"/>
        </w:rPr>
        <w:t>Wennstig AC et al.  ·  Open Heart  ·  23.07.2026  ·  PMID 42493198</w:t>
      </w:r>
    </w:p>
    <w:p>
      <w:r>
        <w:t>Pragmatische RCT (VIPVIZA) mit 3.532 Teilnehmern aus der Västerbotten Intervention Programme in Schweden untersuchte Effekt von bildgestützten Informationen (Carotis-Ultraschall, Farbcodierung, Texte zur Atherosklerose) auf Adhärenz zu Lebensstiländerungen über 3 Jahre.</w:t>
      </w:r>
    </w:p>
    <w:p>
      <w:r>
        <w:rPr>
          <w:b/>
        </w:rPr>
        <w:t xml:space="preserve">Ergebnis: </w:t>
      </w:r>
      <w:r>
        <w:t>OR für gesünderes Lebensstiländerungsindex nach 3 Jahren: 1,20 (95% CI 1,01–1,42; p = 0,03) in der Interventionsgruppe vs. Kontrolle. Keine Interaktionen für Alter, Geschlecht oder Bildung. Pictorial-basierte Information über subklinische Atherosklerose trug zu anhaltenden gesunden Gewohnheiten bei, obwohl Effekt moderat war.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Versicherungssystem; Primärprävention in Bevölkerungsscreening übertragbar.</w:t>
      </w:r>
    </w:p>
    <w:p>
      <w:r>
        <w:rPr>
          <w:color w:val="5A7D3A"/>
          <w:sz w:val="18"/>
        </w:rPr>
        <w:t>https://pubmed.ncbi.nlm.nih.gov/42493198/</w:t>
      </w:r>
    </w:p>
    <w:p>
      <w:pPr>
        <w:pStyle w:val="Heading2"/>
      </w:pPr>
      <w:r>
        <w:t>Digitale Gesundheitskompetenz durch Mobile Lernmodule: Effektivität bei Jugendlichen und Lehrenden</w:t>
      </w:r>
    </w:p>
    <w:p>
      <w:r>
        <w:rPr>
          <w:i/>
          <w:color w:val="666666"/>
          <w:sz w:val="18"/>
        </w:rPr>
        <w:t>Schröder R et al.  ·  J Med Internet Res  ·  21.07.2026  ·  PMID 42480063</w:t>
      </w:r>
    </w:p>
    <w:p>
      <w:r>
        <w:t>RCT mit aktiver Kontrollgruppe evaluierte eine 10-minütige Mobile-Learning-Intervention zur Förderung digitaler Health Literacy (Grafikliteralität) bei Jugendlichen (14–17 Jahre) und Lehrenden in Deutschland.</w:t>
      </w:r>
    </w:p>
    <w:p>
      <w:r>
        <w:rPr>
          <w:b/>
        </w:rPr>
        <w:t xml:space="preserve">Ergebnis: </w:t>
      </w:r>
      <w:r>
        <w:t>Jugendliche (n = 251 Intervention, n = 249 Kontrolle): signifikanter Interaktionseffekt nur für objektives Wissen (η²p = 0,124; p &lt; 0,001), nicht für subjektives Wissen, Evaluierung von Zuverlässigkeit oder Relevanzbestimmung. Lehrende (n = 301/302): signifikante Effekte für subjektives Wissen (η²p = 0,051; p &lt; 0,001), objektives Wissen (η²p = 0,177; p &lt; 0,001) und Zuverlässigkeitsbewertung (η²p = 0,010; p = 0,01). Beide Gruppen bewerteten visuelle und pädagogische Qualität positiv. Kurzinterventionen lehren Fakten, brauchen aber umfassendere Ansätze für tiefere Digital-Health-Literacy.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schulisches System; kurzmodular und digital flexible Umsetzung übertragbar.</w:t>
      </w:r>
    </w:p>
    <w:p>
      <w:r>
        <w:rPr>
          <w:color w:val="5A7D3A"/>
          <w:sz w:val="18"/>
        </w:rPr>
        <w:t>https://pubmed.ncbi.nlm.nih.gov/42480063/</w:t>
      </w:r>
    </w:p>
    <w:p>
      <w:pPr>
        <w:pStyle w:val="Heading2"/>
      </w:pPr>
      <w:r>
        <w:t>Shared Decision-Making für Lungenkrebs-Screening: Verständnis und Beteiligung vor Programmstart</w:t>
      </w:r>
    </w:p>
    <w:p>
      <w:r>
        <w:rPr>
          <w:i/>
          <w:color w:val="666666"/>
          <w:sz w:val="18"/>
        </w:rPr>
        <w:t>Michiels L et al.  ·  Patient Educ Couns  ·  09.07.2026  ·  PMID 42456271</w:t>
      </w:r>
    </w:p>
    <w:p>
      <w:r>
        <w:t>Gemischte Methoden (Scoping Review von 35 Studien plus qualitative Interviews mit 22 Gesundheitsfachpersonen und 13 Screening-Kandidaten) untersuchten SDM-Implementierung für Lungenkrebs-Screening in Belgien.</w:t>
      </w:r>
    </w:p>
    <w:p>
      <w:r>
        <w:rPr>
          <w:b/>
        </w:rPr>
        <w:t xml:space="preserve">Ergebnis: </w:t>
      </w:r>
      <w:r>
        <w:t>Scoping Review zeigte: SDM mit höherer Wissensgewinnung, niedrigerem Entscheidungskonflikt, mehr Zufriedenheit verbunden, aber in Praxis oft nur Informationsvermittlung, nicht echte Deliberation. Interviews: erhebliche Variation in Entscheidungsrollen; zentral waren Verständnis, Zuhörensgefühl, personalisierte Unterstützung. Barrieren: knappe Konsultationszeit, Workload, unzureichend Training, Health-Literacy-Herausforderungen.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vergleichbares Versicherungssystem; Gatekeeping und Ressourcendruck europäisch ähnlich.</w:t>
      </w:r>
    </w:p>
    <w:p>
      <w:r>
        <w:rPr>
          <w:color w:val="5A7D3A"/>
          <w:sz w:val="18"/>
        </w:rPr>
        <w:t>https://pubmed.ncbi.nlm.nih.gov/42456271/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