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27.10.2026  |  6 Studien  |  healthliteracy.m-vf.de</w:t>
      </w:r>
    </w:p>
    <w:p>
      <w:pPr>
        <w:pStyle w:val="Heading1"/>
      </w:pPr>
      <w:r>
        <w:t>Aufgenommen am 27.10.2026</w:t>
      </w:r>
    </w:p>
    <w:p>
      <w:pPr>
        <w:pStyle w:val="Heading2"/>
      </w:pPr>
      <w:r>
        <w:t>Theoriegeleitete Schulung zum Shared Decision-Making versetzt Pflegestudierende in die Lage, Patienten zu unterstützen</w:t>
      </w:r>
    </w:p>
    <w:p>
      <w:r>
        <w:rPr>
          <w:i/>
          <w:color w:val="666666"/>
          <w:sz w:val="18"/>
        </w:rPr>
        <w:t>Lewis KB et al.  ·  Int J Nurs Educ Scholarsh  ·  01.01.2026  ·  PMID 42931132</w:t>
      </w:r>
    </w:p>
    <w:p>
      <w:r>
        <w:t>Studie analysierte reflektive Notizen von Pflegestudierenden (n=34) nach einem Trainingsmodul zur Ottawa Decision Support Framework, um zu untersuchen, ob sie Shared Decision-Making in der Klinik anwenden konnten.</w:t>
      </w:r>
    </w:p>
    <w:p>
      <w:r>
        <w:rPr>
          <w:b/>
        </w:rPr>
        <w:t xml:space="preserve">Ergebnis: </w:t>
      </w:r>
      <w:r>
        <w:t>Studierende identifizierten typischerweise drei Kategorien von Entscheidungsproblemen (komplexe Merkmale n=26/76%, unzureichendes Wissen n=23/68%) und nannten Entscheidungshilfen als häufigste Intervention (n=27/79%). Sie erkannten Barrieren und Förderfaktoren auf Ebene der Studierenden, Patienten/Familie, Umgebung und Interventionen und konzeptualisierten Qualitätsentscheidungen als wertebasiert und/oder informiert.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aber Curriculum-Integration von SDM-Fähigkeiten international übertragbar; Rahmen auf deutsche Pflegeausbildung anwendbar.</w:t>
      </w:r>
    </w:p>
    <w:p>
      <w:r>
        <w:rPr>
          <w:color w:val="5A7D3A"/>
          <w:sz w:val="18"/>
        </w:rPr>
        <w:t>https://pubmed.ncbi.nlm.nih.gov/42931132/</w:t>
      </w:r>
    </w:p>
    <w:p>
      <w:pPr>
        <w:pStyle w:val="Heading2"/>
      </w:pPr>
      <w:r>
        <w:t>Mitgestaltete Sturzprävention-Schulung für ältere Menschen zu Hause erzielt hohe Verständlichkeit</w:t>
      </w:r>
    </w:p>
    <w:p>
      <w:r>
        <w:rPr>
          <w:i/>
          <w:color w:val="666666"/>
          <w:sz w:val="18"/>
        </w:rPr>
        <w:t>Francis-Coad J et al.  ·  Health Expect  ·  Okt. 2026  ·  PMID 42929459</w:t>
      </w:r>
    </w:p>
    <w:p>
      <w:r>
        <w:t>Studie nutzte Co-Design mit älteren Pflegekunden und Fachkräften (n=23), um ein Sturzpräventions-Schulungsprogramm zu überarbeiten und dann mit dem PEMAT-Fragebogen zu validieren.</w:t>
      </w:r>
    </w:p>
    <w:p>
      <w:r>
        <w:rPr>
          <w:b/>
        </w:rPr>
        <w:t xml:space="preserve">Ergebnis: </w:t>
      </w:r>
      <w:r>
        <w:t>Überarbeitete Ressourcen erzielten &gt;87,3% in beiden PEMAT-Dimensionen (Verständlichkeit und Handlungsbarkeit), was hoher Qualität entspricht. Konsumenten schätzten die einfache, klare Information und gaben an, dass visuelle Lernmittel gute Motivationshilfen waren, benötigten aber ästhetische und kulturelle Anpassungen.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aber Methode und Zielgruppe (ältere Menschen, Homecare) auf Deutschland übertragbar.</w:t>
      </w:r>
    </w:p>
    <w:p>
      <w:r>
        <w:rPr>
          <w:color w:val="5A7D3A"/>
          <w:sz w:val="18"/>
        </w:rPr>
        <w:t>https://pubmed.ncbi.nlm.nih.gov/42929459/</w:t>
      </w:r>
    </w:p>
    <w:p>
      <w:pPr>
        <w:pStyle w:val="Heading2"/>
      </w:pPr>
      <w:r>
        <w:t>Ärztliche Empathie stärkt Shared Decision-Making und verbessert Diabetes-Selbstmanagement</w:t>
      </w:r>
    </w:p>
    <w:p>
      <w:r>
        <w:rPr>
          <w:i/>
          <w:color w:val="666666"/>
          <w:sz w:val="18"/>
        </w:rPr>
        <w:t>Peimani M et al.  ·  BMC Health Serv Res  ·  28.07.2026  ·  PMID 42928226</w:t>
      </w:r>
    </w:p>
    <w:p>
      <w:r>
        <w:t>Studie untersuchte, wie ärztliche Empathie die Wirkung von Arzt-Patient-Kommunikation auf Shared Decision-Making und damit auf Medikamentenadhärenz und Diabetes-Belastung beeinflusst (n=1.300 Erwachsene mit Diabetes).</w:t>
      </w:r>
    </w:p>
    <w:p>
      <w:r>
        <w:rPr>
          <w:b/>
        </w:rPr>
        <w:t xml:space="preserve">Ergebnis: </w:t>
      </w:r>
      <w:r>
        <w:t>Bei hoher Empathie verminderte sich die negative Wirkung von gehetzter Kommunikation auf die Adhärenz stärker (B=−0,83 vs. B=−1,13 bei niedriger Empathie); die positive Wirkung klarer Erklärungen auf Adhärenz war bei hoher Empathie höher (B=2,95 vs. B=1,35). Empathie moderierte signifikant alle indirekten Effekte über Shared Decision-Making (95%-KI schlossen Null aus).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Iran, aber Befunde zu Empathie und SDM sind systemübergreifend relevant; Messinstrumente validiert.</w:t>
      </w:r>
    </w:p>
    <w:p>
      <w:r>
        <w:rPr>
          <w:color w:val="5A7D3A"/>
          <w:sz w:val="18"/>
        </w:rPr>
        <w:t>https://pubmed.ncbi.nlm.nih.gov/42928226/</w:t>
      </w:r>
    </w:p>
    <w:p>
      <w:pPr>
        <w:pStyle w:val="Heading2"/>
      </w:pPr>
      <w:r>
        <w:t>Mitgestaltete Gesundheitskommunikation für vulnerable Gruppen verbessert Verständlichkeit und Handlungsfähigkeit</w:t>
      </w:r>
    </w:p>
    <w:p>
      <w:r>
        <w:rPr>
          <w:i/>
          <w:color w:val="666666"/>
          <w:sz w:val="18"/>
        </w:rPr>
        <w:t>Martin AF et al.  ·  BMC Public Health  ·  29.07.2026  ·  PMID 42928169</w:t>
      </w:r>
    </w:p>
    <w:p>
      <w:r>
        <w:t>Studie entwickelte Infomaterialien zu invasiver Streptokokken-Infektion zusammen mit obdachlosen Menschen und Drogengebrauchern (n=39) und bewertete, ob die Materialien zugänglich, verständlich und handlungsrelevant waren.</w:t>
      </w:r>
    </w:p>
    <w:p>
      <w:r>
        <w:rPr>
          <w:b/>
        </w:rPr>
        <w:t xml:space="preserve">Ergebnis: </w:t>
      </w:r>
      <w:r>
        <w:t>32 von 39 Befragten bevorzugten das mitgestaltete Merkblatt gegenüber der Originalversion; dieses wurde als augenfälliger, leichter lesbar und personenzentriert bewertet, während das Original als wenig relevant empfunden wurde. Symptome wurden korrekt identifiziert und Befragte berichteten, dass sie dem Rat folgen würden.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Methode der Co-Production auf deutsche vulnerable Gruppen übertragbar; keine Sprachbarriere bei einfacher Gestaltung.</w:t>
      </w:r>
    </w:p>
    <w:p>
      <w:r>
        <w:rPr>
          <w:color w:val="5A7D3A"/>
          <w:sz w:val="18"/>
        </w:rPr>
        <w:t>https://pubmed.ncbi.nlm.nih.gov/42928169/</w:t>
      </w:r>
    </w:p>
    <w:p>
      <w:pPr>
        <w:pStyle w:val="Heading2"/>
      </w:pPr>
      <w:r>
        <w:t>Digitale psychoeducation mit menschlicher Unterstützung reduziert PTBS-Symptome, aber nur als Kombination wirksam</w:t>
      </w:r>
    </w:p>
    <w:p>
      <w:r>
        <w:rPr>
          <w:i/>
          <w:color w:val="666666"/>
          <w:sz w:val="18"/>
        </w:rPr>
        <w:t>Nizon D et al.  ·  Eur J Psychotraumatol  ·  23.10.2026  ·  PMID 42924444</w:t>
      </w:r>
    </w:p>
    <w:p>
      <w:r>
        <w:t>Systematische Übersicht von 26 RCTs (n=3.304 Erwachsene) zur Wirksamkeit von Psychoeducation bei PTBS, die verschiedene Formate und Vermittlungswege verglich.</w:t>
      </w:r>
    </w:p>
    <w:p>
      <w:r>
        <w:rPr>
          <w:b/>
        </w:rPr>
        <w:t xml:space="preserve">Ergebnis: </w:t>
      </w:r>
      <w:r>
        <w:t>9 von 26 Studien zeigten signifikante Reduktion der PTBS-Symptome durch Psychoeducation (1 präventiv, 8 nach Diagnose). Alle Studien mit signifikanten Effekten nutzten digitale Vermittlung mit menschlicher Anleitung. Gesamteffekte waren jedoch inkonsistent, methodische Qualität begrenzt. Weitere Verbesserungen in Stigmareduktion, Angst und Hilfesuchverhalten wurden berichtet. Fazit: Psychoeducation allein als Monotherapie unzureichend, aber wertvoll als Komponente in Stepped-Care-Ansätzen.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(Autorenaffiliation), aber Befunde zu digitaler Vermittlung mit Anleitung international relevant; Implementierungsempfehlung auf deutsches Gesundheitssystem übertragbar.</w:t>
      </w:r>
    </w:p>
    <w:p>
      <w:r>
        <w:rPr>
          <w:color w:val="5A7D3A"/>
          <w:sz w:val="18"/>
        </w:rPr>
        <w:t>https://pubmed.ncbi.nlm.nih.gov/42924444/</w:t>
      </w:r>
    </w:p>
    <w:p>
      <w:pPr>
        <w:pStyle w:val="Heading2"/>
      </w:pPr>
      <w:r>
        <w:t>Kurzes Health-Literacy-Screening-Tool zeigt altersabhängige Vorhersagekraft für Gesundheitsverhalten</w:t>
      </w:r>
    </w:p>
    <w:p>
      <w:r>
        <w:rPr>
          <w:i/>
          <w:color w:val="666666"/>
          <w:sz w:val="18"/>
        </w:rPr>
        <w:t>Kirbiš A et al.  ·  BMC Public Health  ·  07.10.2026  ·  PMID 42920137</w:t>
      </w:r>
    </w:p>
    <w:p>
      <w:r>
        <w:t>Studie validierte das 6-Item-HLS-EU-Q6-Fragebogen an 3.360 Slowenen verschiedener Altersgruppen (18–30, 31–64, 65+ Jahre) und prüfte seine Konstruktvalidität, interne Konsistenz und Vorhersagekraft für Gesundheitsverhalten.</w:t>
      </w:r>
    </w:p>
    <w:p>
      <w:r>
        <w:rPr>
          <w:b/>
        </w:rPr>
        <w:t xml:space="preserve">Ergebnis: </w:t>
      </w:r>
      <w:r>
        <w:t>Das Instrument zeigte befriedigende innere Konsistenz (Cronbachs α=0,76–0,84 über alle Gruppen). Diskriminant- und Konkurrenzvalidität wurden bestätigt (Korrelation mit HLS-EU-Q47: r=0,892). Vorhersagekraft für Gesundheitsverhalten war bei Erwachsenen und älteren Menschen stärker als bei Jugendlichen: Junge Erwachsene sagte nur Selbstbewertung voraus, Erwachsene und ältere Menschen auch Impfungseinstellungen (jeweils signifikant).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Slowenien, EU-Mitglied; Fragebogen bereits in mehreren europäischen Ländern verwendet, direkt auf Deutschland anwendbar.</w:t>
      </w:r>
    </w:p>
    <w:p>
      <w:r>
        <w:rPr>
          <w:color w:val="5A7D3A"/>
          <w:sz w:val="18"/>
        </w:rPr>
        <w:t>https://pubmed.ncbi.nlm.nih.gov/42920137/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2026-10-27T06:00:00Z</dcterms:created>
  <dcterms:modified xsi:type="dcterms:W3CDTF">2026-10-27T06:00:00Z</dcterms:modified>
  <cp:category/>
</cp:coreProperties>
</file>