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24.09.2026  |  7 Studien  |  healthliteracy.m-vf.de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Beteiligung in der Geburtshilfe: Engagement-Stufen bei der Entscheidungsfindung unter Echtbedingungen</w:t>
      </w:r>
    </w:p>
    <w:p>
      <w:r>
        <w:rPr>
          <w:i/>
          <w:color w:val="666666"/>
          <w:sz w:val="18"/>
        </w:rPr>
        <w:t>Johnson K et al.  ·  PLoS One  ·  23.09.2026  ·  PMID 42776998</w:t>
      </w:r>
    </w:p>
    <w:p>
      <w:r>
        <w:t>Qualitative Studie mit 65 Interviews und 79 Beobachtungen zu vier Engagement-Ebenen bei der Einbeziehung von Frauen in Entscheidungen während der Geburt in schwedischen Kliniken.</w:t>
      </w:r>
    </w:p>
    <w:p>
      <w:r>
        <w:rPr>
          <w:b/>
        </w:rPr>
        <w:t xml:space="preserve">Ergebnis: </w:t>
      </w:r>
      <w:r>
        <w:t>Vier Engagement-Ebenen identifiziert: Keine Einbeziehung (Anweisungen ohne Erklärung), Information (kurze Updates), Beteiligung (Diskussionen, aber Entscheidungen durch Personal – häufigste Ebene) und Partnerschaft (gemeinsame Entscheidungen – seltenste Ebene). Barrieren: begrenzte Schwedischkenntnisse, hohe Arbeitsbelastung, kritische Situationen. Förderfaktoren: kontinuierliche Unterstützung, effektives Schmerzmanagement, TeamBirth-Prozess.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Gesundheitssystem; systemisch übertragbar auf deutsches Klinikwesen.</w:t>
      </w:r>
    </w:p>
    <w:p>
      <w:r>
        <w:rPr>
          <w:color w:val="5A7D3A"/>
          <w:sz w:val="18"/>
        </w:rPr>
        <w:t>https://pubmed.ncbi.nlm.nih.gov/42776998/</w:t>
      </w:r>
    </w:p>
    <w:p>
      <w:pPr>
        <w:pStyle w:val="Heading2"/>
      </w:pPr>
      <w:r>
        <w:t>Frauengesundheit auf Instagram: Kommerzielle Desinformation dominiert Inhalte</w:t>
      </w:r>
    </w:p>
    <w:p>
      <w:r>
        <w:rPr>
          <w:i/>
          <w:color w:val="666666"/>
          <w:sz w:val="18"/>
        </w:rPr>
        <w:t>Nickel B et al.  ·  Health Promot Int  ·  01.09.2026  ·  PMID 42773967</w:t>
      </w:r>
    </w:p>
    <w:p>
      <w:r>
        <w:t>Inhaltsanalyse von 472 Instagram-Posts zum Hashtag #womenshealth auf Genauigkeit, Interessenskonflikte und Evidenzreferenzen.</w:t>
      </w:r>
    </w:p>
    <w:p>
      <w:r>
        <w:rPr>
          <w:b/>
        </w:rPr>
        <w:t xml:space="preserve">Ergebnis: </w:t>
      </w:r>
      <w:r>
        <w:t>63 % von individuellen Influencern erstellt (162 Nicht-Mediziner, 105 Ärzte). 56 % allgemeine Gesundheitsinformationen, 16 % Produkt-Werbung. 48 % zu Hormon- und Reproduktionsgesundheit (58 Posts zur Menopause). 69 % mit expliziten Gesundheitsbehauptungen, nur 7 % mit Evidenzreferenzen. 51 % der Konten mit finanziellen Interessen, 39 % direkt verkaufend. Schlussfolgerung: Umfeld dominiert von Nicht-Experten und kommerziellen Botschaften.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Englischsprachiges Instagram; sprachlich übertragbar, aber Plattformdynamiken unterscheiden sich; regulatorische Befunde gelten global.</w:t>
      </w:r>
    </w:p>
    <w:p>
      <w:r>
        <w:rPr>
          <w:color w:val="5A7D3A"/>
          <w:sz w:val="18"/>
        </w:rPr>
        <w:t>https://pubmed.ncbi.nlm.nih.gov/42773967/</w:t>
      </w:r>
    </w:p>
    <w:p>
      <w:pPr>
        <w:pStyle w:val="Heading2"/>
      </w:pPr>
      <w:r>
        <w:t>Schmerzedukation plus Training gegen chronische Schmerzen nach Knieop: RCT-Protokoll</w:t>
      </w:r>
    </w:p>
    <w:p>
      <w:r>
        <w:rPr>
          <w:i/>
          <w:color w:val="666666"/>
          <w:sz w:val="18"/>
        </w:rPr>
        <w:t>Xu J et al.  ·  J Orthop Surg Res  ·  20.08.2026  ·  PMID 42773464</w:t>
      </w:r>
    </w:p>
    <w:p>
      <w:r>
        <w:t>Protokoll für vier-armige RCT mit 148 Patienten nach Totalendoprothese des Knies: Schmerzneurowissenschafts-Edukation (PNE) kombiniert mit Blutfluss-Restriktionstraining (BFRT) gegen chronische postoperative Schmerzen.</w:t>
      </w:r>
    </w:p>
    <w:p>
      <w:r>
        <w:rPr>
          <w:b/>
        </w:rPr>
        <w:t xml:space="preserve">Ergebnis: </w:t>
      </w:r>
      <w:r>
        <w:t>Studiendesign: Kontrolle, PNE allein, BFRT allein, PNE+BFRT. Zwei strukturierte PNE-Sitzungen, 12-wöchiges BFRT. Primärer Endpunkt: KOOS₄-Zeitverlauf. Sekundär: Schmerzintensität, globales Wohlbefinden, psychologische Maße (HADS, PCS), körperliche Tests, Kraft. Follow-up: 12, 24, 36 Wochen. Intention-to-treat-Analyse. Ethikvotum 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China-basiert, Studienprotokoll ohne Ergebnisse; methodisch aber auf deutsches Versorgungssystem übertragbar (keine System-Abhängigkeit).</w:t>
      </w:r>
    </w:p>
    <w:p>
      <w:r>
        <w:rPr>
          <w:color w:val="5A7D3A"/>
          <w:sz w:val="18"/>
        </w:rPr>
        <w:t>https://pubmed.ncbi.nlm.nih.gov/42773464/</w:t>
      </w:r>
    </w:p>
    <w:p>
      <w:pPr>
        <w:pStyle w:val="Heading2"/>
      </w:pPr>
      <w:r>
        <w:t>Mental Health Literacy bei Studierenden: Kurs verbessert Verständnis und Sicherheit im Umgang mit Peers</w:t>
      </w:r>
    </w:p>
    <w:p>
      <w:r>
        <w:rPr>
          <w:i/>
          <w:color w:val="666666"/>
          <w:sz w:val="18"/>
        </w:rPr>
        <w:t>Newbold A et al.  ·  BMJ Open  ·  22.09.2026  ·  PMID 42772882</w:t>
      </w:r>
    </w:p>
    <w:p>
      <w:r>
        <w:t>Qualitative Studie mit fünf Fokusgruppen zu 19 Studierenden, die einen asynchronen Mental Health Literacy-Kurs absolvierten.</w:t>
      </w:r>
    </w:p>
    <w:p>
      <w:r>
        <w:rPr>
          <w:b/>
        </w:rPr>
        <w:t xml:space="preserve">Ergebnis: </w:t>
      </w:r>
      <w:r>
        <w:t>Vier Themen aus Erfahrungen: verbessertes Verständnis für psychische Gesundheit, größeres Selbstbewusstsein, besseres Verständnis für andere mit Schwierigkeiten. Kurs wurde als relevant, nützlich und zugänglich bewertet. Empfehlung aller 19 Teilnehmer. Aber: Unsicherheit bei Peer-Unterstützung, Grenzenziehung, Krisenhilfe und professioneller Weitervermittlung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Hochschulsystem; auch deutsch anwendbar, nutzt digitales Format ohne technische Barrieren.</w:t>
      </w:r>
    </w:p>
    <w:p>
      <w:r>
        <w:rPr>
          <w:color w:val="5A7D3A"/>
          <w:sz w:val="18"/>
        </w:rPr>
        <w:t>https://pubmed.ncbi.nlm.nih.gov/42772882/</w:t>
      </w:r>
    </w:p>
    <w:p>
      <w:pPr>
        <w:pStyle w:val="Heading2"/>
      </w:pPr>
      <w:r>
        <w:t>Gesundheitskompetenz und psychologische Resilienz vorhersagen Funktionsfähigkeit nach Rückenmarksverletzung</w:t>
      </w:r>
    </w:p>
    <w:p>
      <w:r>
        <w:rPr>
          <w:i/>
          <w:color w:val="666666"/>
          <w:sz w:val="18"/>
        </w:rPr>
        <w:t>Li S et al.  ·  J Rehabil Med  ·  22.09.2026  ·  PMID 42768903</w:t>
      </w:r>
    </w:p>
    <w:p>
      <w:r>
        <w:t>6-Monat-Follow-up-Studie bei 367 Rückenmarksverletzungspatienten: Alter, Resilienz, soziale Unterstützung und Health Literacy als Prädiktoren der funktionalen Fähigkeit (Modified Barthel Index).</w:t>
      </w:r>
    </w:p>
    <w:p>
      <w:r>
        <w:rPr>
          <w:b/>
        </w:rPr>
        <w:t xml:space="preserve">Ergebnis: </w:t>
      </w:r>
      <w:r>
        <w:t>MBI-Scores verbesserten sich leicht (43,50 auf 46,81, geringe Effektgröße). Multivariate Analyse: jüngeres Alter (β = -0,02; p = 0,028), höhere Resilienz (β = 0,22; p &lt; 0,001) und höhere Health Literacy (β = 0,32; p = 0,001) waren unabhängige Prädiktoren besserer Funktionsfähigkeit. Soziale Unterstützung nur in univariater Analyse signifikant (β = 0,44; p = 0,038).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Konzepte und Messinstrumente (Health Literacy, Connor-Davidson Resilience) sind international validiert; übertragbar auf deutsche Rehabilitationsstrukturen.</w:t>
      </w:r>
    </w:p>
    <w:p>
      <w:r>
        <w:rPr>
          <w:color w:val="5A7D3A"/>
          <w:sz w:val="18"/>
        </w:rPr>
        <w:t>https://pubmed.ncbi.nlm.nih.gov/42768903/</w:t>
      </w:r>
    </w:p>
    <w:p>
      <w:pPr>
        <w:pStyle w:val="Heading2"/>
      </w:pPr>
      <w:r>
        <w:t>Digitale COPD-Selbstmanagement-App: Proaktive Unterstützung steigert Adhärenz stärker als passive Einführung</w:t>
      </w:r>
    </w:p>
    <w:p>
      <w:r>
        <w:rPr>
          <w:i/>
          <w:color w:val="666666"/>
          <w:sz w:val="18"/>
        </w:rPr>
        <w:t>Ruddock M et al.  ·  JMIR Hum Factors  ·  21.09.2026  ·  PMID 42766845</w:t>
      </w:r>
    </w:p>
    <w:p>
      <w:r>
        <w:t>Qualitative Studie mit 30 Interviews (16 Patienten, 14 Fachkräfte) zu Lieferung und Engagement mit myCOPD-App in zwei englischen NHS-Settings (Gemeinde-Reha und Krankenhausentlassung).</w:t>
      </w:r>
    </w:p>
    <w:p>
      <w:r>
        <w:rPr>
          <w:b/>
        </w:rPr>
        <w:t xml:space="preserve">Ergebnis: </w:t>
      </w:r>
      <w:r>
        <w:t>Zwei Liefermodelle: (1) Gemeindemedzinteams – proaktiv, beziehungsbasiert, iterative Unterstützung, kontinuierlich: multifacettiertes Engagement (routinemäßig, langfristig). (2) Krankenhausteams – passiv, Onboarding-fokussiert, Zeitdruck, Entlassungspriorität: einfaches Engagement (kurzfristig, transaktional). Vulnerabilitätsschichten (Multimorbidität, digitale Fähigkeiten, Sozioökonomie) beeinflussen Priorisierung der COPD-Selbstpflege.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NHS-Struktur; System-gebunden an Gatekeeping-Modell und Schichtarbeit; Evidenz zur proaktiven Unterstützung ist systemübergreifend übertragbar.</w:t>
      </w:r>
    </w:p>
    <w:p>
      <w:r>
        <w:rPr>
          <w:color w:val="5A7D3A"/>
          <w:sz w:val="18"/>
        </w:rPr>
        <w:t>https://pubmed.ncbi.nlm.nih.gov/42766845/</w:t>
      </w:r>
    </w:p>
    <w:p>
      <w:pPr>
        <w:pStyle w:val="Heading2"/>
      </w:pPr>
      <w:r>
        <w:t>Patientenbeteiligung bei Studiendesign: Co-Design reduziert Barrieren zur Adhärenz</w:t>
      </w:r>
    </w:p>
    <w:p>
      <w:r>
        <w:rPr>
          <w:i/>
          <w:color w:val="666666"/>
          <w:sz w:val="18"/>
        </w:rPr>
        <w:t>Holze M et al.  ·  Eur J Surg Oncol  ·  28.07.2026  ·  PMID 42570350</w:t>
      </w:r>
    </w:p>
    <w:p>
      <w:r>
        <w:t>Strukturierte 12-Monat-Konzeptphase in Deutschland mit Patientenumfrage, Fokusgruppen und Expertenbeteiligung zur Gestaltung einer RCT zu Prehabilitation vor Darmkrebsoperation.</w:t>
      </w:r>
    </w:p>
    <w:p>
      <w:r>
        <w:rPr>
          <w:b/>
        </w:rPr>
        <w:t xml:space="preserve">Ergebnis: </w:t>
      </w:r>
      <w:r>
        <w:t>Patientenvertreter und klinische Experten einigten sich auf: gezielte Risikogruppe (Alter, Gebrechlichkeit, Ernährung), vierwöchiges ambulantes Prähabilitationsprogramm mit vier Komponenten, Quality of Recovery als primärer Endpunkt. Co-Entwicklung von Adhärenz-Strategien gegen identifizierte Barrieren; Patientenprioritäten führten zu Studiendesign-Änderungen.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Patienten und Versorgungssystem; direkt übertragbar.</w:t>
      </w:r>
    </w:p>
    <w:p>
      <w:r>
        <w:rPr>
          <w:color w:val="5A7D3A"/>
          <w:sz w:val="18"/>
        </w:rPr>
        <w:t>https://pubmed.ncbi.nlm.nih.gov/42570350/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