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23.10.2026  |  6 Studien  |  diabetes.m-vf.de</w:t>
      </w:r>
    </w:p>
    <w:p>
      <w:pPr>
        <w:pStyle w:val="Heading1"/>
      </w:pPr>
      <w:r>
        <w:t>Aufgenommen am 23.10.2026</w:t>
      </w:r>
    </w:p>
    <w:p>
      <w:pPr>
        <w:pStyle w:val="Heading2"/>
      </w:pPr>
      <w:r>
        <w:t>Entzündungs-Proteinmuster sagt Herzinfarkt bei Typ-1-Diabetes voraus</w:t>
      </w:r>
    </w:p>
    <w:p>
      <w:r>
        <w:rPr>
          <w:i/>
          <w:color w:val="666666"/>
          <w:sz w:val="18"/>
        </w:rPr>
        <w:t>Zhou J et al.  ·  Cardiovasc Diabetol  ·  26.07.2026  ·  PMID 42907853</w:t>
      </w:r>
    </w:p>
    <w:p>
      <w:r>
        <w:t>Prospektive US-amerikanische Kohortenstudie: 417 Typ-1-Diabetiker mit Beginn im Kindesalter wurden über 30 Jahre nachbeobachtet. Mit Hochdurchsatz-Proteomik wurden 184 Blutproteine gemessen, um festzustellen, welche Proteinkombinationen einen Herzinfarkt oder die Notwendigkeit einer Herzkatheter-Intervention vorhersagen.</w:t>
      </w:r>
    </w:p>
    <w:p>
      <w:r>
        <w:rPr>
          <w:b/>
        </w:rPr>
        <w:t xml:space="preserve">Ergebnis: </w:t>
      </w:r>
      <w:r>
        <w:t>In 30 Jahren traten bei 151 Patienten (36,2 %) ein Herzinfarkt, eine koronare Revaskularisation oder ein verschlossenes Gefäß auf. Ein Protein-Modul mit 56 Proteinen (TNF/Notch-Signaling, T-Zell-Aktivierung) war mit erhöhtem Risiko assoziiert (Hazard Ratio 1,35, 95%-KI 1,06–1,72, p = 0,014). Ein anderes Modul mit 33 Proteinen (Lipidabbau, Hormonantwort) war protektiv (HR 0,82, 95%-KI 0,70–0,96, p = 0,017). Das Entzündungs-Modul vermittelte 14 % des Effekts von erhöhtem HbA1c auf Herzinfarkt.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USA-Kohortendaten, aber biologisches Muster unabhängig von Versicherungssystem</w:t>
      </w:r>
    </w:p>
    <w:p>
      <w:r>
        <w:rPr>
          <w:color w:val="5A7D3A"/>
          <w:sz w:val="18"/>
        </w:rPr>
        <w:t>https://pubmed.ncbi.nlm.nih.gov/42907853/</w:t>
      </w:r>
    </w:p>
    <w:p>
      <w:pPr>
        <w:pStyle w:val="Heading2"/>
      </w:pPr>
      <w:r>
        <w:t>Diabetische Retinopathie verbessert Risikovorhersage für Herzinfarkt und Schlaganfall</w:t>
      </w:r>
    </w:p>
    <w:p>
      <w:r>
        <w:rPr>
          <w:i/>
          <w:color w:val="666666"/>
          <w:sz w:val="18"/>
        </w:rPr>
        <w:t>Phan F et al.  ·  Cardiovasc Diabetol  ·  27.07.2026  ·  PMID 42907820</w:t>
      </w:r>
    </w:p>
    <w:p>
      <w:r>
        <w:t>Prospektive französische Kohortenstudie an 424 Typ-2-Diabetikern ohne bisherige kardiovaskuläre Ereignisse: Es wurde untersucht, ob das Vorliegen einer diabetischen Retinopathie zusammen mit dem Koronarkalk-Score die Vorhersage von Herzinfarkt, Schlaganfall, Herzschwäche und kardiovaskulärem Tod verbessert.</w:t>
      </w:r>
    </w:p>
    <w:p>
      <w:r>
        <w:rPr>
          <w:b/>
        </w:rPr>
        <w:t xml:space="preserve">Ergebnis: </w:t>
      </w:r>
      <w:r>
        <w:t>In 7 Jahren traten kardiovaskuläre Ereignisse bei 50 Patienten (11,8 %) auf. Diabetische Retinopathie war signifikant häufiger bei denen mit Ereignissen (58 % vs. 25 %, p &lt; 0,001). Die Kombination aus Retinopathie und Koronarkalk-Score erhöhte die diagnostische Aussagekraft: AUC stieg von 0,68 auf 0,75 (p = 0,01), nach Anpassung an klassische Risikofaktoren auf 0,79 (p = 0,04). Retinopathie reklassifizierte einen erheblichen Anteil von Patienten mit niedrigen bis mittleren Koronarkalk-Scores in höhere Risikokategorien.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Universitätsklinik Paris mit strukturierter Erfassung - Konzept auf deutsche Kliniken übertragbar</w:t>
      </w:r>
    </w:p>
    <w:p>
      <w:r>
        <w:rPr>
          <w:color w:val="5A7D3A"/>
          <w:sz w:val="18"/>
        </w:rPr>
        <w:t>https://pubmed.ncbi.nlm.nih.gov/42907820/</w:t>
      </w:r>
    </w:p>
    <w:p>
      <w:pPr>
        <w:pStyle w:val="Heading2"/>
      </w:pPr>
      <w:r>
        <w:t>Mehr Glukosestoffwechsel-Defekte erhöhen Fettleberrisiko bei Prädiabetes</w:t>
      </w:r>
    </w:p>
    <w:p>
      <w:r>
        <w:rPr>
          <w:i/>
          <w:color w:val="666666"/>
          <w:sz w:val="18"/>
        </w:rPr>
        <w:t>He M et al.  ·  Diabetes Res Clin Pract  ·  21.10.2026  ·  PMID 42906758</w:t>
      </w:r>
    </w:p>
    <w:p>
      <w:r>
        <w:t>Prospektive chinesische Kohortenstudie mit 4.768 Teilnehmern ohne oder mit Prädiabetes über 3 Jahre: Untersucht wurde, wie die Anzahl gleichzeitiger Glukosestoffwechsel-Störungen (erhöhte Nüchternglukose, pathologische OGTT, erhöhtes HbA1c) mit der Entwicklung und dem Rückgang einer metabolisch dysfunktionalen Fettlebererkrankung assoziiert sind.</w:t>
      </w:r>
    </w:p>
    <w:p>
      <w:r>
        <w:rPr>
          <w:b/>
        </w:rPr>
        <w:t xml:space="preserve">Ergebnis: </w:t>
      </w:r>
      <w:r>
        <w:t>2.687 Patienten hatten zu Studienbeginn eine Fettleber. Verglichen mit normaler Glukosetoleranz war die bereinigte Wahrscheinlichkeit für eine neue Fettleber erhöht um 45 % (95%-KI 1,09–1,93) bei zwei gleichzeitigen Defekten und um 92 % (95%-KI 1,13–3,26) bei allen drei Defekten. Umgekehrt war die Wahrscheinlichkeit einer Fettleber-Rückbildung reduziert um 38 % (95%-KI 0,46–0,82) bzw. 62 % (95%-KI 0,23–0,61).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biologisches Konzept und Studiendesign auf deutsches Gesundheitssystem übertragbar</w:t>
      </w:r>
    </w:p>
    <w:p>
      <w:r>
        <w:rPr>
          <w:color w:val="5A7D3A"/>
          <w:sz w:val="18"/>
        </w:rPr>
        <w:t>https://pubmed.ncbi.nlm.nih.gov/42906758/</w:t>
      </w:r>
    </w:p>
    <w:p>
      <w:pPr>
        <w:pStyle w:val="Heading2"/>
      </w:pPr>
      <w:r>
        <w:t>Neue Protein-Biomarker erkennen Nierenschaden bei Diabetes trotz normaler Albumin-Ausscheidung</w:t>
      </w:r>
    </w:p>
    <w:p>
      <w:r>
        <w:rPr>
          <w:i/>
          <w:color w:val="666666"/>
          <w:sz w:val="18"/>
        </w:rPr>
        <w:t>Moedt E et al.  ·  Diabetes  ·  21.10.2026  ·  PMID 42905866</w:t>
      </w:r>
    </w:p>
    <w:p>
      <w:r>
        <w:t>Klinische Studie an niederländischem Universitätsklinikum: Bei Typ-2-Diabetikern mit normaler Albuminurie und normaler Nierenfunktion wurde untersucht, ob neue Blut- und Urin-Proteine (TNFR-1, TNFR-2, KIM-1, MMP-7, uEGF/Cr) einen verborgenen Nierenschaden erkennen und einen Rückgang der Nierenfunktion vorhersagen, besser als die bisherige Albuminausscheidung.</w:t>
      </w:r>
    </w:p>
    <w:p>
      <w:r>
        <w:rPr>
          <w:b/>
        </w:rPr>
        <w:t xml:space="preserve">Ergebnis: </w:t>
      </w:r>
      <w:r>
        <w:t>Die Baseline-Albuminurie war nicht prädiktiv für den kombinierten Nieren-Endpunkt. Dagegen waren TNFR-1, TNFR-2, KIM-1 und MMP-7 unabhängig assoziiert. Bei Patienten, die einen Nierenfunktionsrückgang entwickelten, zeigten diese Biomarker und uEGF/Cr divergente Verläufe im Gegensatz zur stabilen Albuminurie.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Gesundheitsdokumentation</w:t>
      </w:r>
    </w:p>
    <w:p>
      <w:r>
        <w:rPr>
          <w:color w:val="5A7D3A"/>
          <w:sz w:val="18"/>
        </w:rPr>
        <w:t>https://pubmed.ncbi.nlm.nih.gov/42905866/</w:t>
      </w:r>
    </w:p>
    <w:p>
      <w:pPr>
        <w:pStyle w:val="Heading2"/>
      </w:pPr>
      <w:r>
        <w:t>Vor-OP-Schulung verbessert Vorbereitung auf Diabetes nach Pankreas-Entfernung mit Inselzell-Transplantation</w:t>
      </w:r>
    </w:p>
    <w:p>
      <w:r>
        <w:rPr>
          <w:i/>
          <w:color w:val="666666"/>
          <w:sz w:val="18"/>
        </w:rPr>
        <w:t>Tellez S et al.  ·  Diabetes Technol Ther  ·  19.10.2026  ·  PMID 42897853</w:t>
      </w:r>
    </w:p>
    <w:p>
      <w:r>
        <w:t>US-amerikanische Qualitätsverbesserungsstudie an 33 pädiatrischen Patienten, die sich einer Pankreatektomie mit Inselzell-Autotransplantation unterzogen: Untersucht wurde, ob eine strukturierte Diabetes-Schulung vor der Operation die Zeit für die klinische Schulung nach der Operation reduziert und die Vorbereitung der primären Bezugsperson auf komplexe Therapie (Insulinpumpe, kontinuierliche Glukosemessung) verbessert.</w:t>
      </w:r>
    </w:p>
    <w:p>
      <w:r>
        <w:rPr>
          <w:b/>
        </w:rPr>
        <w:t xml:space="preserve">Ergebnis: </w:t>
      </w:r>
      <w:r>
        <w:t>Die Schulungszeit vor der OP stieg statistisch signifikant in den späteren Kohorten (p = 0,0291 und p = 0,0007). Die stationäre Diabetes-Schulung nach OP nahm um 133 Minuten ab (p = 0,0717, marginal signifikant). Wissenstests dokumentierten einen wesentlichen Wissenserwerb, der von vor bis nach der OP erhalten blieb. Das Selbstvertrauen nahm zu (p = 0,063), die Zufriedenheitswerte blieben hoch.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USA-Setting, aber Schulungskonzept auf deutsche Diabetes-Schwerpunktkliniken übertragbar</w:t>
      </w:r>
    </w:p>
    <w:p>
      <w:r>
        <w:rPr>
          <w:color w:val="5A7D3A"/>
          <w:sz w:val="18"/>
        </w:rPr>
        <w:t>https://pubmed.ncbi.nlm.nih.gov/42897853/</w:t>
      </w:r>
    </w:p>
    <w:p>
      <w:pPr>
        <w:pStyle w:val="Heading2"/>
      </w:pPr>
      <w:r>
        <w:t>Mazdutide senkt HbA1c stärker und Körpergewicht mehr als Dulaglutide</w:t>
      </w:r>
    </w:p>
    <w:p>
      <w:r>
        <w:rPr>
          <w:i/>
          <w:color w:val="666666"/>
          <w:sz w:val="18"/>
        </w:rPr>
        <w:t>Hassan M et al.  ·  Diabetol Metab Syndr  ·  24.07.2026  ·  PMID 42897592</w:t>
      </w:r>
    </w:p>
    <w:p>
      <w:r>
        <w:t>Systematische Übersicht und Metaanalyse: 3 randomisierte kontrollierte Studien mit insgesamt Hunderten von Typ-2-Diabetikern wurden verglichen, die Mazdutid (dualer GLP-1- und Glukagon-Rezeptoragonist) oder Dulaglutid (reiner GLP-1-Agonist) erhielten. Primäre Endpunkte waren HbA1c-Senkung, Körpergewichtsreduktion und Erreichung von Therapiezielen.</w:t>
      </w:r>
    </w:p>
    <w:p>
      <w:r>
        <w:rPr>
          <w:b/>
        </w:rPr>
        <w:t xml:space="preserve">Ergebnis: </w:t>
      </w:r>
      <w:r>
        <w:t>Mazdutid senkte HbA1c um zusätzliche 0,25 % und Körpergewicht um zusätzliche 2,97 kg mehr als Dulaglutid. Patienten erreichten häufiger HbA1c &lt; 7,0 % und ≥ 5 % Gewichtsabnahme sowie die kombinierte Ziel (HR nicht spezifisch beziffert, aber Trend zugunsten Mazdutid). Mazdutid war mit höheren Raten gastrointestinaler Nebenwirkungen assoziiert; schwerwiegende Nebenwirkungen und Studienabbrüche waren ähnlich. Evidenzsicherheit für Glykämie und Gewichtsendpunkte: hoch.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RCT-Daten, biologisch unabhängig von Gesundheitssystem</w:t>
      </w:r>
    </w:p>
    <w:p>
      <w:r>
        <w:rPr>
          <w:color w:val="5A7D3A"/>
          <w:sz w:val="18"/>
        </w:rPr>
        <w:t>https://pubmed.ncbi.nlm.nih.gov/42897592/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2026-10-23T06:00:00Z</dcterms:created>
  <dcterms:modified xsi:type="dcterms:W3CDTF">2026-10-23T06:00:00Z</dcterms:modified>
  <cp:category/>
</cp:coreProperties>
</file>