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Diabetes</w:t>
      </w:r>
    </w:p>
    <w:p>
      <w:r>
        <w:rPr>
          <w:i/>
          <w:color w:val="666666"/>
          <w:sz w:val="18"/>
        </w:rPr>
        <w:t>Stand: 24.10.2026  |  5 Studien  |  diabetes.m-vf.de</w:t>
      </w:r>
    </w:p>
    <w:p>
      <w:pPr>
        <w:pStyle w:val="Heading1"/>
      </w:pPr>
      <w:r>
        <w:t>Aufgenommen am 24.10.2026</w:t>
      </w:r>
    </w:p>
    <w:p>
      <w:pPr>
        <w:pStyle w:val="Heading2"/>
      </w:pPr>
      <w:r>
        <w:t>Substanzkonsum-Profile mit Hospitalisierungsrisiko bei Diabetes assoziiert</w:t>
      </w:r>
    </w:p>
    <w:p>
      <w:r>
        <w:rPr>
          <w:i/>
          <w:color w:val="666666"/>
          <w:sz w:val="18"/>
        </w:rPr>
        <w:t>Burroughs TE et al.  ·  Prim Care Diabetes  ·  23.10.2026  ·  PMID 42919753</w:t>
      </w:r>
    </w:p>
    <w:p>
      <w:r>
        <w:t>Analyse von 6.805 erwachsenen Diabetikern aus US-Nationaldaten zur Identifikation von Substanzkonsum-Mustern und deren Verknüpfung mit klinischen Outcomes.</w:t>
      </w:r>
    </w:p>
    <w:p>
      <w:r>
        <w:rPr>
          <w:b/>
        </w:rPr>
        <w:t xml:space="preserve">Ergebnis: </w:t>
      </w:r>
      <w:r>
        <w:t>Drei Profile identifiziert: Niedrig/Kein Konsum (67,6%), Cannabis und Binge-Drinking (24,4%), Polysubstanzgebrauch (8,0%). Polysubstanznutzer hatten erhöhte Odds für Hospitalisierung (OR 1,46) und schlechtere subjektive Gesundheit als die Referenzgruppe. Mental-Health-Belastung und männliches Geschlecht waren Risikofaktoren.</w:t>
      </w:r>
    </w:p>
    <w:p>
      <w:r>
        <w:rPr>
          <w:b/>
          <w:sz w:val="19"/>
        </w:rPr>
        <w:t xml:space="preserve">Übertragbarkeit: </w:t>
      </w:r>
      <w:r>
        <w:rPr>
          <w:sz w:val="19"/>
        </w:rPr>
        <w:t>USA-Daten, andere Versorgungsstruktur; Screening-Konzept prinzipiell übertragbar.</w:t>
      </w:r>
    </w:p>
    <w:p>
      <w:r>
        <w:rPr>
          <w:color w:val="5A7D3A"/>
          <w:sz w:val="18"/>
        </w:rPr>
        <w:t>https://pubmed.ncbi.nlm.nih.gov/42919753/</w:t>
      </w:r>
    </w:p>
    <w:p>
      <w:pPr>
        <w:pStyle w:val="Heading2"/>
      </w:pPr>
      <w:r>
        <w:t>Stillen nach Geburt: BMI, nicht Diabetes selbst, senkt Stillquoten</w:t>
      </w:r>
    </w:p>
    <w:p>
      <w:r>
        <w:rPr>
          <w:i/>
          <w:color w:val="666666"/>
          <w:sz w:val="18"/>
        </w:rPr>
        <w:t>Britten FL et al.  ·  Diabetologia  ·  22.10.2026  ·  PMID 42918866</w:t>
      </w:r>
    </w:p>
    <w:p>
      <w:r>
        <w:t>Prospektive Fall-Kontroll-Studie mit 29 Frauen mit Typ-2-Diabetes und zwei Kontrollgruppen (jeweils n=28–29, eine mit angepasstem BMI, eine normalgewichtig), Follow-up 4 Monate postpartal in Australien.</w:t>
      </w:r>
    </w:p>
    <w:p>
      <w:r>
        <w:rPr>
          <w:b/>
        </w:rPr>
        <w:t xml:space="preserve">Ergebnis: </w:t>
      </w:r>
      <w:r>
        <w:t>Vollstillen nach 4 Monaten: 24% (Diabetes) vs. 38% (BMI-angepasste Kontrollen) vs. 64% (normale BMI); Unterschied Diabetes vs. BMI-angepasst nicht signifikant (p=0,26), aber Diabetes vs. normal-BMI signifikant (p=0,002). Beliebiges Stillen: 55% vs. 54% vs. 82% (p=0,79 vs. p=0,03). Maternal-Adipositas, nicht Typ-2-Diabetes selbst, ist Hauptdeterminante reduzierter Stillraten.</w:t>
      </w:r>
    </w:p>
    <w:p>
      <w:r>
        <w:rPr>
          <w:b/>
          <w:sz w:val="19"/>
        </w:rPr>
        <w:t xml:space="preserve">Übertragbarkeit: </w:t>
      </w:r>
      <w:r>
        <w:rPr>
          <w:sz w:val="19"/>
        </w:rPr>
        <w:t>Australien, englischsprachiges System; Befund zur Rolle von Adipositas prinzipiell übertragbar.</w:t>
      </w:r>
    </w:p>
    <w:p>
      <w:r>
        <w:rPr>
          <w:color w:val="5A7D3A"/>
          <w:sz w:val="18"/>
        </w:rPr>
        <w:t>https://pubmed.ncbi.nlm.nih.gov/42918866/</w:t>
      </w:r>
    </w:p>
    <w:p>
      <w:pPr>
        <w:pStyle w:val="Heading2"/>
      </w:pPr>
      <w:r>
        <w:t>Viszerales Fett über BMI hinaus zeigt frühe Glukosestörung an</w:t>
      </w:r>
    </w:p>
    <w:p>
      <w:r>
        <w:rPr>
          <w:i/>
          <w:color w:val="666666"/>
          <w:sz w:val="18"/>
        </w:rPr>
        <w:t>Kong Y et al.  ·  Diabetes Metab  ·  23.10.2026  ·  PMID 42918612</w:t>
      </w:r>
    </w:p>
    <w:p>
      <w:r>
        <w:t>Querschnittstudie mit MRT-vermessenem Fettverteilungsmuster bei 474 stoffwechselgesunden Erwachsenen (40–65 Jahre) zur Vorhersage von Insulinresistenz und gestörter Glukosetoleranz.</w:t>
      </w:r>
    </w:p>
    <w:p>
      <w:r>
        <w:rPr>
          <w:b/>
        </w:rPr>
        <w:t xml:space="preserve">Ergebnis: </w:t>
      </w:r>
      <w:r>
        <w:t>Jede 1-SD-Erhöhung des BMI-adjustierten viszeralen Fettanteils korrelierte mit niedrigerem Matsuda-Index (β=−0,41), höherem HOMA-IR (β=0,10), 2-Stunden-Glukose +0,22 mmol/l und höherem Prädiabetes-Risiko (OR 1,32 für WHO-Definition). Subkutanes Fett zeigte keine signifikanten Assoziationen.</w:t>
      </w:r>
    </w:p>
    <w:p>
      <w:r>
        <w:rPr>
          <w:b/>
          <w:sz w:val="19"/>
        </w:rPr>
        <w:t xml:space="preserve">Übertragbarkeit: </w:t>
      </w:r>
      <w:r>
        <w:rPr>
          <w:sz w:val="19"/>
        </w:rPr>
        <w:t>China; Messmethode erfordert MRT, in Deutschland flächendeckend kaum verfügbar.</w:t>
      </w:r>
    </w:p>
    <w:p>
      <w:r>
        <w:rPr>
          <w:color w:val="5A7D3A"/>
          <w:sz w:val="18"/>
        </w:rPr>
        <w:t>https://pubmed.ncbi.nlm.nih.gov/42918612/</w:t>
      </w:r>
    </w:p>
    <w:p>
      <w:pPr>
        <w:pStyle w:val="Heading2"/>
      </w:pPr>
      <w:r>
        <w:t>SGLT2-Inhibitoren verbessern Leberhistologie bei biopsie-verifizierter MASH</w:t>
      </w:r>
    </w:p>
    <w:p>
      <w:r>
        <w:rPr>
          <w:i/>
          <w:color w:val="666666"/>
          <w:sz w:val="18"/>
        </w:rPr>
        <w:t>Abdel Monem MS et al.  ·  J Diabetes Complications  ·  16.10.2026  ·  PMID 42914763</w:t>
      </w:r>
    </w:p>
    <w:p>
      <w:r>
        <w:t>Metaanalyse von 7 Studien (n=110) zur Wirkung von SGLT2-Inhibitoren auf histologisch verifizierte metabolic-dysfunction-associated steatohepatitis (MASH) bei Typ-2-Diabetikern.</w:t>
      </w:r>
    </w:p>
    <w:p>
      <w:r>
        <w:rPr>
          <w:b/>
        </w:rPr>
        <w:t xml:space="preserve">Ergebnis: </w:t>
      </w:r>
      <w:r>
        <w:t>SGLT2i führten zu signifikanten Verbesserungen: Lebersteatose und Fibrose-Histologie reduziert, controlled attenuation parameter (CAP) SMCR −0,56 (95%-KI −0,75 bis −0,36), liver stiffness measurement SMCR −0,58 (−1,03 bis −0,14), NAFLD-Activity-Score SMCR −1,18 (−2,29 bis −0,06); Waist Circumference −0,33 SD, Blutdruck gesenkt. Sicherheit konsistent, aber erhebliche Heterogenität bei LSM und Histologie.</w:t>
      </w:r>
    </w:p>
    <w:p>
      <w:r>
        <w:rPr>
          <w:b/>
          <w:sz w:val="19"/>
        </w:rPr>
        <w:t xml:space="preserve">Übertragbarkeit: </w:t>
      </w:r>
      <w:r>
        <w:rPr>
          <w:sz w:val="19"/>
        </w:rPr>
        <w:t>Metaanalyse, internationale Studien; SGLT2i sind in deutschen DMPs enthalten.</w:t>
      </w:r>
    </w:p>
    <w:p>
      <w:r>
        <w:rPr>
          <w:color w:val="5A7D3A"/>
          <w:sz w:val="18"/>
        </w:rPr>
        <w:t>https://pubmed.ncbi.nlm.nih.gov/42914763/</w:t>
      </w:r>
    </w:p>
    <w:p>
      <w:pPr>
        <w:pStyle w:val="Heading2"/>
      </w:pPr>
      <w:r>
        <w:t>Insulinresistenz neu verstanden: Plastische Anpassungen statt Uniform-Defekt</w:t>
      </w:r>
    </w:p>
    <w:p>
      <w:r>
        <w:rPr>
          <w:i/>
          <w:color w:val="666666"/>
          <w:sz w:val="18"/>
        </w:rPr>
        <w:t>Gastaldelli A et al.  ·  Diabetes  ·  28.09.2026  ·  PMID 42803383</w:t>
      </w:r>
    </w:p>
    <w:p>
      <w:r>
        <w:t>Konsensuspapier führender europäischer und nordamerikanischer Experten zur Neubewertung des Konzepts Insulinresistenz, basierend auf aktueller Forschung und EASD-Symposium 2025.</w:t>
      </w:r>
    </w:p>
    <w:p>
      <w:r>
        <w:rPr>
          <w:b/>
        </w:rPr>
        <w:t xml:space="preserve">Ergebnis: </w:t>
      </w:r>
      <w:r>
        <w:t>Insulinresistenz wird nicht länger als einheitliche pathophysiologische Entität beschrieben, sondern als diverse, plastische Ansammlung lokaler, organspezifischer und zeitlich variable adaptive sowie maladaptive Reaktionen auf physiologische und Umweltbedingungen. Bestehende Therapien wirken überwiegend indirekt. Empfehlung: Fokus auf Pathway-spezifische Defekte zur Entwicklung echter Insulinsensitizer. Verfügbare Methoden zur Messung werden dargelegt, offene Forschungsfragen benannt.</w:t>
      </w:r>
    </w:p>
    <w:p>
      <w:r>
        <w:rPr>
          <w:b/>
          <w:sz w:val="19"/>
        </w:rPr>
        <w:t xml:space="preserve">Übertragbarkeit: </w:t>
      </w:r>
      <w:r>
        <w:rPr>
          <w:sz w:val="19"/>
        </w:rPr>
        <w:t>Mehrheit europäische und deutsche Autoren, EASD-Kontext; grundlagliche Neubewertung.</w:t>
      </w:r>
    </w:p>
    <w:p>
      <w:r>
        <w:rPr>
          <w:color w:val="5A7D3A"/>
          <w:sz w:val="18"/>
        </w:rPr>
        <w:t>https://pubmed.ncbi.nlm.nih.gov/42803383/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Diabetes</dc:title>
  <dc:subject/>
  <dc:creator>Monitor Versorgungsforschung</dc:creator>
  <cp:keywords/>
  <dc:description>generated by python-docx</dc:description>
  <cp:lastModifiedBy/>
  <cp:revision>1</cp:revision>
  <dcterms:created xsi:type="dcterms:W3CDTF">2026-10-24T06:00:00Z</dcterms:created>
  <dcterms:modified xsi:type="dcterms:W3CDTF">2026-10-24T06:00:00Z</dcterms:modified>
  <cp:category/>
</cp:coreProperties>
</file>