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29.10.2026  |  7 Studien  |  impfen.m-vf.de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RSV-mRNA-Impfstoff schützt US-Veteranen mit sinkender Effektivität im Alter</w:t>
      </w:r>
    </w:p>
    <w:p>
      <w:r>
        <w:rPr>
          <w:i/>
          <w:color w:val="666666"/>
          <w:sz w:val="18"/>
        </w:rPr>
        <w:t>Bui DP et al.  ·  JAMA Netw Open  ·  01.10.2026  ·  PMID 42949743</w:t>
      </w:r>
    </w:p>
    <w:p>
      <w:r>
        <w:t>Kohortenstudie mit Target-Trial-Emulation bei US-Veteranen ≥50 Jahren (n=74.926 geimpft, 286.425 Kontrollen; 149.852 gewichtet). Median-Alter 73 Jahre, 91,3% männlich. Primärer Endpunkt: positiver RSV-Test ab Tag 14 nach Index-Datum über 24 Wochen.</w:t>
      </w:r>
    </w:p>
    <w:p>
      <w:r>
        <w:rPr>
          <w:b/>
        </w:rPr>
        <w:t xml:space="preserve">Ergebnis: </w:t>
      </w:r>
      <w:r>
        <w:t>Impfeffektivität 60,3% (95% CI 49,0–70,4%) gegen dokumentierte Infektionen, 60,2% (95% CI 47,2–71,5%) gegen RSV-ED/UC-Kontakte, 81,8% (95% CI 58,1–99,9%) gegen Hospitalisierungen. Effektivität sank mit Alter: 82,9% (50–59 Jahre) auf 28,6% (≥80 Jahre). Mit aktivem Vergleichsarm: 67,1% gegen Infektionen.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Veteranensystem; Sicherheitsbefund übertragbar, Zugangsweg nicht.</w:t>
      </w:r>
    </w:p>
    <w:p>
      <w:r>
        <w:rPr>
          <w:color w:val="5A7D3A"/>
          <w:sz w:val="18"/>
        </w:rPr>
        <w:t>https://pubmed.ncbi.nlm.nih.gov/42949743/</w:t>
      </w:r>
    </w:p>
    <w:p>
      <w:pPr>
        <w:pStyle w:val="Heading2"/>
      </w:pPr>
      <w:r>
        <w:t>Peer-Edukation erhöht HPV-Impfbereitschaft bei Jugendlichen</w:t>
      </w:r>
    </w:p>
    <w:p>
      <w:r>
        <w:rPr>
          <w:i/>
          <w:color w:val="666666"/>
          <w:sz w:val="18"/>
        </w:rPr>
        <w:t>Gray Brunton C et al.  ·  Hum Vaccin Immunother  ·  28.10.2026  ·  PMID 42949617</w:t>
      </w:r>
    </w:p>
    <w:p>
      <w:r>
        <w:t>Qualitative Evaluation einer STEAM-Schulungsintervention zur Impfbereitschaft: 53 Jugendliche (Fokusgruppen), 35 jüngere Schüler (Klassenevaluation) und 300 Austrittsfragebögen wurden analysiert.</w:t>
      </w:r>
    </w:p>
    <w:p>
      <w:r>
        <w:rPr>
          <w:b/>
        </w:rPr>
        <w:t xml:space="preserve">Ergebnis: </w:t>
      </w:r>
      <w:r>
        <w:t>Thematische Analyse zeigte drei kompatible Themen zu demokratischer Partizipation und Impfbefürwortung. Jugendliche berichteten positive Veränderungen in HPV-Wissen, Vertrauen und Befürwortungsüberzeugungen; jüngere Schüler konnten HPV-Fakten in Klassenevaluationen und Austrittsfragebögen abrufen. Das Peer-Education-Format befähigte Jugendliche, als Impfbefürworter zu fungieren.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qualitatives Schulmodell; Übertragbarkeit auf Deutschland begrenzt durch Schulstruktur.</w:t>
      </w:r>
    </w:p>
    <w:p>
      <w:r>
        <w:rPr>
          <w:color w:val="5A7D3A"/>
          <w:sz w:val="18"/>
        </w:rPr>
        <w:t>https://pubmed.ncbi.nlm.nih.gov/42949617/</w:t>
      </w:r>
    </w:p>
    <w:p>
      <w:pPr>
        <w:pStyle w:val="Heading2"/>
      </w:pPr>
      <w:r>
        <w:t>Datenqualität Impfung im privaten Sektor: Co-Design bessert Erfassung, Infrastruktur bleibt Hürde</w:t>
      </w:r>
    </w:p>
    <w:p>
      <w:r>
        <w:rPr>
          <w:i/>
          <w:color w:val="666666"/>
          <w:sz w:val="18"/>
        </w:rPr>
        <w:t>Ssegujja E et al.  ·  J Health Popul Nutr  ·  24.07.2026  ·  PMID 42947267</w:t>
      </w:r>
    </w:p>
    <w:p>
      <w:r>
        <w:t>Qualitative Endline-Fallstudie (n=20 Health-Worker aus 2 Kampalas Bezirken) nach Implementierung eines Datenqualitäts-Verbesserungsinterventions-Piloten in privaten Impfanbietern. Audio-Aufzeichnungen, thematische Analyse nach PRISM-Rahmen.</w:t>
      </w:r>
    </w:p>
    <w:p>
      <w:r>
        <w:rPr>
          <w:b/>
        </w:rPr>
        <w:t xml:space="preserve">Ergebnis: </w:t>
      </w:r>
      <w:r>
        <w:t>Co-gestaltete Intervention stärkte bestehende Strategien (Kohorten-Register, Monitoring-Charts, Datenreview), verbesserte Rückverfolgung und Zeitnähe. Papierabhängigkeit, fehlende Ausrüstung und Improvisationskosten blieben. Unterstützungs-Supervision förderte Ownership, aber Unterbesetzung und hohe Fluktuation limitierten Fortschritt. Berichterstattung inkonsistent, besonders ohne DHIS2-Anbindung. Schlussfolgerung: Nachhaltige Gewinne erfordern stärkere Infrastruktur, Führung und eingebettete Feedback-Prozesse.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Uganda, Privatsektor-Datenerfassung; zeigt Systemlücken in Low-Resource-Settings.</w:t>
      </w:r>
    </w:p>
    <w:p>
      <w:r>
        <w:rPr>
          <w:color w:val="5A7D3A"/>
          <w:sz w:val="18"/>
        </w:rPr>
        <w:t>https://pubmed.ncbi.nlm.nih.gov/42947267/</w:t>
      </w:r>
    </w:p>
    <w:p>
      <w:pPr>
        <w:pStyle w:val="Heading2"/>
      </w:pPr>
      <w:r>
        <w:t>Masern-Transmission in Nigeria: 86 Prozent der Fälle im Norden, Impfquoten kritisch</w:t>
      </w:r>
    </w:p>
    <w:p>
      <w:r>
        <w:rPr>
          <w:i/>
          <w:color w:val="666666"/>
          <w:sz w:val="18"/>
        </w:rPr>
        <w:t>Ezenwa-Ahanene S et al.  ·  PLoS One  ·  27.10.2026  ·  PMID 42945220</w:t>
      </w:r>
    </w:p>
    <w:p>
      <w:r>
        <w:t>Nationale retrospektive ökologische Studie (19 Jahre Surveillance 2006–2025, n=253.595 Masernfälle). Räumlich-zeitliche Analyse mit Moran's I und Getis-Ord Gi*, lineare Mixed-Effects-Modelle zum MCV1/MCV2-Effekt.</w:t>
      </w:r>
    </w:p>
    <w:p>
      <w:r>
        <w:rPr>
          <w:b/>
        </w:rPr>
        <w:t xml:space="preserve">Ergebnis: </w:t>
      </w:r>
      <w:r>
        <w:t>86,4% der Fälle konzentriert im Norden. 38 persistente Hotspot-LGAs mit 23,2% aller Fälle. MCV1-Quote national 73,8%, MCV2 38,4%. Signifikante negative Assoziation MCV1-Abdeckung und Masern-Fallquote (p&lt;0,001); MCV2 kein unabhängiger Effekt. Hotspots erfordern intensive SIA (Supplemental Immunization Activities).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Überwachungsdaten; zeigt Risikokonzentration und Impflücken in Low-Income-Settings.</w:t>
      </w:r>
    </w:p>
    <w:p>
      <w:r>
        <w:rPr>
          <w:color w:val="5A7D3A"/>
          <w:sz w:val="18"/>
        </w:rPr>
        <w:t>https://pubmed.ncbi.nlm.nih.gov/42945220/</w:t>
      </w:r>
    </w:p>
    <w:p>
      <w:pPr>
        <w:pStyle w:val="Heading2"/>
      </w:pPr>
      <w:r>
        <w:t>PCV13-Einführung in Qinghai spart Kosten und verhindert 7.500 Fälle in 5 Jahren</w:t>
      </w:r>
    </w:p>
    <w:p>
      <w:r>
        <w:rPr>
          <w:i/>
          <w:color w:val="666666"/>
          <w:sz w:val="18"/>
        </w:rPr>
        <w:t>Guo Z et al.  ·  Medicine (Baltimore)  ·  23.10.2026  ·  PMID 42937774</w:t>
      </w:r>
    </w:p>
    <w:p>
      <w:r>
        <w:t>Entscheidungsbaum-Markov-Modell zur Kosteneffektivität einer 4-Dosen-PCV13-Serie im Nationalen Impfprogramm vs. Status quo (private Verfügbarkeit). Geburtskohorte 2022 in Qinghai-Provinz (High-Altitude-Region), gesellschaftliche Perspektive, Zeithorizont 5 Jahre.</w:t>
      </w:r>
    </w:p>
    <w:p>
      <w:r>
        <w:rPr>
          <w:b/>
        </w:rPr>
        <w:t xml:space="preserve">Ergebnis: </w:t>
      </w:r>
      <w:r>
        <w:t>PCV13 in NIP verhindert ~7.493 Pneumokokkenfälle (75,60% Reduktion) und 146 Todesfälle (93,59% Reduktion) in ersten 5 Jahren. Bei aktueller Dosis-Preis USD 68,00: kosteneffektiv mit Kosteneinsparung. 1-Wege- und Szenarioanalysen zeigten robuste Ergebnisse; probabilistische Sensitivitätsanalyse: 99% Wahrscheinlichkeit Kosteneffektivität.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Qinghai-Region mit Hochaltitude-Besonderheiten; Modellbasiert, Anwendung begrenzt auf Kosten-Struktur.</w:t>
      </w:r>
    </w:p>
    <w:p>
      <w:r>
        <w:rPr>
          <w:color w:val="5A7D3A"/>
          <w:sz w:val="18"/>
        </w:rPr>
        <w:t>https://pubmed.ncbi.nlm.nih.gov/42937774/</w:t>
      </w:r>
    </w:p>
    <w:p>
      <w:pPr>
        <w:pStyle w:val="Heading2"/>
      </w:pPr>
      <w:r>
        <w:t>HBV-Impfquote bei Drogengebrauchern in Oslo nur 40 Prozent</w:t>
      </w:r>
    </w:p>
    <w:p>
      <w:r>
        <w:rPr>
          <w:i/>
          <w:color w:val="666666"/>
          <w:sz w:val="18"/>
        </w:rPr>
        <w:t>Opheim E et al.  ·  Int J Drug Policy  ·  09.09.2026  ·  PMID 42715835</w:t>
      </w:r>
    </w:p>
    <w:p>
      <w:r>
        <w:t>Längsschnittquerschnittsstudien (acht Wellen 2002–2024) unter Menschen mit aktuellem Drogengebrauch in Oslo (n=1.689): Erfassung von HCV-, HBV- und HIV-Prävalenz sowie HBV-Impfstatus (Anti-HBs ≥10 IU/L bei Anti-HBc-Negativen).</w:t>
      </w:r>
    </w:p>
    <w:p>
      <w:r>
        <w:rPr>
          <w:b/>
        </w:rPr>
        <w:t xml:space="preserve">Ergebnis: </w:t>
      </w:r>
      <w:r>
        <w:t>HCV-RNA-Prävalenz sank dramatisch von 50,2% (2002) auf 6,3% (2024) (adjustiertes OR 0,06 für 2024 vs. 2002). HIV und HBsAg blieben durchgehend niedrig (&lt;3,3%). In 2021–2024 waren nur 40,0% der HBV-Exponierten geimpft (170/425). HBV-Impfung assoziiert mit Druckraum-Nutzung (aOR 1,33).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 mit Impfregister; Längsschnittdaten zur Erreichbarkeit von Risikogruppen.</w:t>
      </w:r>
    </w:p>
    <w:p>
      <w:r>
        <w:rPr>
          <w:color w:val="5A7D3A"/>
          <w:sz w:val="18"/>
        </w:rPr>
        <w:t>https://pubmed.ncbi.nlm.nih.gov/42715835/</w:t>
      </w:r>
    </w:p>
    <w:p>
      <w:pPr>
        <w:pStyle w:val="Heading2"/>
      </w:pPr>
      <w:r>
        <w:t>Rotavirus-Impfung zeigt keinen Effekt auf Typ-1-Diabetes-Risiko</w:t>
      </w:r>
    </w:p>
    <w:p>
      <w:r>
        <w:rPr>
          <w:i/>
          <w:color w:val="666666"/>
          <w:sz w:val="18"/>
        </w:rPr>
        <w:t>Östman M et al.  ·  Diabetologia  ·  28.08.2026  ·  PMID 42663626</w:t>
      </w:r>
    </w:p>
    <w:p>
      <w:r>
        <w:t>Kohortenstudie aller in Norwegen 2007–2019 geborenen Kinder (n=740.744), gefolgt von 6 Monaten bis 5 Jahren auf Typ-1-Diabetes; Unterbrochene Zeitreihenanalyse zur Impfprogrammeinführung (September 2014).</w:t>
      </w:r>
    </w:p>
    <w:p>
      <w:r>
        <w:rPr>
          <w:b/>
        </w:rPr>
        <w:t xml:space="preserve">Ergebnis: </w:t>
      </w:r>
      <w:r>
        <w:t>846 Kinder erhielten eine Typ-1-Diabetes-Diagnose. Primäre Analyse zeigte einen leicht erhöhten Trend nach Impfeinführung (relatives HR 1,11 [95% CI 1,03–1,20]), der nach Ausschluss von 2013–2015 nicht signifikant war (relatives HR 1,05 [95% CI 0,93–1,18]). Sekundäranalyse vollständig geimpft vs. nicht geimpft: HR 1,17 (95% CI 0,78–1,77). Kein Hinweis auf reduziertes Diabetesrisiko.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Geburtskohorte mit Registerdaten; Ähnliche Altersgruppen wie Deutschland.</w:t>
      </w:r>
    </w:p>
    <w:p>
      <w:r>
        <w:rPr>
          <w:color w:val="5A7D3A"/>
          <w:sz w:val="18"/>
        </w:rPr>
        <w:t>https://pubmed.ncbi.nlm.nih.gov/42663626/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