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Impfen und Praevention</w:t>
      </w:r>
    </w:p>
    <w:p>
      <w:r>
        <w:rPr>
          <w:i/>
          <w:color w:val="666666"/>
          <w:sz w:val="18"/>
        </w:rPr>
        <w:t>Stand: 16.10.2026  |  5 Studien  |  impfen.m-vf.de</w:t>
      </w:r>
    </w:p>
    <w:p>
      <w:pPr>
        <w:pStyle w:val="Heading1"/>
      </w:pPr>
      <w:r>
        <w:t>Aufgenommen am 16.10.2026</w:t>
      </w:r>
    </w:p>
    <w:p>
      <w:pPr>
        <w:pStyle w:val="Heading2"/>
      </w:pPr>
      <w:r>
        <w:t>Zweisprachige digitale Kampagne zur COVID-19-Impfung bei vietnamesisch-amerikanischen Gemeinden</w:t>
      </w:r>
    </w:p>
    <w:p>
      <w:r>
        <w:rPr>
          <w:i/>
          <w:color w:val="666666"/>
          <w:sz w:val="18"/>
        </w:rPr>
        <w:t>Tehami S et al.  ·  J Med Internet Res  ·  15.10.2026  ·  PMID 42879767</w:t>
      </w:r>
    </w:p>
    <w:p>
      <w:r>
        <w:t>Bewertung einer bilingualen (Englisch/Vietnamesisch) digitalen Kampagne über Google Display &amp; Video 360 zur Förderung von COVID-19-Impfung und Studienteilnahme in Texas.</w:t>
      </w:r>
    </w:p>
    <w:p>
      <w:r>
        <w:rPr>
          <w:b/>
        </w:rPr>
        <w:t xml:space="preserve">Ergebnis: </w:t>
      </w:r>
      <w:r>
        <w:t>4,97 Millionen Impressionen, ca. 1,4 Millionen eindeutige Nutzer. Vietnamesische Anzeigen: 0,105 Prozent Click-through-Rate vs. Englisch 0,046 Prozent (RR 2,29, p&lt;0,001). Mobile Platzierungen übertroffen Desktop. Kosten pro Klick 2,35 USD, CPM 1,45 USD. Direkte Impfquoten-Effekte nicht gemessen.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Sprachenminderheiten; Engagement-Metriken, keine Versorgungswirksamkeit gemessen</w:t>
      </w:r>
    </w:p>
    <w:p>
      <w:r>
        <w:rPr>
          <w:color w:val="5A7D3A"/>
          <w:sz w:val="18"/>
        </w:rPr>
        <w:t>https://pubmed.ncbi.nlm.nih.gov/42879767/</w:t>
      </w:r>
    </w:p>
    <w:p>
      <w:pPr>
        <w:pStyle w:val="Heading2"/>
      </w:pPr>
      <w:r>
        <w:t>Keuchhusten-Impfeffektivität bei Kindern während Ausbruch in Alaska 96 Prozent</w:t>
      </w:r>
    </w:p>
    <w:p>
      <w:r>
        <w:rPr>
          <w:i/>
          <w:color w:val="666666"/>
          <w:sz w:val="18"/>
        </w:rPr>
        <w:t>Newell K et al.  ·  MMWR Morb Mortal Wkly Rep  ·  15.10.2026  ·  PMID 42879706</w:t>
      </w:r>
    </w:p>
    <w:p>
      <w:r>
        <w:t>Untersuchung der Wirksamkeit der DTaP-Impfung gegen Keuchhusten bei Kindern während eines Ausbruchs 2024 in Alaska.</w:t>
      </w:r>
    </w:p>
    <w:p>
      <w:r>
        <w:rPr>
          <w:b/>
        </w:rPr>
        <w:t xml:space="preserve">Ergebnis: </w:t>
      </w:r>
      <w:r>
        <w:t>Vollständige 3-Dosis-Serie: 96,2 Prozent Schutz. Teilgeimpfte (1–2 Dosen): 85,3 Prozent. Ungeimpfte hatten 26-fach erhöhtes Erkrankungsrisiko (adjustiertes OR 26,1). Befunde unterstreichen die Notwendigkeit vollständiger Impfserien zum Schutz vor Keuchhusten.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USA-Daten, Impfeffektivität unter Alltagsbedingungen übertragbar auf vergleichbare Gesundheitssysteme</w:t>
      </w:r>
    </w:p>
    <w:p>
      <w:r>
        <w:rPr>
          <w:color w:val="5A7D3A"/>
          <w:sz w:val="18"/>
        </w:rPr>
        <w:t>https://pubmed.ncbi.nlm.nih.gov/42879706/</w:t>
      </w:r>
    </w:p>
    <w:p>
      <w:pPr>
        <w:pStyle w:val="Heading2"/>
      </w:pPr>
      <w:r>
        <w:t>Apothekenimpfung in Spanien: Europäischer Evidenzbefund für höhere Impfquoten</w:t>
      </w:r>
    </w:p>
    <w:p>
      <w:r>
        <w:rPr>
          <w:i/>
          <w:color w:val="666666"/>
          <w:sz w:val="18"/>
        </w:rPr>
        <w:t>Fernández Otero MD et al.  ·  Rev Esp Salud Publica  ·  13.10.2026  ·  PMID 42879310</w:t>
      </w:r>
    </w:p>
    <w:p>
      <w:r>
        <w:t>Analyse der Gründe, warum Spanien trotz europäischer Evidenz keine Apotheken-Impfungen zulässt; Prüfung von Qualifikations-, Systembeitrags- und Abdeckungs-Argumenten.</w:t>
      </w:r>
    </w:p>
    <w:p>
      <w:r>
        <w:rPr>
          <w:b/>
        </w:rPr>
        <w:t xml:space="preserve">Ergebnis: </w:t>
      </w:r>
      <w:r>
        <w:t>Keine objektiv-wissenschaftlichen Gründe gefunden, die Apotheken-Impfungen abrahmen würden. Farmazeutische Ausbildung in Spanien vergleichbar mit anderen EU-Ländern. Apotheken-Netzwerk könnte Wert für NVS-Leistungen erbringen. Impfquoten nicht bereits befriedigend. Empfehlung: Spanien sollte Apotheker-Kollaboration in Impfprogrammen erwägen.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Spanien/Europa, vergleichbares System; Zugangsbarriere Regelwerk, nicht Kompetenz</w:t>
      </w:r>
    </w:p>
    <w:p>
      <w:r>
        <w:rPr>
          <w:color w:val="5A7D3A"/>
          <w:sz w:val="18"/>
        </w:rPr>
        <w:t>https://pubmed.ncbi.nlm.nih.gov/42879310/</w:t>
      </w:r>
    </w:p>
    <w:p>
      <w:pPr>
        <w:pStyle w:val="Heading2"/>
      </w:pPr>
      <w:r>
        <w:t>H1N1-Impfung und Narkolepsie: Biomarker-Signale in schwedisch-finnischer Kohorte</w:t>
      </w:r>
    </w:p>
    <w:p>
      <w:r>
        <w:rPr>
          <w:i/>
          <w:color w:val="666666"/>
          <w:sz w:val="18"/>
        </w:rPr>
        <w:t>Lafta MS et al.  ·  Sleep Med  ·  15.09.2026  ·  PMID 42748496</w:t>
      </w:r>
    </w:p>
    <w:p>
      <w:r>
        <w:t>Proteomic- und Transkriptom-Analyse von Serum-Biomarkern bei Narkolepsie-Patienten aus H1N1-Pandemrix-geimpften Kohorten (Schweden, Finnland 2009–2010).</w:t>
      </w:r>
    </w:p>
    <w:p>
      <w:r>
        <w:rPr>
          <w:b/>
        </w:rPr>
        <w:t xml:space="preserve">Ergebnis: </w:t>
      </w:r>
      <w:r>
        <w:t>Sechs überlappende Proteine mit signifikanten Unterschieden zwischen Narkolepsie-Typ-1-Patienten und Kontrollen: UNC5C, VWC2, CPA2, GFRα-1, CLEC10A (herunterreguliert), HAGH (unterschiedliche Richtung). Befunde explorativ und hypothesen-generierend, keine etablierten Biomarker.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Skandinavien, bekannter Impfnebenwirkungsfall mit gutem Follow-up; Transferbarkeit auf Sicherheitsmonitoring begrenzt</w:t>
      </w:r>
    </w:p>
    <w:p>
      <w:r>
        <w:rPr>
          <w:color w:val="5A7D3A"/>
          <w:sz w:val="18"/>
        </w:rPr>
        <w:t>https://pubmed.ncbi.nlm.nih.gov/42748496/</w:t>
      </w:r>
    </w:p>
    <w:p>
      <w:pPr>
        <w:pStyle w:val="Heading2"/>
      </w:pPr>
      <w:r>
        <w:t>COVID-19-Impfung bei Krebspatienten unter Checkpoint-Inhibitoren senkt Früh-Mortalität</w:t>
      </w:r>
    </w:p>
    <w:p>
      <w:r>
        <w:rPr>
          <w:i/>
          <w:color w:val="666666"/>
          <w:sz w:val="18"/>
        </w:rPr>
        <w:t>Salem JE et al.  ·  Nat Med  ·  10.09.2026  ·  PMID 42722885</w:t>
      </w:r>
    </w:p>
    <w:p>
      <w:r>
        <w:t>Kohortenstudie an 95.015 Krebspatienten aus französischer Gesundheitsdatenbank zur Assoziation zwischen mRNA-COVID-19-Impfung und Überlebensergebnis bei ICl-Therapie.</w:t>
      </w:r>
    </w:p>
    <w:p>
      <w:r>
        <w:rPr>
          <w:b/>
        </w:rPr>
        <w:t xml:space="preserve">Ergebnis: </w:t>
      </w:r>
      <w:r>
        <w:t>Impfung vor ICl-Start: Hazard Ratio 0,90 (KI 0,87–0,94) für Gesamtmortalität in Monaten 1–3, nach 6 Monaten HR 0,96 (KI 0,93–1,00). Ähnliche Muster nach ICl-Start. Frühe, transiente Assoziation eher als spezifischer mRNA-Effekt, möglicherweise Gesundeneffekt.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 (vergleichbares Gesundheitssystem), nationale Datenbank mit vollständiger Verfolgung</w:t>
      </w:r>
    </w:p>
    <w:p>
      <w:r>
        <w:rPr>
          <w:color w:val="5A7D3A"/>
          <w:sz w:val="18"/>
        </w:rPr>
        <w:t>https://pubmed.ncbi.nlm.nih.gov/42722885/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Impfen und Praevention</dc:title>
  <dc:subject/>
  <dc:creator>Monitor Versorgungsforschung</dc:creator>
  <cp:keywords/>
  <dc:description>generated by python-docx</dc:description>
  <cp:lastModifiedBy/>
  <cp:revision>1</cp:revision>
  <dcterms:created xsi:type="dcterms:W3CDTF">2026-10-16T06:00:00Z</dcterms:created>
  <dcterms:modified xsi:type="dcterms:W3CDTF">2026-10-16T06:00:00Z</dcterms:modified>
  <cp:category/>
</cp:coreProperties>
</file>