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Impfen und Praevention</w:t>
      </w:r>
    </w:p>
    <w:p>
      <w:r>
        <w:rPr>
          <w:i/>
          <w:color w:val="666666"/>
          <w:sz w:val="18"/>
        </w:rPr>
        <w:t>Stand: 16.10.2026  |  324 Studien  |  impfen.m-vf.de</w:t>
      </w:r>
    </w:p>
    <w:p>
      <w:pPr>
        <w:pStyle w:val="Heading1"/>
      </w:pPr>
      <w:r>
        <w:t>Aufgenommen am 16.10.2026</w:t>
      </w:r>
    </w:p>
    <w:p>
      <w:pPr>
        <w:pStyle w:val="Heading2"/>
      </w:pPr>
      <w:r>
        <w:t>Zweisprachige digitale Kampagne zur COVID-19-Impfung bei vietnamesisch-amerikanischen Gemeinden</w:t>
      </w:r>
    </w:p>
    <w:p>
      <w:r>
        <w:rPr>
          <w:i/>
          <w:color w:val="666666"/>
          <w:sz w:val="18"/>
        </w:rPr>
        <w:t>Tehami S et al.  ·  J Med Internet Res  ·  15.10.2026  ·  PMID 42879767</w:t>
      </w:r>
    </w:p>
    <w:p>
      <w:r>
        <w:t>Bewertung einer bilingualen (Englisch/Vietnamesisch) digitalen Kampagne über Google Display &amp; Video 360 zur Förderung von COVID-19-Impfung und Studienteilnahme in Texas.</w:t>
      </w:r>
    </w:p>
    <w:p>
      <w:r>
        <w:rPr>
          <w:b/>
        </w:rPr>
        <w:t xml:space="preserve">Ergebnis: </w:t>
      </w:r>
      <w:r>
        <w:t>4,97 Millionen Impressionen, ca. 1,4 Millionen eindeutige Nutzer. Vietnamesische Anzeigen: 0,105 Prozent Click-through-Rate vs. Englisch 0,046 Prozent (RR 2,29, p&lt;0,001). Mobile Platzierungen übertroffen Desktop. Kosten pro Klick 2,35 USD, CPM 1,45 USD. Direkte Impfquoten-Effekte nicht gemessen.</w:t>
      </w:r>
    </w:p>
    <w:p>
      <w:r>
        <w:rPr>
          <w:b/>
          <w:sz w:val="19"/>
        </w:rPr>
        <w:t xml:space="preserve">Übertragbarkeit: </w:t>
      </w:r>
      <w:r>
        <w:rPr>
          <w:sz w:val="19"/>
        </w:rPr>
        <w:t>USA, Sprachenminderheiten; Engagement-Metriken, keine Versorgungswirksamkeit gemessen</w:t>
      </w:r>
    </w:p>
    <w:p>
      <w:r>
        <w:rPr>
          <w:color w:val="5A7D3A"/>
          <w:sz w:val="18"/>
        </w:rPr>
        <w:t>https://pubmed.ncbi.nlm.nih.gov/42879767/</w:t>
      </w:r>
    </w:p>
    <w:p>
      <w:pPr>
        <w:pStyle w:val="Heading2"/>
      </w:pPr>
      <w:r>
        <w:t>Keuchhusten-Impfeffektivität bei Kindern während Ausbruch in Alaska 96 Prozent</w:t>
      </w:r>
    </w:p>
    <w:p>
      <w:r>
        <w:rPr>
          <w:i/>
          <w:color w:val="666666"/>
          <w:sz w:val="18"/>
        </w:rPr>
        <w:t>Newell K et al.  ·  MMWR Morb Mortal Wkly Rep  ·  15.10.2026  ·  PMID 42879706</w:t>
      </w:r>
    </w:p>
    <w:p>
      <w:r>
        <w:t>Untersuchung der Wirksamkeit der DTaP-Impfung gegen Keuchhusten bei Kindern während eines Ausbruchs 2024 in Alaska.</w:t>
      </w:r>
    </w:p>
    <w:p>
      <w:r>
        <w:rPr>
          <w:b/>
        </w:rPr>
        <w:t xml:space="preserve">Ergebnis: </w:t>
      </w:r>
      <w:r>
        <w:t>Vollständige 3-Dosis-Serie: 96,2 Prozent Schutz. Teilgeimpfte (1–2 Dosen): 85,3 Prozent. Ungeimpfte hatten 26-fach erhöhtes Erkrankungsrisiko (adjustiertes OR 26,1). Befunde unterstreichen die Notwendigkeit vollständiger Impfserien zum Schutz vor Keuchhusten.</w:t>
      </w:r>
    </w:p>
    <w:p>
      <w:r>
        <w:rPr>
          <w:b/>
          <w:sz w:val="19"/>
        </w:rPr>
        <w:t xml:space="preserve">Übertragbarkeit: </w:t>
      </w:r>
      <w:r>
        <w:rPr>
          <w:sz w:val="19"/>
        </w:rPr>
        <w:t>USA-Daten, Impfeffektivität unter Alltagsbedingungen übertragbar auf vergleichbare Gesundheitssysteme</w:t>
      </w:r>
    </w:p>
    <w:p>
      <w:r>
        <w:rPr>
          <w:color w:val="5A7D3A"/>
          <w:sz w:val="18"/>
        </w:rPr>
        <w:t>https://pubmed.ncbi.nlm.nih.gov/42879706/</w:t>
      </w:r>
    </w:p>
    <w:p>
      <w:pPr>
        <w:pStyle w:val="Heading2"/>
      </w:pPr>
      <w:r>
        <w:t>Apothekenimpfung in Spanien: Europäischer Evidenzbefund für höhere Impfquoten</w:t>
      </w:r>
    </w:p>
    <w:p>
      <w:r>
        <w:rPr>
          <w:i/>
          <w:color w:val="666666"/>
          <w:sz w:val="18"/>
        </w:rPr>
        <w:t>Fernández Otero MD et al.  ·  Rev Esp Salud Publica  ·  13.10.2026  ·  PMID 42879310</w:t>
      </w:r>
    </w:p>
    <w:p>
      <w:r>
        <w:t>Analyse der Gründe, warum Spanien trotz europäischer Evidenz keine Apotheken-Impfungen zulässt; Prüfung von Qualifikations-, Systembeitrags- und Abdeckungs-Argumenten.</w:t>
      </w:r>
    </w:p>
    <w:p>
      <w:r>
        <w:rPr>
          <w:b/>
        </w:rPr>
        <w:t xml:space="preserve">Ergebnis: </w:t>
      </w:r>
      <w:r>
        <w:t>Keine objektiv-wissenschaftlichen Gründe gefunden, die Apotheken-Impfungen abrahmen würden. Farmazeutische Ausbildung in Spanien vergleichbar mit anderen EU-Ländern. Apotheken-Netzwerk könnte Wert für NVS-Leistungen erbringen. Impfquoten nicht bereits befriedigend. Empfehlung: Spanien sollte Apotheker-Kollaboration in Impfprogrammen erwägen.</w:t>
      </w:r>
    </w:p>
    <w:p>
      <w:r>
        <w:rPr>
          <w:b/>
          <w:sz w:val="19"/>
        </w:rPr>
        <w:t xml:space="preserve">Übertragbarkeit: </w:t>
      </w:r>
      <w:r>
        <w:rPr>
          <w:sz w:val="19"/>
        </w:rPr>
        <w:t>Spanien/Europa, vergleichbares System; Zugangsbarriere Regelwerk, nicht Kompetenz</w:t>
      </w:r>
    </w:p>
    <w:p>
      <w:r>
        <w:rPr>
          <w:color w:val="5A7D3A"/>
          <w:sz w:val="18"/>
        </w:rPr>
        <w:t>https://pubmed.ncbi.nlm.nih.gov/42879310/</w:t>
      </w:r>
    </w:p>
    <w:p>
      <w:pPr>
        <w:pStyle w:val="Heading2"/>
      </w:pPr>
      <w:r>
        <w:t>H1N1-Impfung und Narkolepsie: Biomarker-Signale in schwedisch-finnischer Kohorte</w:t>
      </w:r>
    </w:p>
    <w:p>
      <w:r>
        <w:rPr>
          <w:i/>
          <w:color w:val="666666"/>
          <w:sz w:val="18"/>
        </w:rPr>
        <w:t>Lafta MS et al.  ·  Sleep Med  ·  15.09.2026  ·  PMID 42748496</w:t>
      </w:r>
    </w:p>
    <w:p>
      <w:r>
        <w:t>Proteomic- und Transkriptom-Analyse von Serum-Biomarkern bei Narkolepsie-Patienten aus H1N1-Pandemrix-geimpften Kohorten (Schweden, Finnland 2009–2010).</w:t>
      </w:r>
    </w:p>
    <w:p>
      <w:r>
        <w:rPr>
          <w:b/>
        </w:rPr>
        <w:t xml:space="preserve">Ergebnis: </w:t>
      </w:r>
      <w:r>
        <w:t>Sechs überlappende Proteine mit signifikanten Unterschieden zwischen Narkolepsie-Typ-1-Patienten und Kontrollen: UNC5C, VWC2, CPA2, GFRα-1, CLEC10A (herunterreguliert), HAGH (unterschiedliche Richtung). Befunde explorativ und hypothesen-generierend, keine etablierten Biomarker.</w:t>
      </w:r>
    </w:p>
    <w:p>
      <w:r>
        <w:rPr>
          <w:b/>
          <w:sz w:val="19"/>
        </w:rPr>
        <w:t xml:space="preserve">Übertragbarkeit: </w:t>
      </w:r>
      <w:r>
        <w:rPr>
          <w:sz w:val="19"/>
        </w:rPr>
        <w:t>Skandinavien, bekannter Impfnebenwirkungsfall mit gutem Follow-up; Transferbarkeit auf Sicherheitsmonitoring begrenzt</w:t>
      </w:r>
    </w:p>
    <w:p>
      <w:r>
        <w:rPr>
          <w:color w:val="5A7D3A"/>
          <w:sz w:val="18"/>
        </w:rPr>
        <w:t>https://pubmed.ncbi.nlm.nih.gov/42748496/</w:t>
      </w:r>
    </w:p>
    <w:p>
      <w:pPr>
        <w:pStyle w:val="Heading2"/>
      </w:pPr>
      <w:r>
        <w:t>COVID-19-Impfung bei Krebspatienten unter Checkpoint-Inhibitoren senkt Früh-Mortalität</w:t>
      </w:r>
    </w:p>
    <w:p>
      <w:r>
        <w:rPr>
          <w:i/>
          <w:color w:val="666666"/>
          <w:sz w:val="18"/>
        </w:rPr>
        <w:t>Salem JE et al.  ·  Nat Med  ·  10.09.2026  ·  PMID 42722885</w:t>
      </w:r>
    </w:p>
    <w:p>
      <w:r>
        <w:t>Kohortenstudie an 95.015 Krebspatienten aus französischer Gesundheitsdatenbank zur Assoziation zwischen mRNA-COVID-19-Impfung und Überlebensergebnis bei ICl-Therapie.</w:t>
      </w:r>
    </w:p>
    <w:p>
      <w:r>
        <w:rPr>
          <w:b/>
        </w:rPr>
        <w:t xml:space="preserve">Ergebnis: </w:t>
      </w:r>
      <w:r>
        <w:t>Impfung vor ICl-Start: Hazard Ratio 0,90 (KI 0,87–0,94) für Gesamtmortalität in Monaten 1–3, nach 6 Monaten HR 0,96 (KI 0,93–1,00). Ähnliche Muster nach ICl-Start. Frühe, transiente Assoziation eher als spezifischer mRNA-Effekt, möglicherweise Gesundeneffekt.</w:t>
      </w:r>
    </w:p>
    <w:p>
      <w:r>
        <w:rPr>
          <w:b/>
          <w:sz w:val="19"/>
        </w:rPr>
        <w:t xml:space="preserve">Übertragbarkeit: </w:t>
      </w:r>
      <w:r>
        <w:rPr>
          <w:sz w:val="19"/>
        </w:rPr>
        <w:t>Frankreich (vergleichbares Gesundheitssystem), nationale Datenbank mit vollständiger Verfolgung</w:t>
      </w:r>
    </w:p>
    <w:p>
      <w:r>
        <w:rPr>
          <w:color w:val="5A7D3A"/>
          <w:sz w:val="18"/>
        </w:rPr>
        <w:t>https://pubmed.ncbi.nlm.nih.gov/42722885/</w:t>
      </w:r>
    </w:p>
    <w:p>
      <w:pPr>
        <w:pStyle w:val="Heading1"/>
      </w:pPr>
      <w:r>
        <w:t>Aufgenommen am 15.10.2026</w:t>
      </w:r>
    </w:p>
    <w:p>
      <w:pPr>
        <w:pStyle w:val="Heading2"/>
      </w:pPr>
      <w:r>
        <w:t>HPV-Impfkosten-Analysen: Metho­den bestimmen das Ergebnis mehr als der Impfstoff</w:t>
      </w:r>
    </w:p>
    <w:p>
      <w:r>
        <w:rPr>
          <w:i/>
          <w:color w:val="666666"/>
          <w:sz w:val="18"/>
        </w:rPr>
        <w:t>Kisa A et al.  ·  PLoS One  ·  14.10.2026  ·  PMID 42873751</w:t>
      </w:r>
    </w:p>
    <w:p>
      <w:r>
        <w:t>Scoping Review von 44 ökonomischen Evaluationen zur HPV-Impfung (2003–2025), Analyse von Methodenvielfalt, Treibern der Variation und Übertragbarkeit.</w:t>
      </w:r>
    </w:p>
    <w:p>
      <w:r>
        <w:rPr>
          <w:b/>
        </w:rPr>
        <w:t xml:space="preserve">Ergebnis: </w:t>
      </w:r>
      <w:r>
        <w:t>33 vollständige Kosteneffektivitäts­studien analysiert. Haupttreiber der Variation: Impfstoffpreis, Diskontrate, Herden­immunitäts­annahmen, Kreuzschutz­annahmen, Schwellenwert. Berichtsqualität korrelierte nicht mit methodischer Kreditwürdigkeit. Kostensätze und Screening­kontext bestimmen Übertragbarkeit mehr als reine ICER-Werte. Formale Analysen zu Ein-Dosis-Szenarien emerging, aber Daten zu Langzeitschutz und umsetzungsrelevanten Kosten fehlend.</w:t>
      </w:r>
    </w:p>
    <w:p>
      <w:r>
        <w:rPr>
          <w:b/>
          <w:sz w:val="19"/>
        </w:rPr>
        <w:t xml:space="preserve">Übertragbarkeit: </w:t>
      </w:r>
      <w:r>
        <w:rPr>
          <w:sz w:val="19"/>
        </w:rPr>
        <w:t>Verschiedene Länder, aber Methoden-Abhängigkeit zeigt: direkte Übertragung kostet­eff­ektivitäts­befunde problematisch</w:t>
      </w:r>
    </w:p>
    <w:p>
      <w:r>
        <w:rPr>
          <w:color w:val="5A7D3A"/>
          <w:sz w:val="18"/>
        </w:rPr>
        <w:t>https://pubmed.ncbi.nlm.nih.gov/42873751/</w:t>
      </w:r>
    </w:p>
    <w:p>
      <w:pPr>
        <w:pStyle w:val="Heading2"/>
      </w:pPr>
      <w:r>
        <w:t>RSV-Impfquoten bei älteren US-Amerikanern bleiben niedrig</w:t>
      </w:r>
    </w:p>
    <w:p>
      <w:r>
        <w:rPr>
          <w:i/>
          <w:color w:val="666666"/>
          <w:sz w:val="18"/>
        </w:rPr>
        <w:t>Saundankar V et al.  ·  Hum Vaccin Immunother  ·  14.10.2026  ·  PMID 42872881</w:t>
      </w:r>
    </w:p>
    <w:p>
      <w:r>
        <w:t>Retrospektive Analyse der RSV-Impfquoten bei Medicare-Versicherten ab 65 Jahren in zwei Saisons.</w:t>
      </w:r>
    </w:p>
    <w:p>
      <w:r>
        <w:rPr>
          <w:b/>
        </w:rPr>
        <w:t xml:space="preserve">Ergebnis: </w:t>
      </w:r>
      <w:r>
        <w:t>Insgesamt 21% der ≥65-Jährigen in der Vorsaison 2023/24 geimpft, in Saison 2024/25 sinkend. Höhere Quote bei ≥75-Jährigen. Von 1,7 Mio. Personen, die 2024-Kriterien erfüllten, waren etwa 80% ungeimpft. Impfspitzen im Oktober beider Jahre. Zielgerichtete Strategien zur Erreichung von Hochrisiko-Gruppen erforderlich.</w:t>
      </w:r>
    </w:p>
    <w:p>
      <w:r>
        <w:rPr>
          <w:b/>
          <w:sz w:val="19"/>
        </w:rPr>
        <w:t xml:space="preserve">Übertragbarkeit: </w:t>
      </w:r>
      <w:r>
        <w:rPr>
          <w:sz w:val="19"/>
        </w:rPr>
        <w:t>USA, anderes Versicherungssystem; Befund zur Uptake-Barriere übertragbar, Daten nicht direkt auf Deutschland anwendbar</w:t>
      </w:r>
    </w:p>
    <w:p>
      <w:r>
        <w:rPr>
          <w:color w:val="5A7D3A"/>
          <w:sz w:val="18"/>
        </w:rPr>
        <w:t>https://pubmed.ncbi.nlm.nih.gov/42872881/</w:t>
      </w:r>
    </w:p>
    <w:p>
      <w:pPr>
        <w:pStyle w:val="Heading2"/>
      </w:pPr>
      <w:r>
        <w:t>Kombinimpfstoff gegen Influenza und COVID-19: Potenzial für höhere Impfquoten</w:t>
      </w:r>
    </w:p>
    <w:p>
      <w:r>
        <w:rPr>
          <w:i/>
          <w:color w:val="666666"/>
          <w:sz w:val="18"/>
        </w:rPr>
        <w:t>Schaffner W et al.  ·  Vaccine  ·  14.11.2026  ·  PMID 42790130</w:t>
      </w:r>
    </w:p>
    <w:p>
      <w:r>
        <w:t>Übersichtsarbeit zur Wirkung und Praktikabilität einer kombinierten Influenza-COVID-19-Impfung bei Erwachsenen.</w:t>
      </w:r>
    </w:p>
    <w:p>
      <w:r>
        <w:rPr>
          <w:b/>
        </w:rPr>
        <w:t xml:space="preserve">Ergebnis: </w:t>
      </w:r>
      <w:r>
        <w:t>Kombinimpfstoffe könnten die Akzeptanz durch vereinfachte Dosierung erhöhen und Impfgelegenheiten nicht verpassen. Fachkräfte und Patienten zeigen hohes Interesse; mehrere Kandidaten befinden sich in klinischen Prüfungen. Ein Impfstoff mit optimierter Timing und Virenstamm-Auswahl könnte den Schutz gegen zwei führende respiratorische Erreger stärken.</w:t>
      </w:r>
    </w:p>
    <w:p>
      <w:r>
        <w:rPr>
          <w:b/>
          <w:sz w:val="19"/>
        </w:rPr>
        <w:t xml:space="preserve">Übertragbarkeit: </w:t>
      </w:r>
      <w:r>
        <w:rPr>
          <w:sz w:val="19"/>
        </w:rPr>
        <w:t>Deutschland und andere Länder mit vergleichbarem Zugangsweg; Übertragbarkeit hängt von Empfehlungslogik ab</w:t>
      </w:r>
    </w:p>
    <w:p>
      <w:r>
        <w:rPr>
          <w:color w:val="5A7D3A"/>
          <w:sz w:val="18"/>
        </w:rPr>
        <w:t>https://pubmed.ncbi.nlm.nih.gov/42790130/</w:t>
      </w:r>
    </w:p>
    <w:p>
      <w:pPr>
        <w:pStyle w:val="Heading2"/>
      </w:pPr>
      <w:r>
        <w:t>Impfskepsis bei Haustieren: Vertrauen, Risiko­wahrnehmung und 'natürlicher' Ansatz</w:t>
      </w:r>
    </w:p>
    <w:p>
      <w:r>
        <w:rPr>
          <w:i/>
          <w:color w:val="666666"/>
          <w:sz w:val="18"/>
        </w:rPr>
        <w:t>Bloodworth S et al.  ·  Prev Vet Med  ·  16.09.2026  ·  PMID 42753359</w:t>
      </w:r>
    </w:p>
    <w:p>
      <w:r>
        <w:t>Qualitative Studie mittels Leitfaden­interviews mit 18 Hunde-/Katzen­haltern im UK zu Faktoren, die Impfentscheidungen beeinflussen.</w:t>
      </w:r>
    </w:p>
    <w:p>
      <w:r>
        <w:rPr>
          <w:b/>
        </w:rPr>
        <w:t xml:space="preserve">Ergebnis: </w:t>
      </w:r>
      <w:r>
        <w:t>Drei Kategorien beeinflussen Impfentscheidungen: Vertrauen in tierärztliche Expertise, Wahrnehmung der Impfstoffsicherheit, Gesundheits­verständnis. Halter wägen Impfrisiken gegen Krankheitsrisiken ab, beeinflusst durch persönliche Erfahrung und diverse Informationsquellen. Ein 'natürlicher' Ansatz (Vermeidung synthetischer Stoffe) bei Hundehaltern wirkte sich negativ auf Impfbereitschaft aus. Maßnahmen sollten zielgruppenspezifisch sein.</w:t>
      </w:r>
    </w:p>
    <w:p>
      <w:r>
        <w:rPr>
          <w:b/>
          <w:sz w:val="19"/>
        </w:rPr>
        <w:t xml:space="preserve">Übertragbarkeit: </w:t>
      </w:r>
      <w:r>
        <w:rPr>
          <w:sz w:val="19"/>
        </w:rPr>
        <w:t>Vereinigtes Königreich; Erkenntnisse zu Vaccine Hesitancy-Faktoren übertragbar, aber Kontext Heimtiere unterscheidet sich von Humanmedizin</w:t>
      </w:r>
    </w:p>
    <w:p>
      <w:r>
        <w:rPr>
          <w:color w:val="5A7D3A"/>
          <w:sz w:val="18"/>
        </w:rPr>
        <w:t>https://pubmed.ncbi.nlm.nih.gov/42753359/</w:t>
      </w:r>
    </w:p>
    <w:p>
      <w:pPr>
        <w:pStyle w:val="Heading2"/>
      </w:pPr>
      <w:r>
        <w:t>HPV-Prävalenz sank bei jungen Frauen trotz weiterer Genotypen-Diversität</w:t>
      </w:r>
    </w:p>
    <w:p>
      <w:r>
        <w:rPr>
          <w:i/>
          <w:color w:val="666666"/>
          <w:sz w:val="18"/>
        </w:rPr>
        <w:t>Urbano A et al.  ·  Ann Epidemiol  ·  07.09.2026  ·  PMID 42705395</w:t>
      </w:r>
    </w:p>
    <w:p>
      <w:r>
        <w:t>Querschnittsstudie zur HPV-Infektionshäufigkeit und Genotypverteilung in Spanien nach langjähriger Impfung, vergleichend zwischen Frauen ≤30 Jahren (geimpft) und &gt;30 Jahren (ungeimpft).</w:t>
      </w:r>
    </w:p>
    <w:p>
      <w:r>
        <w:rPr>
          <w:b/>
        </w:rPr>
        <w:t xml:space="preserve">Ergebnis: </w:t>
      </w:r>
      <w:r>
        <w:t>Von 5.885 Frauen: Gesamtprävalenz 39,8%, bei 20–29-Jährigen 57,9%. In der Impfkohorte (≤30J.) war HPV-Prävalenz höher (57,0% vs. 36,8%, p&lt;0,001) als in der Ungeimpften, aber HPV16-Anteil deutlich niedriger mit heterogenerer Genotypverteilung – Vakzine-Effekt auf Zielgenotypen erkennbar.</w:t>
      </w:r>
    </w:p>
    <w:p>
      <w:r>
        <w:rPr>
          <w:b/>
          <w:sz w:val="19"/>
        </w:rPr>
        <w:t xml:space="preserve">Übertragbarkeit: </w:t>
      </w:r>
      <w:r>
        <w:rPr>
          <w:sz w:val="19"/>
        </w:rPr>
        <w:t>Spanien, vergleichbare öffentliche Impfprogramme; Aussage gilt für hochgeimpfte europäische Populationen</w:t>
      </w:r>
    </w:p>
    <w:p>
      <w:r>
        <w:rPr>
          <w:color w:val="5A7D3A"/>
          <w:sz w:val="18"/>
        </w:rPr>
        <w:t>https://pubmed.ncbi.nlm.nih.gov/42705395/</w:t>
      </w:r>
    </w:p>
    <w:p>
      <w:pPr>
        <w:pStyle w:val="Heading2"/>
      </w:pPr>
      <w:r>
        <w:t>Nachverfolgung von Impfnebenwirkungen: Wann lohnt sich der Aufwand?</w:t>
      </w:r>
    </w:p>
    <w:p>
      <w:r>
        <w:rPr>
          <w:i/>
          <w:color w:val="666666"/>
          <w:sz w:val="18"/>
        </w:rPr>
        <w:t>Kara V et al.  ·  Drug Saf  ·  14.08.2026  ·  PMID 42599564</w:t>
      </w:r>
    </w:p>
    <w:p>
      <w:r>
        <w:t>Delphi-Konsensusverfahren mit internationalen Fachleuten zu Szenarien, in denen die Verfolgung von Nebenwirkungsmeldungen die Impfstoffsicherheitsbewertung verbessert.</w:t>
      </w:r>
    </w:p>
    <w:p>
      <w:r>
        <w:rPr>
          <w:b/>
        </w:rPr>
        <w:t xml:space="preserve">Ergebnis: </w:t>
      </w:r>
      <w:r>
        <w:t>Experten identifizierten drei Szenarien mit echtem Mehrwert: Kausalitätsprüfung, Signaldetektion und Risikomanagement. Gering oder kein Nutzen bei bekannten Labelnebenwirkungen, fehlender Kontaktierbarkeit und Fällen, wo zusätzliche Daten das Nutzen-Risiko-Verhältnis nicht ändern würden. Ressourcenschonende, zielgerichtete Verfolgung ersetzt unfokussierte Routine.</w:t>
      </w:r>
    </w:p>
    <w:p>
      <w:r>
        <w:rPr>
          <w:b/>
          <w:sz w:val="19"/>
        </w:rPr>
        <w:t xml:space="preserve">Übertragbarkeit: </w:t>
      </w:r>
      <w:r>
        <w:rPr>
          <w:sz w:val="19"/>
        </w:rPr>
        <w:t>Niederlande, Pharmakovigilanz-System; gilt für alle europäischen Meldewesen</w:t>
      </w:r>
    </w:p>
    <w:p>
      <w:r>
        <w:rPr>
          <w:color w:val="5A7D3A"/>
          <w:sz w:val="18"/>
        </w:rPr>
        <w:t>https://pubmed.ncbi.nlm.nih.gov/42599564/</w:t>
      </w:r>
    </w:p>
    <w:p>
      <w:pPr>
        <w:pStyle w:val="Heading1"/>
      </w:pPr>
      <w:r>
        <w:t>Aufgenommen am 14.10.2026</w:t>
      </w:r>
    </w:p>
    <w:p>
      <w:pPr>
        <w:pStyle w:val="Heading2"/>
      </w:pPr>
      <w:r>
        <w:t>Rabies-Postexpositionsprophylaxe: 86% verzögert, trotz hohem Wissen um Prävention</w:t>
      </w:r>
    </w:p>
    <w:p>
      <w:r>
        <w:rPr>
          <w:i/>
          <w:color w:val="666666"/>
          <w:sz w:val="18"/>
        </w:rPr>
        <w:t>Hailu BK et al.  ·  PLoS Negl Trop Dis  ·  13.10.2026  ·  PMID 42868155</w:t>
      </w:r>
    </w:p>
    <w:p>
      <w:r>
        <w:t>Querschnittsstudie bei 260 Hundebiss-Opfern in Äthiopien zur Zeitverzögerung bei Impfbeginn und assoziierter Faktoren.</w:t>
      </w:r>
    </w:p>
    <w:p>
      <w:r>
        <w:rPr>
          <w:b/>
        </w:rPr>
        <w:t xml:space="preserve">Ergebnis: </w:t>
      </w:r>
      <w:r>
        <w:t>86,1% begannen Impfung nach 48 h (verzögert). Tiefe Bissverletzungen (OR 0,22) und Straßenhunde (OR 0,51) reduzierten Verzögerung. 88,5% kannten Tollwut, 95,4% wussten um Impfnotwendigkeit, 95% hielten Impfung für wirksam; aber fehlte Risikobewusstsein für Verzögerungsfolgen.</w:t>
      </w:r>
    </w:p>
    <w:p>
      <w:r>
        <w:rPr>
          <w:b/>
          <w:sz w:val="19"/>
        </w:rPr>
        <w:t xml:space="preserve">Übertragbarkeit: </w:t>
      </w:r>
      <w:r>
        <w:rPr>
          <w:sz w:val="19"/>
        </w:rPr>
        <w:t>Äthiopien, sehr niedriges Einkommenssetting; Befunde zu Impfverzögerung trotz Wissen zeigen universelles Problem</w:t>
      </w:r>
    </w:p>
    <w:p>
      <w:r>
        <w:rPr>
          <w:color w:val="5A7D3A"/>
          <w:sz w:val="18"/>
        </w:rPr>
        <w:t>https://pubmed.ncbi.nlm.nih.gov/42868155/</w:t>
      </w:r>
    </w:p>
    <w:p>
      <w:pPr>
        <w:pStyle w:val="Heading2"/>
      </w:pPr>
      <w:r>
        <w:t>Masernausbruch Mexiko 2025–2026: Rückkehr trotz früherer Elimination durch Impflücken</w:t>
      </w:r>
    </w:p>
    <w:p>
      <w:r>
        <w:rPr>
          <w:i/>
          <w:color w:val="666666"/>
          <w:sz w:val="18"/>
        </w:rPr>
        <w:t>Mojica-López L et al.  ·  Rev Peru Med Exp Salud Publica  ·  25.08.2026  ·  PMID 42867961</w:t>
      </w:r>
    </w:p>
    <w:p>
      <w:r>
        <w:t>Dokumentarische Analyse zu Masern-Reemergence in Mexiko nach regionaler Elimination 2016: Untersuchung struktureller Faktoren der Ausbruch 2025–2026.</w:t>
      </w:r>
    </w:p>
    <w:p>
      <w:r>
        <w:rPr>
          <w:b/>
        </w:rPr>
        <w:t xml:space="preserve">Ergebnis: </w:t>
      </w:r>
      <w:r>
        <w:t>Endemische Übertragung 1995 unterbrochen, regionale Elimination 2016 erreicht. 2025–2026 Reemergence in Kontexten niedriger Impfquoten, unvollständiger Impfschemata und räumlicher Ungleichheiten im Zugang. Ausbruch konzentrierte sich in Gebieten suboptimaler Abdeckung und höherer sozialer Vulnerabilität.</w:t>
      </w:r>
    </w:p>
    <w:p>
      <w:r>
        <w:rPr>
          <w:b/>
          <w:sz w:val="19"/>
        </w:rPr>
        <w:t xml:space="preserve">Übertragbarkeit: </w:t>
      </w:r>
      <w:r>
        <w:rPr>
          <w:sz w:val="19"/>
        </w:rPr>
        <w:t>Mexiko; zeigt Relevanz für Länder ohne permanentes Impfregister und Überwachungslücken</w:t>
      </w:r>
    </w:p>
    <w:p>
      <w:r>
        <w:rPr>
          <w:color w:val="5A7D3A"/>
          <w:sz w:val="18"/>
        </w:rPr>
        <w:t>https://pubmed.ncbi.nlm.nih.gov/42867961/</w:t>
      </w:r>
    </w:p>
    <w:p>
      <w:pPr>
        <w:pStyle w:val="Heading2"/>
      </w:pPr>
      <w:r>
        <w:t>COVID-19-Impfsicherheit: App-gestützte Pharmakovigilanz mit 732.864 Teilnehmern</w:t>
      </w:r>
    </w:p>
    <w:p>
      <w:r>
        <w:rPr>
          <w:i/>
          <w:color w:val="666666"/>
          <w:sz w:val="18"/>
        </w:rPr>
        <w:t>Kopp L et al.  ·  Vaccine  ·  14.11.2026  ·  PMID 42843285</w:t>
      </w:r>
    </w:p>
    <w:p>
      <w:r>
        <w:t>Prospektive Kohortenstudie zur Erfassung selbstberichteter Nebenwirkungen nach COVID-19-Impfung via Smartphone-App vom Paul-Ehrlich-Institut.</w:t>
      </w:r>
    </w:p>
    <w:p>
      <w:r>
        <w:rPr>
          <w:b/>
        </w:rPr>
        <w:t xml:space="preserve">Ergebnis: </w:t>
      </w:r>
      <w:r>
        <w:t>68% der Impfungen zeigten mindestens eine Nebenwirkung, 88% davon lokale und systemische Reaktogenität. Medizinische Versorgung wurde in 0,36% der Fälle benötigt. Die Ergebnisse bestätigen das bekannte Sicherheitsprofil.</w:t>
      </w:r>
    </w:p>
    <w:p>
      <w:r>
        <w:rPr>
          <w:b/>
          <w:sz w:val="19"/>
        </w:rPr>
        <w:t xml:space="preserve">Übertragbarkeit: </w:t>
      </w:r>
      <w:r>
        <w:rPr>
          <w:sz w:val="19"/>
        </w:rPr>
        <w:t>Deutschland, PEI-Daten, vergleichbar mit nationaler Pharmakovigilanz</w:t>
      </w:r>
    </w:p>
    <w:p>
      <w:r>
        <w:rPr>
          <w:color w:val="5A7D3A"/>
          <w:sz w:val="18"/>
        </w:rPr>
        <w:t>https://pubmed.ncbi.nlm.nih.gov/42843285/</w:t>
      </w:r>
    </w:p>
    <w:p>
      <w:pPr>
        <w:pStyle w:val="Heading2"/>
      </w:pPr>
      <w:r>
        <w:t>MMR-Untererfassung in englischen Hausarztpraxen: 31% der Geimpften nicht elektronisch dokumentiert</w:t>
      </w:r>
    </w:p>
    <w:p>
      <w:r>
        <w:rPr>
          <w:i/>
          <w:color w:val="666666"/>
          <w:sz w:val="18"/>
        </w:rPr>
        <w:t>Sanderson K et al.  ·  Vaccine  ·  14.11.2026  ·  PMID 42810172</w:t>
      </w:r>
    </w:p>
    <w:p>
      <w:r>
        <w:t>Zwei-Stufen-Clusterstudie in England zur Häufigkeit fehlender elektronischer Dokumentation von MMR-Impfungen in digitalen Praxisverwaltungssystemen.</w:t>
      </w:r>
    </w:p>
    <w:p>
      <w:r>
        <w:rPr>
          <w:b/>
        </w:rPr>
        <w:t xml:space="preserve">Ergebnis: </w:t>
      </w:r>
      <w:r>
        <w:t>Bei elektronischer Abfrage erschienen 18,3–31,9% vollgeimpfter Kinder je nach Alter als ungeimpft/teilgeimpft. Selbst nach manueller Aktenprüfung persistierten Impflücken. Die Kodierung war regional unterschiedlich.</w:t>
      </w:r>
    </w:p>
    <w:p>
      <w:r>
        <w:rPr>
          <w:b/>
          <w:sz w:val="19"/>
        </w:rPr>
        <w:t xml:space="preserve">Übertragbarkeit: </w:t>
      </w:r>
      <w:r>
        <w:rPr>
          <w:sz w:val="19"/>
        </w:rPr>
        <w:t>England, digitale Dokumentationssysteme; auf Deutschland übertragbar, da vergleichbare Praxismanagementsysteme</w:t>
      </w:r>
    </w:p>
    <w:p>
      <w:r>
        <w:rPr>
          <w:color w:val="5A7D3A"/>
          <w:sz w:val="18"/>
        </w:rPr>
        <w:t>https://pubmed.ncbi.nlm.nih.gov/42810172/</w:t>
      </w:r>
    </w:p>
    <w:p>
      <w:pPr>
        <w:pStyle w:val="Heading2"/>
      </w:pPr>
      <w:r>
        <w:t>Bildungsniveau und Impfskepsis: Niederländische Metaanalyse zeigt konsistente, aber kleine Unterschiede</w:t>
      </w:r>
    </w:p>
    <w:p>
      <w:r>
        <w:rPr>
          <w:i/>
          <w:color w:val="666666"/>
          <w:sz w:val="18"/>
        </w:rPr>
        <w:t>Boer M et al.  ·  Vaccine  ·  14.11.2026  ·  PMID 42784871</w:t>
      </w:r>
    </w:p>
    <w:p>
      <w:r>
        <w:t>Bayesische Evidenzsynthese von vier niederländischen Studien (n=23.174) zu Zusammenhang zwischen Schulbildung und Impfeinstellungen vor und nach COVID-19-Pandemie.</w:t>
      </w:r>
    </w:p>
    <w:p>
      <w:r>
        <w:rPr>
          <w:b/>
        </w:rPr>
        <w:t xml:space="preserve">Ergebnis: </w:t>
      </w:r>
      <w:r>
        <w:t>Höher Gebildete zeigten konsistent positivere Impfeinstellungen als niedriger Gebildete, aber Unterschiedsmagnitude variierte stark. Longitudinal waren moderate Unterschiede wahrscheinlicher. Einstellungen blieben über die Zeit stabil.</w:t>
      </w:r>
    </w:p>
    <w:p>
      <w:r>
        <w:rPr>
          <w:b/>
          <w:sz w:val="19"/>
        </w:rPr>
        <w:t xml:space="preserve">Übertragbarkeit: </w:t>
      </w:r>
      <w:r>
        <w:rPr>
          <w:sz w:val="19"/>
        </w:rPr>
        <w:t>Niederlande, vergleichbares Versicherungssystem und Dokumentation; hohe Übertragbarkeit auf Deutschland</w:t>
      </w:r>
    </w:p>
    <w:p>
      <w:r>
        <w:rPr>
          <w:color w:val="5A7D3A"/>
          <w:sz w:val="18"/>
        </w:rPr>
        <w:t>https://pubmed.ncbi.nlm.nih.gov/42784871/</w:t>
      </w:r>
    </w:p>
    <w:p>
      <w:pPr>
        <w:pStyle w:val="Heading2"/>
      </w:pPr>
      <w:r>
        <w:t>HPV-Schulimpfung Frankreich: Digitale Nachverfolgung erhöht Einwilligung von 12.023 auf 13.714 (2025)</w:t>
      </w:r>
    </w:p>
    <w:p>
      <w:r>
        <w:rPr>
          <w:i/>
          <w:color w:val="666666"/>
          <w:sz w:val="18"/>
        </w:rPr>
        <w:t>Trin K et al.  ·  Infect Dis Now  ·  18.09.2026  ·  PMID 42759611</w:t>
      </w:r>
    </w:p>
    <w:p>
      <w:r>
        <w:t>Evaluierung von Maßnahmen zur Steigerung elterlicher Zustimmung zur HPV-Impfung von Schülern in Nouvelle-Aquitaine durch Reopening der digitalen Plattform und Echtzeit-Monitoring.</w:t>
      </w:r>
    </w:p>
    <w:p>
      <w:r>
        <w:rPr>
          <w:b/>
        </w:rPr>
        <w:t xml:space="preserve">Ergebnis: </w:t>
      </w:r>
      <w:r>
        <w:t>Septembe 2024: 12.023 Zustimmungen. Nach Reopening der Plattform (Januar–März 2025) mit wöchentlicher Überwachung plus Sozialmarketing-Kampagne: zusätzlich 1.506 Zustimmungen, final 13.714 (10.607 geimpft). Maßnahmen kompensierten Rückgang partiell.</w:t>
      </w:r>
    </w:p>
    <w:p>
      <w:r>
        <w:rPr>
          <w:b/>
          <w:sz w:val="19"/>
        </w:rPr>
        <w:t xml:space="preserve">Übertragbarkeit: </w:t>
      </w:r>
      <w:r>
        <w:rPr>
          <w:sz w:val="19"/>
        </w:rPr>
        <w:t>Frankreich, Schulimpfprogramm; ähnliche Struktur zu deutschen Schulimpfangeboten</w:t>
      </w:r>
    </w:p>
    <w:p>
      <w:r>
        <w:rPr>
          <w:color w:val="5A7D3A"/>
          <w:sz w:val="18"/>
        </w:rPr>
        <w:t>https://pubmed.ncbi.nlm.nih.gov/42759611/</w:t>
      </w:r>
    </w:p>
    <w:p>
      <w:pPr>
        <w:pStyle w:val="Heading1"/>
      </w:pPr>
      <w:r>
        <w:t>Aufgenommen am 13.10.2026</w:t>
      </w:r>
    </w:p>
    <w:p>
      <w:pPr>
        <w:pStyle w:val="Heading2"/>
      </w:pPr>
      <w:r>
        <w:t>Was Ältere in Peking von Grippeimpfung abhält und anzieht</w:t>
      </w:r>
    </w:p>
    <w:p>
      <w:r>
        <w:rPr>
          <w:i/>
          <w:color w:val="666666"/>
          <w:sz w:val="18"/>
        </w:rPr>
        <w:t>Jia M et al.  ·  JAMA Netw Open  ·  01.10.2026  ·  PMID 42862555</w:t>
      </w:r>
    </w:p>
    <w:p>
      <w:r>
        <w:t>Diskrete Wahlexperimente mit 514 Personen über 60 Jahren in zwei Pekinger Bezirken identifizierten Faktoren, die die Bereitschaft zur Grippeimpfung erhöhen oder senken.</w:t>
      </w:r>
    </w:p>
    <w:p>
      <w:r>
        <w:rPr>
          <w:b/>
        </w:rPr>
        <w:t xml:space="preserve">Ergebnis: </w:t>
      </w:r>
      <w:r>
        <w:t>Höhere Impfstoffwirksamkeit (+30,7 Prozentpunkte bei Steigerung von 20 auf 80 Prozent), Telefonerinnerungen und Botschaften zum Schutz von Familienangehörigen erhöhten die Akzeptanz; höhere wahrgenommene Risiken von Nebenwirkungen senkten sie um 20 Prozentpunkte. Nie-Geimpfte zeigten weniger Gewicht auf Wirksamkeit und höhere Sensitivität für Nebenwirkungsrisiken.</w:t>
      </w:r>
    </w:p>
    <w:p>
      <w:r>
        <w:rPr>
          <w:b/>
          <w:sz w:val="19"/>
        </w:rPr>
        <w:t xml:space="preserve">Übertragbarkeit: </w:t>
      </w:r>
      <w:r>
        <w:rPr>
          <w:sz w:val="19"/>
        </w:rPr>
        <w:t>China, Wahlexperiment mit hohem Evidenzlevel, aber andere epidemiologische Ausgangslage und Versorgungsstruktur</w:t>
      </w:r>
    </w:p>
    <w:p>
      <w:r>
        <w:rPr>
          <w:color w:val="5A7D3A"/>
          <w:sz w:val="18"/>
        </w:rPr>
        <w:t>https://pubmed.ncbi.nlm.nih.gov/42862555/</w:t>
      </w:r>
    </w:p>
    <w:p>
      <w:pPr>
        <w:pStyle w:val="Heading2"/>
      </w:pPr>
      <w:r>
        <w:t>Spurenelemente beeinflussen Antikörperantwort auf COVID-19-Impfung bei Rheuma nicht</w:t>
      </w:r>
    </w:p>
    <w:p>
      <w:r>
        <w:rPr>
          <w:i/>
          <w:color w:val="666666"/>
          <w:sz w:val="18"/>
        </w:rPr>
        <w:t>Gadbaan Hama S  ·  J Infect Dev Ctries  ·  30.09.2026  ·  PMID 42858342</w:t>
      </w:r>
    </w:p>
    <w:p>
      <w:r>
        <w:t>Querschnittsstudie mit 79 Rheuma-Patienten und 47 Kontrollen im Irak, die Zink-, Kupfer-, Magnesium- und Ceruloplasmin-Spiegel mit COVID-19-Impfantikörper-Positivität in Beziehung setzte.</w:t>
      </w:r>
    </w:p>
    <w:p>
      <w:r>
        <w:rPr>
          <w:b/>
        </w:rPr>
        <w:t xml:space="preserve">Ergebnis: </w:t>
      </w:r>
      <w:r>
        <w:t>Signifikante Unterschiede in Spurenelementspiegeln zwischen Geimpften und Ungeimpften (p &lt; 0,05), aber keine signifikanten Assoziationen zwischen IgG-Positivität und Spurenelemantkatus in einer Gruppe (p &gt; 0,05). DMARD-Therapie war nicht signifikant mit IgG-Response assoziiert (p = 0,439). Breite humorale Immunität trotz unterschiedlicher Nährstoff- und therapeutischer Profile.</w:t>
      </w:r>
    </w:p>
    <w:p>
      <w:r>
        <w:rPr>
          <w:b/>
          <w:sz w:val="19"/>
        </w:rPr>
        <w:t xml:space="preserve">Übertragbarkeit: </w:t>
      </w:r>
      <w:r>
        <w:rPr>
          <w:sz w:val="19"/>
        </w:rPr>
        <w:t>Irak, einfaches Querschnitt-Design, aber klinisch relevante Frage für Immunsupprimierte</w:t>
      </w:r>
    </w:p>
    <w:p>
      <w:r>
        <w:rPr>
          <w:color w:val="5A7D3A"/>
          <w:sz w:val="18"/>
        </w:rPr>
        <w:t>https://pubmed.ncbi.nlm.nih.gov/42858342/</w:t>
      </w:r>
    </w:p>
    <w:p>
      <w:pPr>
        <w:pStyle w:val="Heading2"/>
      </w:pPr>
      <w:r>
        <w:t>BCG-Impfung könnte Immunschwäche bei Nierenkranken über trainierte Immunität umkehren</w:t>
      </w:r>
    </w:p>
    <w:p>
      <w:r>
        <w:rPr>
          <w:i/>
          <w:color w:val="666666"/>
          <w:sz w:val="18"/>
        </w:rPr>
        <w:t>Sharma R et al.  ·  Indian J Med Res  ·  Aug. 2026  ·  PMID 42851218</w:t>
      </w:r>
    </w:p>
    <w:p>
      <w:r>
        <w:t>Ein Übersichtsartikel beschreibt, wie BCG-Impfung durch epigenetische Umprograierung der angeborenen Immunität (trainierte Immunität) die Impfantwort und Infektionsabwehr bei Patienten mit chronischer Nierenkrankheit möglicherweise verbessern könnte.</w:t>
      </w:r>
    </w:p>
    <w:p>
      <w:r>
        <w:rPr>
          <w:b/>
        </w:rPr>
        <w:t xml:space="preserve">Ergebnis: </w:t>
      </w:r>
      <w:r>
        <w:t>BCG stimuliert NOD2- und Akt/mTOR-Signalwege, erhöht aktivierende Histonmarken (H3K4me3) bei Zytokingenen und stabilisiert repressive Marken (H3K9me3) in nicht-essentiellen Genomabschnitten. Dies erzeugt transkriptionell permissives Chromatin, das Phagozytose und antimikrobielle Aktivität von Monozyten, Makrophagen und Neutrophilen steigert. Der Mechanismus ist hypothetisch; klinische Evidenz fehlt.</w:t>
      </w:r>
    </w:p>
    <w:p>
      <w:r>
        <w:rPr>
          <w:b/>
          <w:sz w:val="19"/>
        </w:rPr>
        <w:t xml:space="preserve">Übertragbarkeit: </w:t>
      </w:r>
      <w:r>
        <w:rPr>
          <w:sz w:val="19"/>
        </w:rPr>
        <w:t>Theoretische Übersicht ohne empirische Daten, spekulativ für vulnerable Population, keine direkten Versorgungsdaten</w:t>
      </w:r>
    </w:p>
    <w:p>
      <w:r>
        <w:rPr>
          <w:color w:val="5A7D3A"/>
          <w:sz w:val="18"/>
        </w:rPr>
        <w:t>https://pubmed.ncbi.nlm.nih.gov/42851218/</w:t>
      </w:r>
    </w:p>
    <w:p>
      <w:pPr>
        <w:pStyle w:val="Heading2"/>
      </w:pPr>
      <w:r>
        <w:t>COVID-19-Impfstoffe verlangsamen nicht die Nierenkrankheit</w:t>
      </w:r>
    </w:p>
    <w:p>
      <w:r>
        <w:rPr>
          <w:i/>
          <w:color w:val="666666"/>
          <w:sz w:val="18"/>
        </w:rPr>
        <w:t>Emre T et al.  ·  Clin Lab  ·  01.10.2026  ·  PMID 42847950</w:t>
      </w:r>
    </w:p>
    <w:p>
      <w:r>
        <w:t>Retrospektive Kohortenstudie mit 140 Nierenpatienten an einem Krankenhaus in der Türkei, die vor, während und 24 Monate nach Impfung die Nierenfunktion verfolgten.</w:t>
      </w:r>
    </w:p>
    <w:p>
      <w:r>
        <w:rPr>
          <w:b/>
        </w:rPr>
        <w:t xml:space="preserve">Ergebnis: </w:t>
      </w:r>
      <w:r>
        <w:t>Alle drei Impfgruppen (nur BioNTech, nur inaktiviert, gemischt) zeigten signifikante Verschlechterungen der eGFR und Kreatinin-Anstiege über 5 Jahre (p &lt; 0,001), aber keine signifikanten Unterschiede zwischen den Impftypen (p &gt; 0,05). Weder mRNA- noch inaktivierte COVID-19-Impfstoffe beschleunigten die Nierenkrankheit.</w:t>
      </w:r>
    </w:p>
    <w:p>
      <w:r>
        <w:rPr>
          <w:b/>
          <w:sz w:val="19"/>
        </w:rPr>
        <w:t xml:space="preserve">Übertragbarkeit: </w:t>
      </w:r>
      <w:r>
        <w:rPr>
          <w:sz w:val="19"/>
        </w:rPr>
        <w:t>Türkei, retrospektiv, kleiner Kreis, aber Sicherheitssignal adressiert häufige Sorge bei vulnerable Population</w:t>
      </w:r>
    </w:p>
    <w:p>
      <w:r>
        <w:rPr>
          <w:color w:val="5A7D3A"/>
          <w:sz w:val="18"/>
        </w:rPr>
        <w:t>https://pubmed.ncbi.nlm.nih.gov/42847950/</w:t>
      </w:r>
    </w:p>
    <w:p>
      <w:pPr>
        <w:pStyle w:val="Heading2"/>
      </w:pPr>
      <w:r>
        <w:t>Tuberkulose-Patienten zeigen abgeschwächte Immunantwort auf COVID-19-Impfung trotz Antikörper</w:t>
      </w:r>
    </w:p>
    <w:p>
      <w:r>
        <w:rPr>
          <w:i/>
          <w:color w:val="666666"/>
          <w:sz w:val="18"/>
        </w:rPr>
        <w:t>Jiang Z et al.  ·  Front Immunol  ·  18.09.2026  ·  PMID 42827549</w:t>
      </w:r>
    </w:p>
    <w:p>
      <w:r>
        <w:t>Eine Substudie einer RCT verglich 38 TB-Patienten unter Therapie mit 38 Gesunden nach COVID-19-Impfung mittels Proteomik, Transkriptomik und Antikörpertest.</w:t>
      </w:r>
    </w:p>
    <w:p>
      <w:r>
        <w:rPr>
          <w:b/>
        </w:rPr>
        <w:t xml:space="preserve">Ergebnis: </w:t>
      </w:r>
      <w:r>
        <w:t>Trotz vergleichbarer Neutralisierungsantikörper-Titer zeigten TB-Patienten minimale Änderungen der Plasma-Proteome und Transkriptome nach Impfung, während Gesunde breit angelegte Umweltungen aufwiesen. TB-Patienten hatten baseline-Deplation von Proteinen in Vesikel-Transport- und Phagozytose-Wegen und verminderte Immunzell-Infiltration nach Vakzination.</w:t>
      </w:r>
    </w:p>
    <w:p>
      <w:r>
        <w:rPr>
          <w:b/>
          <w:sz w:val="19"/>
        </w:rPr>
        <w:t xml:space="preserve">Übertragbarkeit: </w:t>
      </w:r>
      <w:r>
        <w:rPr>
          <w:sz w:val="19"/>
        </w:rPr>
        <w:t>Vietnam/China (Nanjing) aber RCT-Design mit klaren molekularen Metriken, Übertragbar für Immunschwache</w:t>
      </w:r>
    </w:p>
    <w:p>
      <w:r>
        <w:rPr>
          <w:color w:val="5A7D3A"/>
          <w:sz w:val="18"/>
        </w:rPr>
        <w:t>https://pubmed.ncbi.nlm.nih.gov/42827549/</w:t>
      </w:r>
    </w:p>
    <w:p>
      <w:pPr>
        <w:pStyle w:val="Heading1"/>
      </w:pPr>
      <w:r>
        <w:t>Aufgenommen am 12.10.2026</w:t>
      </w:r>
    </w:p>
    <w:p>
      <w:pPr>
        <w:pStyle w:val="Heading2"/>
      </w:pPr>
      <w:r>
        <w:t>COVID-19-Impfung reduziert Risiko für Post-COVID-Herzerkrankungen</w:t>
      </w:r>
    </w:p>
    <w:p>
      <w:r>
        <w:rPr>
          <w:i/>
          <w:color w:val="666666"/>
          <w:sz w:val="18"/>
        </w:rPr>
        <w:t>Maria LFBS et al.  ·  Rev Med Virol  ·  Nov. 2026  ·  PMID 42858449</w:t>
      </w:r>
    </w:p>
    <w:p>
      <w:r>
        <w:t>Systematische Qualitative Synthese der Evidenz nach Bradford Hill-Kriterien und Sufficient Component Cause-Modell zur Frage, ob Impfung vor Post-COVID-Herz-Kreislauf-Komplikationen schützt.</w:t>
      </w:r>
    </w:p>
    <w:p>
      <w:r>
        <w:rPr>
          <w:b/>
        </w:rPr>
        <w:t xml:space="preserve">Ergebnis: </w:t>
      </w:r>
      <w:r>
        <w:t>COVID-19-Impfung erfüllte vier von neun Bradford-Hill-Kriterien als protektiver Faktor gegen Post-COVID-Kardiovaskulärerkrankungen: Assoziationsstärke, Konsistenz, Temporalität und biologischer Gradient. Drei Kriterien (biolog. Plausibilität, Kohärenz, Analogie) waren teilweise erfüllt. Schlussfolgerung: Impfung erwies sich wirksam über die Akutphase hinaus.</w:t>
      </w:r>
    </w:p>
    <w:p>
      <w:r>
        <w:rPr>
          <w:b/>
          <w:sz w:val="19"/>
        </w:rPr>
        <w:t xml:space="preserve">Übertragbarkeit: </w:t>
      </w:r>
      <w:r>
        <w:rPr>
          <w:sz w:val="19"/>
        </w:rPr>
        <w:t>Brasilien/Lateinamerika; Befund zur kardiovaskulären Langzeit-Schutzwirkung international übertragbar</w:t>
      </w:r>
    </w:p>
    <w:p>
      <w:r>
        <w:rPr>
          <w:color w:val="5A7D3A"/>
          <w:sz w:val="18"/>
        </w:rPr>
        <w:t>https://pubmed.ncbi.nlm.nih.gov/42858449/</w:t>
      </w:r>
    </w:p>
    <w:p>
      <w:pPr>
        <w:pStyle w:val="Heading2"/>
      </w:pPr>
      <w:r>
        <w:t>Impffieber wird durch Darmbakterienzusammensetzung geprägt</w:t>
      </w:r>
    </w:p>
    <w:p>
      <w:r>
        <w:rPr>
          <w:i/>
          <w:color w:val="666666"/>
          <w:sz w:val="18"/>
        </w:rPr>
        <w:t>Huus KE et al.  ·  Science  ·  08.10.2026  ·  PMID 42848888</w:t>
      </w:r>
    </w:p>
    <w:p>
      <w:r>
        <w:t>Longitudinale Profilerstellung der Darmflora bei 171 Erwachsenen nach mRNA-Impfung zeigte, dass Fieber mit niedriger intestinaler Entzündung und gesteigerten flagellierten Lachnospiraceae-Bakterien korreliert.</w:t>
      </w:r>
    </w:p>
    <w:p>
      <w:r>
        <w:rPr>
          <w:b/>
        </w:rPr>
        <w:t xml:space="preserve">Ergebnis: </w:t>
      </w:r>
      <w:r>
        <w:t>Fieberhäufigkeit war mit mikrobiellem Entzündungsstatus und Flagellin-Expressionsprofilen assoziiert. Diät und Mikrobiom-Targeting könnten Impfnebenwirkungen reduzieren, ohne dass damit Impfeffektivität gefährdet wäre – nur lokale Immuntoleranz wird moduliert.</w:t>
      </w:r>
    </w:p>
    <w:p>
      <w:r>
        <w:rPr>
          <w:b/>
          <w:sz w:val="19"/>
        </w:rPr>
        <w:t xml:space="preserve">Übertragbarkeit: </w:t>
      </w:r>
      <w:r>
        <w:rPr>
          <w:sz w:val="19"/>
        </w:rPr>
        <w:t>Deutschland mit vergleichbarer Bevölkerungsstruktur; Befund zu Immunmechanismus ist universell übertragbar</w:t>
      </w:r>
    </w:p>
    <w:p>
      <w:r>
        <w:rPr>
          <w:color w:val="5A7D3A"/>
          <w:sz w:val="18"/>
        </w:rPr>
        <w:t>https://pubmed.ncbi.nlm.nih.gov/42848888/</w:t>
      </w:r>
    </w:p>
    <w:p>
      <w:pPr>
        <w:pStyle w:val="Heading2"/>
      </w:pPr>
      <w:r>
        <w:t>HPV-Impfbereitschaft hängt von Risikobewusstsein, Vertrauen und Informationsquellen ab</w:t>
      </w:r>
    </w:p>
    <w:p>
      <w:r>
        <w:rPr>
          <w:i/>
          <w:color w:val="666666"/>
          <w:sz w:val="18"/>
        </w:rPr>
        <w:t>Thomas Gil M et al.  ·  Hum Vaccin Immunother  ·  08.10.2026  ·  PMID 42847160</w:t>
      </w:r>
    </w:p>
    <w:p>
      <w:r>
        <w:t>Querschnittsumfrage unter indischen Studentinnen integrierte Konstrukte aus Health Belief Model, Protection Motivation Theory und 3Cs-Rahmen, um Determinanten der Impfbereitschaft und des Impfverhaltens zu untersuchen.</w:t>
      </w:r>
    </w:p>
    <w:p>
      <w:r>
        <w:rPr>
          <w:b/>
        </w:rPr>
        <w:t xml:space="preserve">Ergebnis: </w:t>
      </w:r>
      <w:r>
        <w:t>Wahrgenommene Schweregrad und Anfälligkeit sowie Impfvertrauen erhöhten Impfbereitschaft (+), Selbstzufriedenheit senkte sie (−). Impfbereitschaft mediierte signifikant die Effekte auf tatsächliches Impfverhalten. HPV-Impfempfehlungen und Informationsquellen hatten begrenzt verstärkende Moderatoren-Effekte.</w:t>
      </w:r>
    </w:p>
    <w:p>
      <w:r>
        <w:rPr>
          <w:b/>
          <w:sz w:val="19"/>
        </w:rPr>
        <w:t xml:space="preserve">Übertragbarkeit: </w:t>
      </w:r>
      <w:r>
        <w:rPr>
          <w:sz w:val="19"/>
        </w:rPr>
        <w:t>Indien; Einflussfaktoren auf Impfverhalten sind kulturübergreifend relevant, aber Interventionsdesign muss an deutsche Kontexte angepasst werden</w:t>
      </w:r>
    </w:p>
    <w:p>
      <w:r>
        <w:rPr>
          <w:color w:val="5A7D3A"/>
          <w:sz w:val="18"/>
        </w:rPr>
        <w:t>https://pubmed.ncbi.nlm.nih.gov/42847160/</w:t>
      </w:r>
    </w:p>
    <w:p>
      <w:pPr>
        <w:pStyle w:val="Heading2"/>
      </w:pPr>
      <w:r>
        <w:t>Impfung senkt COVID-19-Hospitalisierung bei Rheumapatienten deutlich</w:t>
      </w:r>
    </w:p>
    <w:p>
      <w:r>
        <w:rPr>
          <w:i/>
          <w:color w:val="666666"/>
          <w:sz w:val="18"/>
        </w:rPr>
        <w:t>Ak F et al.  ·  Front Public Health  ·  22.09.2026  ·  PMID 42840118</w:t>
      </w:r>
    </w:p>
    <w:p>
      <w:r>
        <w:t>Retrospektive Kohortenstudie von 1.024 Rheumapatienten (März 2020–Januar 2023): Assoziationen zwischen Krankheitssubtyp, Behandlung, Impfstatus und COVID-19-Infektions- sowie Hospitalisierungsrisiko untersucht.</w:t>
      </w:r>
    </w:p>
    <w:p>
      <w:r>
        <w:rPr>
          <w:b/>
        </w:rPr>
        <w:t xml:space="preserve">Ergebnis: </w:t>
      </w:r>
      <w:r>
        <w:t>Von 1.024 Patienten entwickelten 33,9% COVID-19; 92,3% der Nicht-Infizierten waren geimpft vs. 23,9% der Infizierten (p&lt;0,001). Hospitalisiert wurden 11,5% der COVID-19-Positiven; Prädiktoren: höheres Alter, Lungenbeteiligung, längere Krankheitsdauer. BNT162b2-Impfung war mit niedrigerem Hospitalisierungsrisiko assoziiert.</w:t>
      </w:r>
    </w:p>
    <w:p>
      <w:r>
        <w:rPr>
          <w:b/>
          <w:sz w:val="19"/>
        </w:rPr>
        <w:t xml:space="preserve">Übertragbarkeit: </w:t>
      </w:r>
      <w:r>
        <w:rPr>
          <w:sz w:val="19"/>
        </w:rPr>
        <w:t>Türkei mit westlichem Versicherungssystem; Befund zum Schutzeffekt durch Impfung bei Immunsuppression auf deutsche Rheumatologie direkt übertragbar</w:t>
      </w:r>
    </w:p>
    <w:p>
      <w:r>
        <w:rPr>
          <w:color w:val="5A7D3A"/>
          <w:sz w:val="18"/>
        </w:rPr>
        <w:t>https://pubmed.ncbi.nlm.nih.gov/42840118/</w:t>
      </w:r>
    </w:p>
    <w:p>
      <w:pPr>
        <w:pStyle w:val="Heading2"/>
      </w:pPr>
      <w:r>
        <w:t>Neues CAR-T-Zielprotein MPZL1 könnte Spektrum von Tumorarten erweitern</w:t>
      </w:r>
    </w:p>
    <w:p>
      <w:r>
        <w:rPr>
          <w:i/>
          <w:color w:val="666666"/>
          <w:sz w:val="18"/>
        </w:rPr>
        <w:t>Jiménez-Vázquez S et al.  ·  Nat Commun  ·  10.09.2026  ·  PMID 42722692</w:t>
      </w:r>
    </w:p>
    <w:p>
      <w:r>
        <w:t>Entwicklung und präklinische Testung von CAR-T-Zellen gegen MPZL1, ein Oberflächenprotein, das bei bis zu 75% bestimmter Tumortypen amplifiziert ist und kaum auf Normalgewebe vorkommt.</w:t>
      </w:r>
    </w:p>
    <w:p>
      <w:r>
        <w:rPr>
          <w:b/>
        </w:rPr>
        <w:t xml:space="preserve">Ergebnis: </w:t>
      </w:r>
      <w:r>
        <w:t>CAR-T-Zellen gegen MPZL1 zeigten In-vitro-Eliminationsaktivität und Antitumoraktivität in menschlichen Xenograft-, autochthonen Maus- und patientenabgeleiteten Modellen. Die Arbeiten liefern grundsätzlich einen neuen Zielansatz; klinische Überprüfung steht aus.</w:t>
      </w:r>
    </w:p>
    <w:p>
      <w:r>
        <w:rPr>
          <w:b/>
          <w:sz w:val="19"/>
        </w:rPr>
        <w:t xml:space="preserve">Übertragbarkeit: </w:t>
      </w:r>
      <w:r>
        <w:rPr>
          <w:sz w:val="19"/>
        </w:rPr>
        <w:t>Deutschland mit vergleichbarem Zelltherapie-Standard; Befund zu Targetidentifikation prinzipiell universell</w:t>
      </w:r>
    </w:p>
    <w:p>
      <w:r>
        <w:rPr>
          <w:color w:val="5A7D3A"/>
          <w:sz w:val="18"/>
        </w:rPr>
        <w:t>https://pubmed.ncbi.nlm.nih.gov/42722692/</w:t>
      </w:r>
    </w:p>
    <w:p>
      <w:pPr>
        <w:pStyle w:val="Heading2"/>
      </w:pPr>
      <w:r>
        <w:t>Dezentralisierte CAR-T-Herstellung könnte Zugangshürden in Europa senken</w:t>
      </w:r>
    </w:p>
    <w:p>
      <w:r>
        <w:rPr>
          <w:i/>
          <w:color w:val="666666"/>
          <w:sz w:val="18"/>
        </w:rPr>
        <w:t>Griebling D et al.  ·  Cytotherapy  ·  19.06.2026  ·  PMID 42696794</w:t>
      </w:r>
    </w:p>
    <w:p>
      <w:r>
        <w:t>Review des EASYGEN-Konsortiums zu Engpässen bei CAR-T-Therapie in Europa und Optionen für dezentralisierte Point-of-Care-Fertigung mit nichtviralen Gentransfer-Verfahren an mehreren Zentren.</w:t>
      </w:r>
    </w:p>
    <w:p>
      <w:r>
        <w:rPr>
          <w:b/>
        </w:rPr>
        <w:t xml:space="preserve">Ergebnis: </w:t>
      </w:r>
      <w:r>
        <w:t>Dezentralisierte Produktion und nichtvirale Gentransfer versprechen kürzere Vein-to-Vein-Zeiten, niedrigere Kosten und weniger Patienten-Verschlechterung während der Wartezeit. Konsortium schlägt vor: Standardisierung der Datenintegration und regulatorischer Rahmen für europäische Harmonisierung.</w:t>
      </w:r>
    </w:p>
    <w:p>
      <w:r>
        <w:rPr>
          <w:b/>
          <w:sz w:val="19"/>
        </w:rPr>
        <w:t xml:space="preserve">Übertragbarkeit: </w:t>
      </w:r>
      <w:r>
        <w:rPr>
          <w:sz w:val="19"/>
        </w:rPr>
        <w:t>Europäische Versorgungsarchitektur mit direktem Bezug zu Herstellungshürden in Deutschland und Nachbarländern</w:t>
      </w:r>
    </w:p>
    <w:p>
      <w:r>
        <w:rPr>
          <w:color w:val="5A7D3A"/>
          <w:sz w:val="18"/>
        </w:rPr>
        <w:t>https://pubmed.ncbi.nlm.nih.gov/42696794/</w:t>
      </w:r>
    </w:p>
    <w:p>
      <w:pPr>
        <w:pStyle w:val="Heading1"/>
      </w:pPr>
      <w:r>
        <w:t>Aufgenommen am 11.10.2026</w:t>
      </w:r>
    </w:p>
    <w:p>
      <w:pPr>
        <w:pStyle w:val="Heading2"/>
      </w:pPr>
      <w:r>
        <w:t>Impfbereitschaft bei europäischen Gesundheitsstudierenden: nur ein Drittel willig</w:t>
      </w:r>
    </w:p>
    <w:p>
      <w:r>
        <w:rPr>
          <w:i/>
          <w:color w:val="666666"/>
          <w:sz w:val="18"/>
        </w:rPr>
        <w:t>Yiallouris A et al.  ·  JMIR Public Health Surveill  ·  09.10.2026  ·  PMID 42854231</w:t>
      </w:r>
    </w:p>
    <w:p>
      <w:r>
        <w:t>Querschnittsbefragung von 1.192 europäischen Studierenden der Medizin, Zahnmedizin, Pflege, Pharmazie und verwandter Gesundheitsberufe zur Bereitschaft, an zukünftigen Impfstoffstudien teilzunehmen.</w:t>
      </w:r>
    </w:p>
    <w:p>
      <w:r>
        <w:rPr>
          <w:b/>
        </w:rPr>
        <w:t xml:space="preserve">Ergebnis: </w:t>
      </w:r>
      <w:r>
        <w:t>32,9 % zeigten Teilnahmebereitschaft, 38,8 % waren unentschlossen, 28,3 % unwillig. Hauptbarrieren: Angst vor Nebenwirkungen (74,6 %), Bedenken als "Versuchsperson" zu dienen (35,9 %). Motivatoren: transparente Sicherheitskommunikation, Verständnis von Risiken, persönliche Schutzgarantien.</w:t>
      </w:r>
    </w:p>
    <w:p>
      <w:r>
        <w:rPr>
          <w:b/>
          <w:sz w:val="19"/>
        </w:rPr>
        <w:t xml:space="preserve">Übertragbarkeit: </w:t>
      </w:r>
      <w:r>
        <w:rPr>
          <w:sz w:val="19"/>
        </w:rPr>
        <w:t>Europäische Verbundstudie, Transfer auf Rekrutierungsstrategien für Impfstudien in DACH begrenzt.</w:t>
      </w:r>
    </w:p>
    <w:p>
      <w:r>
        <w:rPr>
          <w:color w:val="5A7D3A"/>
          <w:sz w:val="18"/>
        </w:rPr>
        <w:t>https://pubmed.ncbi.nlm.nih.gov/42854231/</w:t>
      </w:r>
    </w:p>
    <w:p>
      <w:pPr>
        <w:pStyle w:val="Heading2"/>
      </w:pPr>
      <w:r>
        <w:t>HPV-Impfquoten in den USA: Schuleingangsanforderungen und Fachkompetenz essentiell</w:t>
      </w:r>
    </w:p>
    <w:p>
      <w:r>
        <w:rPr>
          <w:i/>
          <w:color w:val="666666"/>
          <w:sz w:val="18"/>
        </w:rPr>
        <w:t>Escabí-Wojna E et al.  ·  Front Public Health  ·  24.09.2026  ·  PMID 42851744</w:t>
      </w:r>
    </w:p>
    <w:p>
      <w:r>
        <w:t>Explorative qualitative Studie mit 9 Schlüsselpersonen aus 6 US-Bundesstaaten und -Bezirken zur Förderung der HPV-Impfung nach COVID-19.</w:t>
      </w:r>
    </w:p>
    <w:p>
      <w:r>
        <w:rPr>
          <w:b/>
        </w:rPr>
        <w:t xml:space="preserve">Ergebnis: </w:t>
      </w:r>
      <w:r>
        <w:t>Zentrale Erfolgsfaktoren identifiziert: Aufklärung der Impfanbieter, Schuleingangsanforderungen, Krebsprävention-Messaging, vertrauenswürdige Informanten, kultursensitive Ansprache, Sektorübergreifende Partnerschaften. Barrieren: Impfmissinformation, gestiegene Hesitancy post-COVID, regionale Unterschiede in Regelwerk.</w:t>
      </w:r>
    </w:p>
    <w:p>
      <w:r>
        <w:rPr>
          <w:b/>
          <w:sz w:val="19"/>
        </w:rPr>
        <w:t xml:space="preserve">Übertragbarkeit: </w:t>
      </w:r>
      <w:r>
        <w:rPr>
          <w:sz w:val="19"/>
        </w:rPr>
        <w:t>USA - Regelwerk und Zugangsstrukturen unterscheiden sich; Kommunikationsprinzipien übertragbar.</w:t>
      </w:r>
    </w:p>
    <w:p>
      <w:r>
        <w:rPr>
          <w:color w:val="5A7D3A"/>
          <w:sz w:val="18"/>
        </w:rPr>
        <w:t>https://pubmed.ncbi.nlm.nih.gov/42851744/</w:t>
      </w:r>
    </w:p>
    <w:p>
      <w:pPr>
        <w:pStyle w:val="Heading2"/>
      </w:pPr>
      <w:r>
        <w:t>Immunlücken bei Masern und Röteln: junge Frauen in China gefährdet</w:t>
      </w:r>
    </w:p>
    <w:p>
      <w:r>
        <w:rPr>
          <w:i/>
          <w:color w:val="666666"/>
          <w:sz w:val="18"/>
        </w:rPr>
        <w:t>Sun X et al.  ·  Front Immunol  ·  24.09.2026  ·  PMID 42851700</w:t>
      </w:r>
    </w:p>
    <w:p>
      <w:r>
        <w:t>Querschnittsseroepidemiologische Studie bei 1.196 schwangeren Frauen in der Provinz Jiangsu (China) zur Röteln-Immunität nach Impfung.</w:t>
      </w:r>
    </w:p>
    <w:p>
      <w:r>
        <w:rPr>
          <w:b/>
        </w:rPr>
        <w:t xml:space="preserve">Ergebnis: </w:t>
      </w:r>
      <w:r>
        <w:t>Gesamt-Seroprävalenz Röteln-IgG: 61,45 % (geometrisches Mittel 24,21 IE/mL). Seroprävalenz stieg mit Alter: 37,77 % bei ≤24 Jahren auf ~75 % bei ≥30 Jahren. Jüngere Geburtskohorten zeigten deutlich niedrigere Seroprävalenz und Antikörper, trotz anhaltend hoher RCV-Impfquoten. Maternal age war unabhängig mit Immunität assoziiert.</w:t>
      </w:r>
    </w:p>
    <w:p>
      <w:r>
        <w:rPr>
          <w:b/>
          <w:sz w:val="19"/>
        </w:rPr>
        <w:t xml:space="preserve">Übertragbarkeit: </w:t>
      </w:r>
      <w:r>
        <w:rPr>
          <w:sz w:val="19"/>
        </w:rPr>
        <w:t>China - Daten zeigen, dass auch bei etablierten Impfprogrammen Kohorten-Lücken entstehen; international relevantes Muster.</w:t>
      </w:r>
    </w:p>
    <w:p>
      <w:r>
        <w:rPr>
          <w:color w:val="5A7D3A"/>
          <w:sz w:val="18"/>
        </w:rPr>
        <w:t>https://pubmed.ncbi.nlm.nih.gov/42851700/</w:t>
      </w:r>
    </w:p>
    <w:p>
      <w:pPr>
        <w:pStyle w:val="Heading2"/>
      </w:pPr>
      <w:r>
        <w:t>Impfquoten gegen Atemwegsinfektionen bei Älteren bleiben deutlich unter Ziel</w:t>
      </w:r>
    </w:p>
    <w:p>
      <w:r>
        <w:rPr>
          <w:i/>
          <w:color w:val="666666"/>
          <w:sz w:val="18"/>
        </w:rPr>
        <w:t>Paccalin M et al.  ·  Geriatr Psychol Neuropsychiatr Vieil  ·  01.09.2026  ·  PMID 42842819</w:t>
      </w:r>
    </w:p>
    <w:p>
      <w:r>
        <w:t>Narrativer Review zu Epidemiologie, Effektivität und Empfehlungen für COVID-19-, RSV-, Influenza- und Pneumokokken-Impfungen bei älteren Menschen in Frankreich 2026.</w:t>
      </w:r>
    </w:p>
    <w:p>
      <w:r>
        <w:rPr>
          <w:b/>
        </w:rPr>
        <w:t xml:space="preserve">Ergebnis: </w:t>
      </w:r>
      <w:r>
        <w:t>Sichere und wirksame Impfstoffe für alle vier Infektionen verfügbar, aber Impfquoten bei Älteren und besonders bei Gesundheitspersonal deutlich unter Zielwert; post-COVID-Hesitancy gestiegen. Empfehlung: verbesserte Information und Aufklärung für Öffentlichkeit und Fachpersonal als wirksamste Strategie.</w:t>
      </w:r>
    </w:p>
    <w:p>
      <w:r>
        <w:rPr>
          <w:b/>
          <w:sz w:val="19"/>
        </w:rPr>
        <w:t xml:space="preserve">Übertragbarkeit: </w:t>
      </w:r>
      <w:r>
        <w:rPr>
          <w:sz w:val="19"/>
        </w:rPr>
        <w:t>Frankreich, vergleichbares Sozialversicherungssystem mit Deutschland.</w:t>
      </w:r>
    </w:p>
    <w:p>
      <w:r>
        <w:rPr>
          <w:color w:val="5A7D3A"/>
          <w:sz w:val="18"/>
        </w:rPr>
        <w:t>https://pubmed.ncbi.nlm.nih.gov/42842819/</w:t>
      </w:r>
    </w:p>
    <w:p>
      <w:pPr>
        <w:pStyle w:val="Heading2"/>
      </w:pPr>
      <w:r>
        <w:t>SARS-CoV-2-Impfung nach allogener Stammzelltransplantation: verzögerte Immunantwort, aber gut verträglich</w:t>
      </w:r>
    </w:p>
    <w:p>
      <w:r>
        <w:rPr>
          <w:i/>
          <w:color w:val="666666"/>
          <w:sz w:val="18"/>
        </w:rPr>
        <w:t>Crodel CC et al.  ·  J Cancer Res Clin Oncol  ·  01.10.2026  ·  PMID 42828557</w:t>
      </w:r>
    </w:p>
    <w:p>
      <w:r>
        <w:t>Retrospektive Kohortenstudie von 114 Patienten nach allogener hämatopoetischer Stammzelltransplantation (alloHSCT) zur Immunogenität und Sicherheit der SARS-CoV-2-Impfung.</w:t>
      </w:r>
    </w:p>
    <w:p>
      <w:r>
        <w:rPr>
          <w:b/>
        </w:rPr>
        <w:t xml:space="preserve">Ergebnis: </w:t>
      </w:r>
      <w:r>
        <w:t>89,4 % waren mindestens zweifach geimpft, 66,7 % dreifach. Nach 2. Dosis erreichten 81,8 % anti-Spike-IgG-Seropositivität, nach 3. Dosis 96,1 %. Patienten geimpft &lt;24 Monate nach alloHSCT hatten signifikant niedrigere IgG-Titer (p=0,017). Häufigste Nebenwirkungen: Armschmerz (34 %), Schwellung (14 %), Gliederschmerzen (17 %). Timing der Impfung beeinflusst Immunantwort.</w:t>
      </w:r>
    </w:p>
    <w:p>
      <w:r>
        <w:rPr>
          <w:b/>
          <w:sz w:val="19"/>
        </w:rPr>
        <w:t xml:space="preserve">Übertragbarkeit: </w:t>
      </w:r>
      <w:r>
        <w:rPr>
          <w:sz w:val="19"/>
        </w:rPr>
        <w:t>Deutsche Klinikdaten, Impfung von Hochrisikopatienten in Regeldokumenten häufig.</w:t>
      </w:r>
    </w:p>
    <w:p>
      <w:r>
        <w:rPr>
          <w:color w:val="5A7D3A"/>
          <w:sz w:val="18"/>
        </w:rPr>
        <w:t>https://pubmed.ncbi.nlm.nih.gov/42828557/</w:t>
      </w:r>
    </w:p>
    <w:p>
      <w:pPr>
        <w:pStyle w:val="Heading2"/>
      </w:pPr>
      <w:r>
        <w:t>Abwasser-Antikörper spiegeln Bevölkerungsimmunität gegen SARS-CoV-2 wider</w:t>
      </w:r>
    </w:p>
    <w:p>
      <w:r>
        <w:rPr>
          <w:i/>
          <w:color w:val="666666"/>
          <w:sz w:val="18"/>
        </w:rPr>
        <w:t>Wannigama DL et al.  ·  Water Res  ·  01.11.2026  ·  PMID 42542021</w:t>
      </w:r>
    </w:p>
    <w:p>
      <w:r>
        <w:t>Longitudinale Kohortenstudie über 3 Jahre (2020–2022) in urbanen und ländlichen Communities in Thailand (ca. 18 Mio. Menschen) zur Messung von Infektions- und Impfintensität via Abwasser.</w:t>
      </w:r>
    </w:p>
    <w:p>
      <w:r>
        <w:rPr>
          <w:b/>
        </w:rPr>
        <w:t xml:space="preserve">Ergebnis: </w:t>
      </w:r>
      <w:r>
        <w:t>Viral RNA zeigte schnellen Anstieg und Rückgang nach Symptombeginn; anti-SARS-CoV-2-IgG verzögert (Peak ~50 Tage), Persistenz mehrere Monate. Nach Impfstart und Infektionswellen konvergierten RNA- und Antikörper-Inzidenzschätzungen, besonders in hochgeimpften urbanen Gebieten. Abwasser-Antikörper korrelierten mit Impfquoten (verzögerter zeitlicher Zusammenhang), schwächer mit Mortalität. Modell ermöglicht parallele Erfassung von Infektionslast und Bevölkerungsimmunität.</w:t>
      </w:r>
    </w:p>
    <w:p>
      <w:r>
        <w:rPr>
          <w:b/>
          <w:sz w:val="19"/>
        </w:rPr>
        <w:t xml:space="preserve">Übertragbarkeit: </w:t>
      </w:r>
      <w:r>
        <w:rPr>
          <w:sz w:val="19"/>
        </w:rPr>
        <w:t>Thailand - Methodisch innovativ für Populationsüberwachung; deutsche Gesundheitsämter könnten Abwasser-Surveillance für Impfquoten-Monitoring nutzen.</w:t>
      </w:r>
    </w:p>
    <w:p>
      <w:r>
        <w:rPr>
          <w:color w:val="5A7D3A"/>
          <w:sz w:val="18"/>
        </w:rPr>
        <w:t>https://pubmed.ncbi.nlm.nih.gov/42542021/</w:t>
      </w:r>
    </w:p>
    <w:p>
      <w:pPr>
        <w:pStyle w:val="Heading1"/>
      </w:pPr>
      <w:r>
        <w:t>Aufgenommen am 10.10.2026</w:t>
      </w:r>
    </w:p>
    <w:p>
      <w:pPr>
        <w:pStyle w:val="Heading2"/>
      </w:pPr>
      <w:r>
        <w:t>COVID-19-Impfstoffe zeigen über alle Bevölkerungsgruppen hinweg vergleichbares Sicherheitsprofil</w:t>
      </w:r>
    </w:p>
    <w:p>
      <w:r>
        <w:rPr>
          <w:i/>
          <w:color w:val="666666"/>
          <w:sz w:val="18"/>
        </w:rPr>
        <w:t>Alidema F et al.  ·  Cent Eur J Public Health  ·  Sept. 2026  ·  PMID 42853050</w:t>
      </w:r>
    </w:p>
    <w:p>
      <w:r>
        <w:t>Retrospektive Kohortenstudie an 1.000 Personen im Kosovo (600 mit chronischen Erkrankungen, 400 ohne) zur Verträglichkeit nach drei COVID-19-Impfdosen.</w:t>
      </w:r>
    </w:p>
    <w:p>
      <w:r>
        <w:rPr>
          <w:b/>
        </w:rPr>
        <w:t xml:space="preserve">Ergebnis: </w:t>
      </w:r>
      <w:r>
        <w:t>68,5 % berichteten mindestens eine Nebenwirkung, höher bei chronischen Erkrankungen (74,3 %) vs. ohne (59,7 %; p = 0,01). Häufigste Reaktionen waren leicht und vorübergehend: Injektionsstelle-Schmerz (39,2 %), Fatigue (27,6 %), Kopfschmerz (21,4 %), leichtes Fieber (18,9 %). Schwerwiegende Ereignisse wie allergische oder kardiale Reaktionen waren selten (1,2 %). Keine signifikanten Unterschiede zwischen Impfstofftypen.</w:t>
      </w:r>
    </w:p>
    <w:p>
      <w:r>
        <w:rPr>
          <w:b/>
          <w:sz w:val="19"/>
        </w:rPr>
        <w:t xml:space="preserve">Übertragbarkeit: </w:t>
      </w:r>
      <w:r>
        <w:rPr>
          <w:sz w:val="19"/>
        </w:rPr>
        <w:t>Kosovo, aber Nebenwirkungsprofil international belastbar</w:t>
      </w:r>
    </w:p>
    <w:p>
      <w:r>
        <w:rPr>
          <w:color w:val="5A7D3A"/>
          <w:sz w:val="18"/>
        </w:rPr>
        <w:t>https://pubmed.ncbi.nlm.nih.gov/42853050/</w:t>
      </w:r>
    </w:p>
    <w:p>
      <w:pPr>
        <w:pStyle w:val="Heading2"/>
      </w:pPr>
      <w:r>
        <w:t>Ärztliche Empfehlung erhöht Influenzaimpfung bei Schwangeren um das Zehnfache</w:t>
      </w:r>
    </w:p>
    <w:p>
      <w:r>
        <w:rPr>
          <w:i/>
          <w:color w:val="666666"/>
          <w:sz w:val="18"/>
        </w:rPr>
        <w:t>Uzun A et al.  ·  Cent Eur J Public Health  ·  11.09.2026  ·  PMID 42853049</w:t>
      </w:r>
    </w:p>
    <w:p>
      <w:r>
        <w:t>Prospektive Beobachtungsstudie an 356 schwangeren Frauen in der Türkei zur Frage, ob eine ärztliche Impfempfehlung die Inanspruchnahme von Influenzaimpfstoff beeinflusst.</w:t>
      </w:r>
    </w:p>
    <w:p>
      <w:r>
        <w:rPr>
          <w:b/>
        </w:rPr>
        <w:t xml:space="preserve">Ergebnis: </w:t>
      </w:r>
      <w:r>
        <w:t>Gesamtquote der Influenzaimpfung in der Schwangerschaft 7,6 %. Bei ärztlicher Empfehlung stieg die Quote auf 15,2 % gegenüber 1,5 % ohne Empfehlung (RR 10,0; 95%-KI 3,07–32,69; p &lt; 0,001). In multivariater Analyse blieb die ärztliche Empfehlung unabhängiger Prädiktor (aOR 10,39; 95%-KI 3,00–35,97; p &lt; 0,001). Häufigste Ablehnungsgründe: mangelndes Vertrauen (42,2 %) und wahrgenommene Unnötigkeit (36,2 %).</w:t>
      </w:r>
    </w:p>
    <w:p>
      <w:r>
        <w:rPr>
          <w:b/>
          <w:sz w:val="19"/>
        </w:rPr>
        <w:t xml:space="preserve">Übertragbarkeit: </w:t>
      </w:r>
      <w:r>
        <w:rPr>
          <w:sz w:val="19"/>
        </w:rPr>
        <w:t>Türkei, aber Befund zu Arzt-Patient-Kommunikation international übertragbar</w:t>
      </w:r>
    </w:p>
    <w:p>
      <w:r>
        <w:rPr>
          <w:color w:val="5A7D3A"/>
          <w:sz w:val="18"/>
        </w:rPr>
        <w:t>https://pubmed.ncbi.nlm.nih.gov/42853049/</w:t>
      </w:r>
    </w:p>
    <w:p>
      <w:pPr>
        <w:pStyle w:val="Heading2"/>
      </w:pPr>
      <w:r>
        <w:t>HPV-Impfung ab 27 Jahren: wer profitiert, wann anbieten, wie beraten</w:t>
      </w:r>
    </w:p>
    <w:p>
      <w:r>
        <w:rPr>
          <w:i/>
          <w:color w:val="666666"/>
          <w:sz w:val="18"/>
        </w:rPr>
        <w:t>Broul M et al.  ·  Cent Eur J Public Health  ·  Sept. 2026  ·  PMID 42853048</w:t>
      </w:r>
    </w:p>
    <w:p>
      <w:r>
        <w:t>Narrative Übersichtsarbeit, die internationale Leitlinien der WHO, ECDC und USA zur HPV-Impfung im Alter 27–45 Jahre in praktische Beratungsempfehlungen für Kliniker übersetzen möchte.</w:t>
      </w:r>
    </w:p>
    <w:p>
      <w:r>
        <w:rPr>
          <w:b/>
        </w:rPr>
        <w:t xml:space="preserve">Ergebnis: </w:t>
      </w:r>
      <w:r>
        <w:t>Globale und europäische Leitlinien betonen Nutzen von hoher Abdeckung vor Sexualdebüt und unterstützen keine Routineprogramme für Erwachsene. Im Gegensatz dazu empfehlen USA gemeinsame klinische Entscheidungsfindung für 27–45-Jährige, da manche — insbesondere nicht ausreichend Geimpfte, solche mit neuen Partnerschaften oder in Hochexpositions-Netzwerken (z. B. MSM) oder Immunsupprimierte — persönlichen Nutzen erhalten könnten. Impfwirksamkeit höchst bei Personen ohne vorherige Exposition gegenüber Impfstoff-HPV-Typen. Nach Zervixkonisation Evidenz gemischt.</w:t>
      </w:r>
    </w:p>
    <w:p>
      <w:r>
        <w:rPr>
          <w:b/>
          <w:sz w:val="19"/>
        </w:rPr>
        <w:t xml:space="preserve">Übertragbarkeit: </w:t>
      </w:r>
      <w:r>
        <w:rPr>
          <w:sz w:val="19"/>
        </w:rPr>
        <w:t>ECDC/Europa und USA, Beratungsrahmen auf deutsches System übertragbar</w:t>
      </w:r>
    </w:p>
    <w:p>
      <w:r>
        <w:rPr>
          <w:color w:val="5A7D3A"/>
          <w:sz w:val="18"/>
        </w:rPr>
        <w:t>https://pubmed.ncbi.nlm.nih.gov/42853048/</w:t>
      </w:r>
    </w:p>
    <w:p>
      <w:pPr>
        <w:pStyle w:val="Heading2"/>
      </w:pPr>
      <w:r>
        <w:t>Influenzaimpfstoff-Wirksamkeit 2024/2025 in China: moderate Schutzquote mit Kontaktmuster-Assoziation</w:t>
      </w:r>
    </w:p>
    <w:p>
      <w:r>
        <w:rPr>
          <w:i/>
          <w:color w:val="666666"/>
          <w:sz w:val="18"/>
        </w:rPr>
        <w:t>Chen L et al.  ·  J Glob Health  ·  09.10.2026  ·  PMID 42852605</w:t>
      </w:r>
    </w:p>
    <w:p>
      <w:r>
        <w:t>Test-Negativ-Fall-Kontroll-Studie an 928 ambulanten Patienten mit Infektionszeichen der oberen Atemwege an drei Sentinelkliniken in Xinjiang (Dezember 2024 bis März 2025).</w:t>
      </w:r>
    </w:p>
    <w:p>
      <w:r>
        <w:rPr>
          <w:b/>
        </w:rPr>
        <w:t xml:space="preserve">Ergebnis: </w:t>
      </w:r>
      <w:r>
        <w:t>921 Patienten eingeschlossen (121 influenzapositiv, 786 negativ). Gesamte angepasste Impfeffektivität gegen medizinisch betreute Influenza 42,3 % (95%-GI 11,1–62,5). Kinder (0–10 Jahre) und ältere Erwachsene (≥ 65 Jahre) mit positivem Test berichteten häufigere und längere soziale Kontakte als Negativ-Getestete. Sekvenzbefunde an 6 Proben deuteten auf keine größere Antigendiskrepanz mit Impfstoffstämmen.</w:t>
      </w:r>
    </w:p>
    <w:p>
      <w:r>
        <w:rPr>
          <w:b/>
          <w:sz w:val="19"/>
        </w:rPr>
        <w:t xml:space="preserve">Übertragbarkeit: </w:t>
      </w:r>
      <w:r>
        <w:rPr>
          <w:sz w:val="19"/>
        </w:rPr>
        <w:t>China, aber Wirksamkeitsendpunkt und Kontaktmuster international relevant</w:t>
      </w:r>
    </w:p>
    <w:p>
      <w:r>
        <w:rPr>
          <w:color w:val="5A7D3A"/>
          <w:sz w:val="18"/>
        </w:rPr>
        <w:t>https://pubmed.ncbi.nlm.nih.gov/42852605/</w:t>
      </w:r>
    </w:p>
    <w:p>
      <w:pPr>
        <w:pStyle w:val="Heading2"/>
      </w:pPr>
      <w:r>
        <w:t>COVID-19-Pandemie senkte Kinderimpfquoten in den Niederlanden anhaltend</w:t>
      </w:r>
    </w:p>
    <w:p>
      <w:r>
        <w:rPr>
          <w:i/>
          <w:color w:val="666666"/>
          <w:sz w:val="18"/>
        </w:rPr>
        <w:t>Pijpers J et al.  ·  Euro Surveill  ·  Okt. 2026  ·  PMID 42852520</w:t>
      </w:r>
    </w:p>
    <w:p>
      <w:r>
        <w:t>Niederländische Registeranalyse aller 2016–2024 geborenen Kinder zur Auswirkung von COVID-19 auf die Inanspruchnahme der Erstimpfung gegen Diphtherie, Tetanus, Pertussis und Poliomyelitis (DTaP-IPV) bis zum 6. Lebensmonat.</w:t>
      </w:r>
    </w:p>
    <w:p>
      <w:r>
        <w:rPr>
          <w:b/>
        </w:rPr>
        <w:t xml:space="preserve">Ergebnis: </w:t>
      </w:r>
      <w:r>
        <w:t>Unterbrochene Zeitreihenanalyse zeigte signifikante Abfälle bei Pandemiebeginn und -ende sowie fortlaufenden Rückgang während der Pandemie (OR 0,984; 95%-KI 0,981–0,986). In der Matched-Sibling-Analyse hatten Kinder, die während der Pandemie oder danach geimpft werden konnten, niedrigere Chancen als ihre vor der Pandemie geborenen Geschwister (Pandemie: OR 0,66, 95%-KI 0,55–0,80; nach Pandemie: OR 0,20, 95%-KI 0,17–0,25). Die Impfquoten erholten sich auch nach Ende der Pandemie nicht.</w:t>
      </w:r>
    </w:p>
    <w:p>
      <w:r>
        <w:rPr>
          <w:b/>
          <w:sz w:val="19"/>
        </w:rPr>
        <w:t xml:space="preserve">Übertragbarkeit: </w:t>
      </w:r>
      <w:r>
        <w:rPr>
          <w:sz w:val="19"/>
        </w:rPr>
        <w:t>Niederlande mit Impfregister und vergleichbarem Versicherungssystem</w:t>
      </w:r>
    </w:p>
    <w:p>
      <w:r>
        <w:rPr>
          <w:color w:val="5A7D3A"/>
          <w:sz w:val="18"/>
        </w:rPr>
        <w:t>https://pubmed.ncbi.nlm.nih.gov/42852520/</w:t>
      </w:r>
    </w:p>
    <w:p>
      <w:pPr>
        <w:pStyle w:val="Heading2"/>
      </w:pPr>
      <w:r>
        <w:t>Bildungsstand bestimmt COVID-19-Impfquote bei Schwangeren in Polen</w:t>
      </w:r>
    </w:p>
    <w:p>
      <w:r>
        <w:rPr>
          <w:i/>
          <w:color w:val="666666"/>
          <w:sz w:val="18"/>
        </w:rPr>
        <w:t>Hinca KM et al.  ·  Front Public Health  ·  24.09.2026  ·  PMID 42851628</w:t>
      </w:r>
    </w:p>
    <w:p>
      <w:r>
        <w:t>Querschnittstudie mit 675 schwangeren Frauen, die zwischen November 2021 und Februar 2022 im Kreißsaal aufgenommen wurden, zu Faktoren der COVID-19-Impfbereitschaft in der Gravidität.</w:t>
      </w:r>
    </w:p>
    <w:p>
      <w:r>
        <w:rPr>
          <w:b/>
        </w:rPr>
        <w:t xml:space="preserve">Ergebnis: </w:t>
      </w:r>
      <w:r>
        <w:t>Über 50 % der Befragten waren gegen COVID-19 in der Schwangerschaft geimpft. Niedrigere Schulbildung war konsistent mit niedrigerer Impfwahrscheinlichkeit assoziiert. Höheres Alter und Wohnort in Großstadt waren mit höherer Impfquote verknüpft. Geburtshilfliche Vorgeschichte zeigte keine signifikante Assoziation. Demografische Ungleichheit bei der Impfannahme bildete sich deutlich ab.</w:t>
      </w:r>
    </w:p>
    <w:p>
      <w:r>
        <w:rPr>
          <w:b/>
          <w:sz w:val="19"/>
        </w:rPr>
        <w:t xml:space="preserve">Übertragbarkeit: </w:t>
      </w:r>
      <w:r>
        <w:rPr>
          <w:sz w:val="19"/>
        </w:rPr>
        <w:t>Polen, vergleichbares europäisches Gesundheitssystem</w:t>
      </w:r>
    </w:p>
    <w:p>
      <w:r>
        <w:rPr>
          <w:color w:val="5A7D3A"/>
          <w:sz w:val="18"/>
        </w:rPr>
        <w:t>https://pubmed.ncbi.nlm.nih.gov/42851628/</w:t>
      </w:r>
    </w:p>
    <w:p>
      <w:pPr>
        <w:pStyle w:val="Heading1"/>
      </w:pPr>
      <w:r>
        <w:t>Aufgenommen am 09.10.2026</w:t>
      </w:r>
    </w:p>
    <w:p>
      <w:pPr>
        <w:pStyle w:val="Heading2"/>
      </w:pPr>
      <w:r>
        <w:t>Impfprice und Botschaftsrahmen beeinflussen Impfbereitschaft gegen Influenza in China</w:t>
      </w:r>
    </w:p>
    <w:p>
      <w:r>
        <w:rPr>
          <w:i/>
          <w:color w:val="666666"/>
          <w:sz w:val="18"/>
        </w:rPr>
        <w:t>Chu Y et al.  ·  Hum Vaccin Immunother  ·  31.12.2026  ·  PMID 42850200</w:t>
      </w:r>
    </w:p>
    <w:p>
      <w:r>
        <w:t>Experimentelle Studie mit 1.408 chinesischen Studierenden zur Wirkung von Preis, Nachrichtenframing (Gewinn vs. Verlust) und Werteorientierung (individualistisch vs. kollektivistisch) auf Bereitschaft zur Grippeimpfung.</w:t>
      </w:r>
    </w:p>
    <w:p>
      <w:r>
        <w:rPr>
          <w:b/>
        </w:rPr>
        <w:t xml:space="preserve">Ergebnis: </w:t>
      </w:r>
      <w:r>
        <w:t>Impfbereitschaft sank mit steigendem Preis signifikant. Bei kostenloser Impfung: keine signifikanten Unterschiede zwischen Botschaftstypen. Bei Bezahlung: Verlust-gerahmt und individualistisch-orientiert Botschaften wirksamer; individualistisch-Verlust-Botschaft zeigte stärksten Effekt. Perceived severity und vaccine effectiveness vermittelten den Effekt.</w:t>
      </w:r>
    </w:p>
    <w:p>
      <w:r>
        <w:rPr>
          <w:b/>
          <w:sz w:val="19"/>
        </w:rPr>
        <w:t xml:space="preserve">Übertragbarkeit: </w:t>
      </w:r>
      <w:r>
        <w:rPr>
          <w:sz w:val="19"/>
        </w:rPr>
        <w:t>China – Befragungsstudie; kulturelle Besonderheiten, begrenzte Übertragbarkeit auf Deutschland</w:t>
      </w:r>
    </w:p>
    <w:p>
      <w:r>
        <w:rPr>
          <w:color w:val="5A7D3A"/>
          <w:sz w:val="18"/>
        </w:rPr>
        <w:t>https://pubmed.ncbi.nlm.nih.gov/42850200/</w:t>
      </w:r>
    </w:p>
    <w:p>
      <w:pPr>
        <w:pStyle w:val="Heading2"/>
      </w:pPr>
      <w:r>
        <w:t>Pneumokokkenimpfung in Südafrika: Kosteneffektivität PCV20 vs. PPSV23 bei HIV-Risikogruppen</w:t>
      </w:r>
    </w:p>
    <w:p>
      <w:r>
        <w:rPr>
          <w:i/>
          <w:color w:val="666666"/>
          <w:sz w:val="18"/>
        </w:rPr>
        <w:t>Wang WW et al.  ·  Hum Vaccin Immunother  ·  08.10.2026  ·  PMID 42849061</w:t>
      </w:r>
    </w:p>
    <w:p>
      <w:r>
        <w:t>Statische Entscheidungsbaummodellierung aus Perspektive südafrikanischer Gesundheitskassen zur Kosteneffektivität von PCV20 vs. PPSV23 bei über 65-Jährigen, mit HIV-Stratifizierung.</w:t>
      </w:r>
    </w:p>
    <w:p>
      <w:r>
        <w:rPr>
          <w:b/>
        </w:rPr>
        <w:t xml:space="preserve">Ergebnis: </w:t>
      </w:r>
      <w:r>
        <w:t>Bei Allgemeinbevölkerung ≥65 Jahre: PCV20 mehr Gesundheitsnutzen, aber ICER 17.323 USD/QALY (nicht kosteneffektiv zu aktuellen Preisen). Bei älteren Erwachsenen mit HIV: ICER 2.104 USD/QALY (kosteneffektiv). Kosten Haupttreiber; zielgerichtete Impfung von HIV+ Älteren effizienter als universale Strategie.</w:t>
      </w:r>
    </w:p>
    <w:p>
      <w:r>
        <w:rPr>
          <w:b/>
          <w:sz w:val="19"/>
        </w:rPr>
        <w:t xml:space="preserve">Übertragbarkeit: </w:t>
      </w:r>
      <w:r>
        <w:rPr>
          <w:sz w:val="19"/>
        </w:rPr>
        <w:t>Südafrika – Modellstudie; HIV-Prävalenz und Ressourcenlimitierungen nicht auf Deutschland übertragbar</w:t>
      </w:r>
    </w:p>
    <w:p>
      <w:r>
        <w:rPr>
          <w:color w:val="5A7D3A"/>
          <w:sz w:val="18"/>
        </w:rPr>
        <w:t>https://pubmed.ncbi.nlm.nih.gov/42849061/</w:t>
      </w:r>
    </w:p>
    <w:p>
      <w:pPr>
        <w:pStyle w:val="Heading2"/>
      </w:pPr>
      <w:r>
        <w:t>Interventionen gegen Impfskepsis im Kindes- und Jugendalter 2012–2023: Integrative Übersicht</w:t>
      </w:r>
    </w:p>
    <w:p>
      <w:r>
        <w:rPr>
          <w:i/>
          <w:color w:val="666666"/>
          <w:sz w:val="18"/>
        </w:rPr>
        <w:t>Rocha FMD et al.  ·  Cien Saude Colet  ·  05.10.2026  ·  PMID 42848635</w:t>
      </w:r>
    </w:p>
    <w:p>
      <w:r>
        <w:t>Integrative Literaturübersicht über 45 Interventionsstudien zur Minderung von Vaccine Hesitancy bei Kinder- und Jugendimpfungen über 12 Jahre, systematisiert nach Methodik, Zielgruppe, Impfstoff und Evidenzlevel.</w:t>
      </w:r>
    </w:p>
    <w:p>
      <w:r>
        <w:rPr>
          <w:b/>
        </w:rPr>
        <w:t xml:space="preserve">Ergebnis: </w:t>
      </w:r>
      <w:r>
        <w:t>Mehrheit 2021–2023 veröffentlicht; quantitativ dominierend; Zielgruppe meist Eltern/Betreuer; häufigste Intervention: digitale Bildungsinhalte. Konvergenz mit Cs-Modell (Confidence, Complacency, Convenience). Interventionen können Strategien gegen Vaccine Hesitancy und evidenzgestützte Politiken informieren.</w:t>
      </w:r>
    </w:p>
    <w:p>
      <w:r>
        <w:rPr>
          <w:b/>
          <w:sz w:val="19"/>
        </w:rPr>
        <w:t xml:space="preserve">Übertragbarkeit: </w:t>
      </w:r>
      <w:r>
        <w:rPr>
          <w:sz w:val="19"/>
        </w:rPr>
        <w:t>Brasilien/Portugiesischsprachig – narrative Übersichtsarbeit ohne quantitativ beschriebene Erfolgsraten</w:t>
      </w:r>
    </w:p>
    <w:p>
      <w:r>
        <w:rPr>
          <w:color w:val="5A7D3A"/>
          <w:sz w:val="18"/>
        </w:rPr>
        <w:t>https://pubmed.ncbi.nlm.nih.gov/42848635/</w:t>
      </w:r>
    </w:p>
    <w:p>
      <w:pPr>
        <w:pStyle w:val="Heading2"/>
      </w:pPr>
      <w:r>
        <w:t>HPV-Impfung vor Schwangerschaft senkt Risiken für ungünstige Schwangerschaftsergebnisse</w:t>
      </w:r>
    </w:p>
    <w:p>
      <w:r>
        <w:rPr>
          <w:i/>
          <w:color w:val="666666"/>
          <w:sz w:val="18"/>
        </w:rPr>
        <w:t>Zhang Z et al.  ·  BMJ  ·  07.10.2026  ·  PMID 42843853</w:t>
      </w:r>
    </w:p>
    <w:p>
      <w:r>
        <w:t>Bevölkerungsbasierte Matched-Case-Control-Studie in Schweden zur Assoziation zwischen quadrivalenter HPV-Impfung vor Schwangerschaft und Schwangerschaftskomplikationen bei 624.713 Geburten zwischen 2006 und 2023.</w:t>
      </w:r>
    </w:p>
    <w:p>
      <w:r>
        <w:rPr>
          <w:b/>
        </w:rPr>
        <w:t xml:space="preserve">Ergebnis: </w:t>
      </w:r>
      <w:r>
        <w:t>HPV-Impfung war mit niedrigeren Odds für ungünstige Schwangerschaftsergebnisse assoziiert: Frühgeborene &lt;37 Wochen (aOR 0,95, 95%-KI 0,91–0,99), sehr Frühgeborene 28–31 Wochen (aOR 0,85, 95%-KI 0,75–0,97), schwere Wachstumsretardierung (aOR 0,92, 95%-KI 0,87–0,97). Nutzen größer bei Impfung in jüngerem Alter.</w:t>
      </w:r>
    </w:p>
    <w:p>
      <w:r>
        <w:rPr>
          <w:b/>
          <w:sz w:val="19"/>
        </w:rPr>
        <w:t xml:space="preserve">Übertragbarkeit: </w:t>
      </w:r>
      <w:r>
        <w:rPr>
          <w:sz w:val="19"/>
        </w:rPr>
        <w:t>Schweden – Registerdata, vergleichbares europäisches Gesundheitssystem</w:t>
      </w:r>
    </w:p>
    <w:p>
      <w:r>
        <w:rPr>
          <w:color w:val="5A7D3A"/>
          <w:sz w:val="18"/>
        </w:rPr>
        <w:t>https://pubmed.ncbi.nlm.nih.gov/42843853/</w:t>
      </w:r>
    </w:p>
    <w:p>
      <w:pPr>
        <w:pStyle w:val="Heading2"/>
      </w:pPr>
      <w:r>
        <w:t>Determinanten der Kinderimpfung unterscheiden sich in konfliktbetroffenen und stabilen Regionen Kameruns</w:t>
      </w:r>
    </w:p>
    <w:p>
      <w:r>
        <w:rPr>
          <w:i/>
          <w:color w:val="666666"/>
          <w:sz w:val="18"/>
        </w:rPr>
        <w:t>Rossi R et al.  ·  Front Public Health  ·  21.09.2026  ·  PMID 42835095</w:t>
      </w:r>
    </w:p>
    <w:p>
      <w:r>
        <w:t>Sekundäranalyse der Demographic and Health Survey 2018 Kamerun bei 1.824 Kindern im Alter 12–23 Monaten zur Assoziation zwischen Konfliktregionen und vollständiger Grundimpfung.</w:t>
      </w:r>
    </w:p>
    <w:p>
      <w:r>
        <w:rPr>
          <w:b/>
        </w:rPr>
        <w:t xml:space="preserve">Ergebnis: </w:t>
      </w:r>
      <w:r>
        <w:t>Gesamtimpfquote 53,1%; in Konfliktregionen 45,3% vs. nicht betroffen 56,0%. Nach Anpassung war Konflikt-Status nicht unabhängig assoziiert. Signifikante Prädiktoren überall: höheres Haushaltseinkommen, mütterliche Sekundar-/Hochschulbildung, Antenatal- und Postnatalbetreuung. Unterschiede nur in nicht-konfligierenden Regionen relevant.</w:t>
      </w:r>
    </w:p>
    <w:p>
      <w:r>
        <w:rPr>
          <w:b/>
          <w:sz w:val="19"/>
        </w:rPr>
        <w:t xml:space="preserve">Übertragbarkeit: </w:t>
      </w:r>
      <w:r>
        <w:rPr>
          <w:sz w:val="19"/>
        </w:rPr>
        <w:t>Kamerun – DHS-Daten; Armuts- und Konfliktkontext, begrenzte Übertragbarkeit</w:t>
      </w:r>
    </w:p>
    <w:p>
      <w:r>
        <w:rPr>
          <w:color w:val="5A7D3A"/>
          <w:sz w:val="18"/>
        </w:rPr>
        <w:t>https://pubmed.ncbi.nlm.nih.gov/42835095/</w:t>
      </w:r>
    </w:p>
    <w:p>
      <w:pPr>
        <w:pStyle w:val="Heading2"/>
      </w:pPr>
      <w:r>
        <w:t>Impfempfehlungen für pädiatrische Transplantationsempfänger – Positionspapier des europäischen Referenznetzwerks</w:t>
      </w:r>
    </w:p>
    <w:p>
      <w:r>
        <w:rPr>
          <w:i/>
          <w:color w:val="666666"/>
          <w:sz w:val="18"/>
        </w:rPr>
        <w:t>Casotti V et al.  ·  J Pediatr Gastroenterol Nutr  ·  07.08.2026  ·  PMID 42563542</w:t>
      </w:r>
    </w:p>
    <w:p>
      <w:r>
        <w:t>Systematische Übersichtsarbeit mit evidenzgestützten Empfehlungen zu Impfungen bei Kindern nach Solid-Organ- oder Stammzelltransplantation, basierend auf Literaturanalyse und Konsens von Fachleuten aus 13 europäischen Ländern.</w:t>
      </w:r>
    </w:p>
    <w:p>
      <w:r>
        <w:rPr>
          <w:b/>
        </w:rPr>
        <w:t xml:space="preserve">Ergebnis: </w:t>
      </w:r>
      <w:r>
        <w:t>Bisher niedrige Impfquoten trotz etablierter Richtlinien; Barrieren: unvollständiger Impfstatus vor Transplantation, reduzierte Wirksamkeit durch Immunsuppression, Timing-Unsicherheiten, Vaccine Hesitancy. Empfehlungen: zeitnahe Immunisierung, optimales Timing nach Immunrekonstitution, Catch-up-Impfungen vor Transplantation.</w:t>
      </w:r>
    </w:p>
    <w:p>
      <w:r>
        <w:rPr>
          <w:b/>
          <w:sz w:val="19"/>
        </w:rPr>
        <w:t xml:space="preserve">Übertragbarkeit: </w:t>
      </w:r>
      <w:r>
        <w:rPr>
          <w:sz w:val="19"/>
        </w:rPr>
        <w:t>Europa (13 Länder) – Positionspapier; deutsche Zentren teilweise beteiligt</w:t>
      </w:r>
    </w:p>
    <w:p>
      <w:r>
        <w:rPr>
          <w:color w:val="5A7D3A"/>
          <w:sz w:val="18"/>
        </w:rPr>
        <w:t>https://pubmed.ncbi.nlm.nih.gov/42563542/</w:t>
      </w:r>
    </w:p>
    <w:p>
      <w:pPr>
        <w:pStyle w:val="Heading1"/>
      </w:pPr>
      <w:r>
        <w:t>Aufgenommen am 08.10.2026</w:t>
      </w:r>
    </w:p>
    <w:p>
      <w:pPr>
        <w:pStyle w:val="Heading2"/>
      </w:pPr>
      <w:r>
        <w:t>Impfskepsis gegen COVID-19-Booster clustert in Haushalten und Gemeinden – China</w:t>
      </w:r>
    </w:p>
    <w:p>
      <w:r>
        <w:rPr>
          <w:i/>
          <w:color w:val="666666"/>
          <w:sz w:val="18"/>
        </w:rPr>
        <w:t>Zhang Y et al.  ·  JMIR Public Health Surveill  ·  07.10.2026  ·  PMID 42842944</w:t>
      </w:r>
    </w:p>
    <w:p>
      <w:r>
        <w:t>Haushaltsbasierte Querschnittsbefragung zur Clusterung von Vaccine Hesitancy gegenüber COVID-19-Booster-Impfung nach individuellen, Haushalts- und Gemeinde-Ebenen.</w:t>
      </w:r>
    </w:p>
    <w:p>
      <w:r>
        <w:rPr>
          <w:b/>
        </w:rPr>
        <w:t xml:space="preserve">Ergebnis: </w:t>
      </w:r>
      <w:r>
        <w:t>27,0 % zeigten gleichzeitige Hesitancy bei aktuellen und zukünftigen Booster-Absichten; 77,73 % der Varianz waren auf Haushalts- und Gemeinde-Ebene zurückzuführen; Selbstwirksamkeit und vorherige COVID-19-Impfung waren stärkste Schutzfaktoren gegen Hesitancy.</w:t>
      </w:r>
    </w:p>
    <w:p>
      <w:r>
        <w:rPr>
          <w:b/>
          <w:sz w:val="19"/>
        </w:rPr>
        <w:t xml:space="preserve">Übertragbarkeit: </w:t>
      </w:r>
      <w:r>
        <w:rPr>
          <w:sz w:val="19"/>
        </w:rPr>
        <w:t>China, soziales Clustern; Mechanismen für haushalts- und gemeindebasierte Interventionen gelten international.</w:t>
      </w:r>
    </w:p>
    <w:p>
      <w:r>
        <w:rPr>
          <w:color w:val="5A7D3A"/>
          <w:sz w:val="18"/>
        </w:rPr>
        <w:t>https://pubmed.ncbi.nlm.nih.gov/42842944/</w:t>
      </w:r>
    </w:p>
    <w:p>
      <w:pPr>
        <w:pStyle w:val="Heading2"/>
      </w:pPr>
      <w:r>
        <w:t>Herpes-zoster-Impfung an Zahlungsbarriere gescheitert – Intention-Verhalten-Lücke in Taiwan</w:t>
      </w:r>
    </w:p>
    <w:p>
      <w:r>
        <w:rPr>
          <w:i/>
          <w:color w:val="666666"/>
          <w:sz w:val="18"/>
        </w:rPr>
        <w:t>Liou FY et al.  ·  Hum Vaccin Immunother  ·  07.10.2026  ·  PMID 42842236</w:t>
      </w:r>
    </w:p>
    <w:p>
      <w:r>
        <w:t>Nationale Querschnittsumfrage zu Determinanten der Herpes-zoster-Impfung in einem System ohne universelle Kostenübernahme.</w:t>
      </w:r>
    </w:p>
    <w:p>
      <w:r>
        <w:rPr>
          <w:b/>
        </w:rPr>
        <w:t xml:space="preserve">Ergebnis: </w:t>
      </w:r>
      <w:r>
        <w:t>16,6 % waren geimpft; 80,9 % der Ungeimpften zeigten Impfbereitschaft; Preis war das Haupthindernis – Zahlungsbereitschaft lag unter Marktpreis (USD 32,80 vs. Marktpreis), aber Bewusstsein für Subventionsprogramme verdoppelte Impfodds (OR: 2,30).</w:t>
      </w:r>
    </w:p>
    <w:p>
      <w:r>
        <w:rPr>
          <w:b/>
          <w:sz w:val="19"/>
        </w:rPr>
        <w:t xml:space="preserve">Übertragbarkeit: </w:t>
      </w:r>
      <w:r>
        <w:rPr>
          <w:sz w:val="19"/>
        </w:rPr>
        <w:t>Selbstzahlermodell nicht übertragbar; Befunde zu Affordability-Barrieren bei Erwachsenenimpfungen relevant.</w:t>
      </w:r>
    </w:p>
    <w:p>
      <w:r>
        <w:rPr>
          <w:color w:val="5A7D3A"/>
          <w:sz w:val="18"/>
        </w:rPr>
        <w:t>https://pubmed.ncbi.nlm.nih.gov/42842236/</w:t>
      </w:r>
    </w:p>
    <w:p>
      <w:pPr>
        <w:pStyle w:val="Heading2"/>
      </w:pPr>
      <w:r>
        <w:t>Tetanus-Impfbereitschaft nach Trauma hängt von praktischer Zugänglichkeit ab – China</w:t>
      </w:r>
    </w:p>
    <w:p>
      <w:r>
        <w:rPr>
          <w:i/>
          <w:color w:val="666666"/>
          <w:sz w:val="18"/>
        </w:rPr>
        <w:t>Fang Q et al.  ·  Front Public Health  ·  21.09.2026  ·  PMID 42835057</w:t>
      </w:r>
    </w:p>
    <w:p>
      <w:r>
        <w:t>Querschnittsstudie zur Impfbereitschaft gegen Tetanus nach Traumata mit Verhaltensfaktoren und Zugangshürden (BeSD-Rahmen).</w:t>
      </w:r>
    </w:p>
    <w:p>
      <w:r>
        <w:rPr>
          <w:b/>
        </w:rPr>
        <w:t xml:space="preserve">Ergebnis: </w:t>
      </w:r>
      <w:r>
        <w:t>51,9 % zeigten Impfbereitschaft; praktische Zugänglichkeit zeigte stärkste Assoziation mit Impfintention (strukturelle Gleichungsmodellierung); nur 19,2 % der angezeigten Patienten erhielten dokumentiert Impfung innerhalb von 7 Tagen – obwohl 80,6 % grundsätzlich angezeigt waren.</w:t>
      </w:r>
    </w:p>
    <w:p>
      <w:r>
        <w:rPr>
          <w:b/>
          <w:sz w:val="19"/>
        </w:rPr>
        <w:t xml:space="preserve">Übertragbarkeit: </w:t>
      </w:r>
      <w:r>
        <w:rPr>
          <w:sz w:val="19"/>
        </w:rPr>
        <w:t>China; Befunde zu Zugangsbarrieren beim Post-Expositions-Impfen übertragbar.</w:t>
      </w:r>
    </w:p>
    <w:p>
      <w:r>
        <w:rPr>
          <w:color w:val="5A7D3A"/>
          <w:sz w:val="18"/>
        </w:rPr>
        <w:t>https://pubmed.ncbi.nlm.nih.gov/42835057/</w:t>
      </w:r>
    </w:p>
    <w:p>
      <w:pPr>
        <w:pStyle w:val="Heading2"/>
      </w:pPr>
      <w:r>
        <w:t>COVID-19-Impfung bei südafrikanischen Jugendlichen: Alter, Haushaltskontext und Pandemie-Nähe treiben Quote</w:t>
      </w:r>
    </w:p>
    <w:p>
      <w:r>
        <w:rPr>
          <w:i/>
          <w:color w:val="666666"/>
          <w:sz w:val="18"/>
        </w:rPr>
        <w:t>Dietrich JJ et al.  ·  Glob Health Action  ·  06.10.2026  ·  PMID 42834877</w:t>
      </w:r>
    </w:p>
    <w:p>
      <w:r>
        <w:t>Online-Querschnittsbefragung zu Prädiktoren der COVID-19-Impfung bei Jugendlichen (18–24 Jahre) in eThekwini, Südafrika.</w:t>
      </w:r>
    </w:p>
    <w:p>
      <w:r>
        <w:rPr>
          <w:b/>
        </w:rPr>
        <w:t xml:space="preserve">Ergebnis: </w:t>
      </w:r>
      <w:r>
        <w:t>37,9 % waren geimpft; älteres Alter, Zusammenleben mit Senioren und persönliche Nähe zu schweren COVID-19-Verläufen (Krankenhausaufenthalte/Todesfälle im Umfeld) waren unabhängige Prädiktoren; geschlechtsspezifische Unterschiede bei Ethnizität und Familienstand.</w:t>
      </w:r>
    </w:p>
    <w:p>
      <w:r>
        <w:rPr>
          <w:b/>
          <w:sz w:val="19"/>
        </w:rPr>
        <w:t xml:space="preserve">Übertragbarkeit: </w:t>
      </w:r>
      <w:r>
        <w:rPr>
          <w:sz w:val="19"/>
        </w:rPr>
        <w:t>Südafrika, hohes Einkommensgefälle; Befunde zu sozialen Determinanten und Pandemie-Proximität international relevant.</w:t>
      </w:r>
    </w:p>
    <w:p>
      <w:r>
        <w:rPr>
          <w:color w:val="5A7D3A"/>
          <w:sz w:val="18"/>
        </w:rPr>
        <w:t>https://pubmed.ncbi.nlm.nih.gov/42834877/</w:t>
      </w:r>
    </w:p>
    <w:p>
      <w:pPr>
        <w:pStyle w:val="Heading2"/>
      </w:pPr>
      <w:r>
        <w:t>HPV-Impfung bei Erwachsenen (27–45 Jahre) bleibt selten – USA</w:t>
      </w:r>
    </w:p>
    <w:p>
      <w:r>
        <w:rPr>
          <w:i/>
          <w:color w:val="666666"/>
          <w:sz w:val="18"/>
        </w:rPr>
        <w:t>Jiang R et al.  ·  Hum Vaccin Immunother  ·  05.10.2026  ·  PMID 42834027</w:t>
      </w:r>
    </w:p>
    <w:p>
      <w:r>
        <w:t>Nationale Querschnittserhebung zur HPV-Impfquote bei Erwachsenen vor und nach COVID-19 anhand von NHIS-Daten.</w:t>
      </w:r>
    </w:p>
    <w:p>
      <w:r>
        <w:rPr>
          <w:b/>
        </w:rPr>
        <w:t xml:space="preserve">Ergebnis: </w:t>
      </w:r>
      <w:r>
        <w:t>Quote stieg von 15,1 % (2019) auf 20,7 % (2022); nur 1,43 % initiierten Impfung zwischen 27 und 45 Jahren; Alter, männliches Geschlecht, niedrigere Bildung und fehlende regelmäßige Versorgungsstelle waren mit niedrigerer Quote assoziiert.</w:t>
      </w:r>
    </w:p>
    <w:p>
      <w:r>
        <w:rPr>
          <w:b/>
          <w:sz w:val="19"/>
        </w:rPr>
        <w:t xml:space="preserve">Übertragbarkeit: </w:t>
      </w:r>
      <w:r>
        <w:rPr>
          <w:sz w:val="19"/>
        </w:rPr>
        <w:t>USA; Befunde zu Barrieren bei Catch-up-Impfung Erwachsener, nicht zu Kindheit relevant.</w:t>
      </w:r>
    </w:p>
    <w:p>
      <w:r>
        <w:rPr>
          <w:color w:val="5A7D3A"/>
          <w:sz w:val="18"/>
        </w:rPr>
        <w:t>https://pubmed.ncbi.nlm.nih.gov/42834027/</w:t>
      </w:r>
    </w:p>
    <w:p>
      <w:pPr>
        <w:pStyle w:val="Heading2"/>
      </w:pPr>
      <w:r>
        <w:t>Schottische Impfquoten blieben in der Pandemie stabil – Ungleichheiten bestehen fort</w:t>
      </w:r>
    </w:p>
    <w:p>
      <w:r>
        <w:rPr>
          <w:i/>
          <w:color w:val="666666"/>
          <w:sz w:val="18"/>
        </w:rPr>
        <w:t>Smith CD et al.  ·  Public Health  ·  13.08.2026  ·  PMID 42594547</w:t>
      </w:r>
    </w:p>
    <w:p>
      <w:r>
        <w:t>Bevölkerungsbasierte Kohortenstudie zu Routineimpfungen bei Kleinkindern in Schottland vor und während COVID-19.</w:t>
      </w:r>
    </w:p>
    <w:p>
      <w:r>
        <w:rPr>
          <w:b/>
        </w:rPr>
        <w:t xml:space="preserve">Ergebnis: </w:t>
      </w:r>
      <w:r>
        <w:t>Impfquoten für fünf von sechs Vakzinen blieben stabil oder stiegen während der Pandemie; Unterschiede nach Deprivation und ethnischer Herkunft verschärften sich nicht, aber bestandene Ungleichheiten persistierten.</w:t>
      </w:r>
    </w:p>
    <w:p>
      <w:r>
        <w:rPr>
          <w:b/>
          <w:sz w:val="19"/>
        </w:rPr>
        <w:t xml:space="preserve">Übertragbarkeit: </w:t>
      </w:r>
      <w:r>
        <w:rPr>
          <w:sz w:val="19"/>
        </w:rPr>
        <w:t>Schottisches Impfregister, vergleichbares Sozialsystem mit Deutschland.</w:t>
      </w:r>
    </w:p>
    <w:p>
      <w:r>
        <w:rPr>
          <w:color w:val="5A7D3A"/>
          <w:sz w:val="18"/>
        </w:rPr>
        <w:t>https://pubmed.ncbi.nlm.nih.gov/42594547/</w:t>
      </w:r>
    </w:p>
    <w:p>
      <w:pPr>
        <w:pStyle w:val="Heading1"/>
      </w:pPr>
      <w:r>
        <w:t>Aufgenommen am 07.10.2026</w:t>
      </w:r>
    </w:p>
    <w:p>
      <w:pPr>
        <w:pStyle w:val="Heading2"/>
      </w:pPr>
      <w:r>
        <w:t>Impfquoten bei Zero-Dose-Kindern: digitale Mikro-Planung erreichte unterversorgte Gemeinden in Niger</w:t>
      </w:r>
    </w:p>
    <w:p>
      <w:r>
        <w:rPr>
          <w:i/>
          <w:color w:val="666666"/>
          <w:sz w:val="18"/>
        </w:rPr>
        <w:t>Jimoh A et al.  ·  BMJ Glob Health  ·  06.10.2026  ·  PMID 42838605</w:t>
      </w:r>
    </w:p>
    <w:p>
      <w:r>
        <w:t>Die STRICAN-Initiative kombinierte Haushaltserfassung, digitale Mikroplanung und gemeindegestützte Mobilisierung, um zuvor unerreichbare Kinder in 10 Bezirken des Niger-Staates zu identifizieren und zu impfen.</w:t>
      </w:r>
    </w:p>
    <w:p>
      <w:r>
        <w:rPr>
          <w:b/>
        </w:rPr>
        <w:t xml:space="preserve">Ergebnis: </w:t>
      </w:r>
      <w:r>
        <w:t>Das Modell zeigte, dass datengesteuerte Mikro-Planung mit vertrauenswürdigen Gemeinschaftsstrukturen funktioniert. Zentrale Erkenntnisse: flexible Lieferstrategien in fragilen Einstellungen, starke Partnerschaften zwischen Regierung und Umsetzungsakteuren sowie die Integration digitaler Tools mit bestehenden Gemeinschaftssystemen verbesserten Identifikation und Service-Bereitstellung für Zero-Dose-Populationen.</w:t>
      </w:r>
    </w:p>
    <w:p>
      <w:r>
        <w:rPr>
          <w:b/>
          <w:sz w:val="19"/>
        </w:rPr>
        <w:t xml:space="preserve">Übertragbarkeit: </w:t>
      </w:r>
      <w:r>
        <w:rPr>
          <w:sz w:val="19"/>
        </w:rPr>
        <w:t>Nigeria, aber Modell übertragbar auf ähnliche Kontexte mit schwachen Registersystemen und fragmentierten Bevölkerungen.</w:t>
      </w:r>
    </w:p>
    <w:p>
      <w:r>
        <w:rPr>
          <w:color w:val="5A7D3A"/>
          <w:sz w:val="18"/>
        </w:rPr>
        <w:t>https://pubmed.ncbi.nlm.nih.gov/42838605/</w:t>
      </w:r>
    </w:p>
    <w:p>
      <w:pPr>
        <w:pStyle w:val="Heading2"/>
      </w:pPr>
      <w:r>
        <w:t>COVID-19-Impfbereitschaft bei chinesischen Fachpersonen: 59,9% für zukünftige Auffrischungen trotz 97% Vorbeugeimpfung</w:t>
      </w:r>
    </w:p>
    <w:p>
      <w:r>
        <w:rPr>
          <w:i/>
          <w:color w:val="666666"/>
          <w:sz w:val="18"/>
        </w:rPr>
        <w:t>Mu Y et al.  ·  JMIR Public Health Surveill  ·  06.10.2026  ·  PMID 42837522</w:t>
      </w:r>
    </w:p>
    <w:p>
      <w:r>
        <w:t>Nationale Mehrzentrums-Querschnittsbefragung von 2.877 Ärzten und 292 Medizinstudierenden in China Februar–April 2023 zur Bereitschaft für künftige jährliche COVID-19-Impfungen.</w:t>
      </w:r>
    </w:p>
    <w:p>
      <w:r>
        <w:rPr>
          <w:b/>
        </w:rPr>
        <w:t xml:space="preserve">Ergebnis: </w:t>
      </w:r>
      <w:r>
        <w:t>Insgesamt 59,9% (n=1.899) willens, zukünftige jährliche COVID-19-Impfung zu erhalten; 97% hatten mind. 1 Dosis erhalten; 93,1% hatten inaktivierte Impfstoffe. 90,2% unterstützen Ältere-Impfung, 73,2% Kleinkinderimpfung. Mangelnde Influenzaimpfbereitschaft stark assoziiert mit COVID-19-Hesitanz (aPR 4,11, 95%-KI 3,71–4,55). Häufigste Bedenken: Impfwirksamkeit (53,1%), Sicherheit (33,4%), unzureichende Studiendatenoffenlegung (29%).</w:t>
      </w:r>
    </w:p>
    <w:p>
      <w:r>
        <w:rPr>
          <w:b/>
          <w:sz w:val="19"/>
        </w:rPr>
        <w:t xml:space="preserve">Übertragbarkeit: </w:t>
      </w:r>
      <w:r>
        <w:rPr>
          <w:sz w:val="19"/>
        </w:rPr>
        <w:t>China, aber Befunde zu Kommunikationsbedarf und Vertrauensaufbau bei Fachpersonen auf deutsches Vertrauen-in-Institutionen-Problem übertragbar.</w:t>
      </w:r>
    </w:p>
    <w:p>
      <w:r>
        <w:rPr>
          <w:color w:val="5A7D3A"/>
          <w:sz w:val="18"/>
        </w:rPr>
        <w:t>https://pubmed.ncbi.nlm.nih.gov/42837522/</w:t>
      </w:r>
    </w:p>
    <w:p>
      <w:pPr>
        <w:pStyle w:val="Heading2"/>
      </w:pPr>
      <w:r>
        <w:t>RSV-Impfung bei älteren Herzinsuffizienzpatienten: Sterblichkeit sinkt um 49%, ICU-Aufnahmen um 54%</w:t>
      </w:r>
    </w:p>
    <w:p>
      <w:r>
        <w:rPr>
          <w:i/>
          <w:color w:val="666666"/>
          <w:sz w:val="18"/>
        </w:rPr>
        <w:t>Khan A et al.  ·  Clin Cardiol  ·  Okt. 2026  ·  PMID 42836598</w:t>
      </w:r>
    </w:p>
    <w:p>
      <w:r>
        <w:t>Retrospektive Kohorte mit Propensity-Score-Matching verglich RSV-Geimpfte und Ungeimpfte ≥60 Jahre mit Herzinsuffizienz, n=777 pro Gruppe, Nachbeobachtung Mai 2023–Januar 2026.</w:t>
      </w:r>
    </w:p>
    <w:p>
      <w:r>
        <w:rPr>
          <w:b/>
        </w:rPr>
        <w:t xml:space="preserve">Ergebnis: </w:t>
      </w:r>
      <w:r>
        <w:t>Geimpfte hatten signifikant niedrigere Gesamtsterblichkeit (HR 0,51, 95%-KI 0,33–0,79) und weniger ICU-Aufnahmen (2,7% vs. 5,8%, HR 0,46, 95%-KI 0,25–0,86). Kein Unterschied bei Atemwegsversagen (7,3% vs. 9,4%), stationären/Notfallbesuchen oder HI-Verschärfung. Höhere Gesamt-Gesundheitsnutzung in Geimpften (HR 1,85, 95%-KI 1,65–2,08) – hypothesengenerierend für Vermeidung schwerer Atemwegserkrankung.</w:t>
      </w:r>
    </w:p>
    <w:p>
      <w:r>
        <w:rPr>
          <w:b/>
          <w:sz w:val="19"/>
        </w:rPr>
        <w:t xml:space="preserve">Übertragbarkeit: </w:t>
      </w:r>
      <w:r>
        <w:rPr>
          <w:sz w:val="19"/>
        </w:rPr>
        <w:t>USA-Daten (TriNetX), aber Sicherheitsbefund und Mortalitätsvorteil übertragbar.</w:t>
      </w:r>
    </w:p>
    <w:p>
      <w:r>
        <w:rPr>
          <w:color w:val="5A7D3A"/>
          <w:sz w:val="18"/>
        </w:rPr>
        <w:t>https://pubmed.ncbi.nlm.nih.gov/42836598/</w:t>
      </w:r>
    </w:p>
    <w:p>
      <w:pPr>
        <w:pStyle w:val="Heading2"/>
      </w:pPr>
      <w:r>
        <w:t>Impfungen in der Schwangerschaft: Griechische Studie identifiziert Barrieren und Angehörigenedukatoren</w:t>
      </w:r>
    </w:p>
    <w:p>
      <w:r>
        <w:rPr>
          <w:i/>
          <w:color w:val="666666"/>
          <w:sz w:val="18"/>
        </w:rPr>
        <w:t>Psarris A et al.  ·  J Pregnancy  ·  2026  ·  PMID 42836283</w:t>
      </w:r>
    </w:p>
    <w:p>
      <w:r>
        <w:t>Querschnittsstudie zur Impfbereitschaft bei 725 Wöchnerinnen in zwei Athener Kliniken mit Fokus auf COVID-19, Tdap, Influenza und RSV.</w:t>
      </w:r>
    </w:p>
    <w:p>
      <w:r>
        <w:rPr>
          <w:b/>
        </w:rPr>
        <w:t xml:space="preserve">Ergebnis: </w:t>
      </w:r>
      <w:r>
        <w:t>Insgesamt 51,2% erhielten mindestens eine Impfung in der Schwangerschaft: Tdap 42,5%, Influenza 19,6%, COVID-19 3,6%, RSV &lt;1%. Nur 14,62% erhielten mehrere Impfungen. Hauptbarrieren: mangelnde ärztliche Beratung (Site 1: 29,0%, Site 2: 18,6%), persönliche Wahl und Sicherheitsbedenken (Site 2 höher). Höhere Schulbildung und städtischer Wohnort waren unabhängig mit höherer Impfbereitschaft assoziiert.</w:t>
      </w:r>
    </w:p>
    <w:p>
      <w:r>
        <w:rPr>
          <w:b/>
          <w:sz w:val="19"/>
        </w:rPr>
        <w:t xml:space="preserve">Übertragbarkeit: </w:t>
      </w:r>
      <w:r>
        <w:rPr>
          <w:sz w:val="19"/>
        </w:rPr>
        <w:t>Griechenland – deutschsprachiger Raum, vergleichbare Sozialversicherung, aber Mutterschaftsimpfquoten deutlich unter deutschen Empfehlungen.</w:t>
      </w:r>
    </w:p>
    <w:p>
      <w:r>
        <w:rPr>
          <w:color w:val="5A7D3A"/>
          <w:sz w:val="18"/>
        </w:rPr>
        <w:t>https://pubmed.ncbi.nlm.nih.gov/42836283/</w:t>
      </w:r>
    </w:p>
    <w:p>
      <w:pPr>
        <w:pStyle w:val="Heading2"/>
      </w:pPr>
      <w:r>
        <w:t>Grippeimpfung bei Gesundheitsfachpersonen in China: Metaanalyse zeigt 27%-Quote und wirksame Interventionen</w:t>
      </w:r>
    </w:p>
    <w:p>
      <w:r>
        <w:rPr>
          <w:i/>
          <w:color w:val="666666"/>
          <w:sz w:val="18"/>
        </w:rPr>
        <w:t>Xiong L et al.  ·  Front Public Health  ·  21.09.2026  ·  PMID 42835288</w:t>
      </w:r>
    </w:p>
    <w:p>
      <w:r>
        <w:t>Systematische Übersicht mit Metaanalyse von 49 Querschnittsstudien mit 111.544 chinesischen Gesundheitsfachpersonen zur Influenzaimpfquote und beeinflussenden Faktoren.</w:t>
      </w:r>
    </w:p>
    <w:p>
      <w:r>
        <w:rPr>
          <w:b/>
        </w:rPr>
        <w:t xml:space="preserve">Ergebnis: </w:t>
      </w:r>
      <w:r>
        <w:t>Gesamtimpfquote 27% (95%-KI 21–34%). Positiv assoziiert: Alter 40–49 Jahre, weiblich, Einkommen &gt;3.000 RMB, beruflicher Titel, frühere Impfhistorie, institutionelle Ermutigung/Verpflichtung, kostenlose Impfung, Kenntnis des optimalen Zeitpunkts, Impfbereitschaft. Strukturelle Interventionen (kostenlos, Ermutigung, Vor-Ort-Dienste) plus zielgerichtete Strategien für jüngere, männliche, einkommensschwache und impfnaive Personen empfohlen.</w:t>
      </w:r>
    </w:p>
    <w:p>
      <w:r>
        <w:rPr>
          <w:b/>
          <w:sz w:val="19"/>
        </w:rPr>
        <w:t xml:space="preserve">Übertragbarkeit: </w:t>
      </w:r>
      <w:r>
        <w:rPr>
          <w:sz w:val="19"/>
        </w:rPr>
        <w:t>China – Bevölkerungsdaten, aber Erkenntnisse zu Anreizstrukturen und Zugangsbarrieren auf deutsche HCW-Programme übertragbar.</w:t>
      </w:r>
    </w:p>
    <w:p>
      <w:r>
        <w:rPr>
          <w:color w:val="5A7D3A"/>
          <w:sz w:val="18"/>
        </w:rPr>
        <w:t>https://pubmed.ncbi.nlm.nih.gov/42835288/</w:t>
      </w:r>
    </w:p>
    <w:p>
      <w:pPr>
        <w:pStyle w:val="Heading2"/>
      </w:pPr>
      <w:r>
        <w:t>PCV21 versus PCV20 in Deutschland: Pneumokokkenimpfung zeigt Kosteneinsparungen</w:t>
      </w:r>
    </w:p>
    <w:p>
      <w:r>
        <w:rPr>
          <w:i/>
          <w:color w:val="666666"/>
          <w:sz w:val="18"/>
        </w:rPr>
        <w:t>Simuzingili M et al.  ·  Expert Rev Vaccines  ·  05.10.2026  ·  PMID 42834615</w:t>
      </w:r>
    </w:p>
    <w:p>
      <w:r>
        <w:t>Kosten-Effektivitätsanalyse mit angepasstem Markov-Modell verglich PCV21 und PCV20 bei ungeimpften Erwachsenen ≥60 Jahren in Deutschland.</w:t>
      </w:r>
    </w:p>
    <w:p>
      <w:r>
        <w:rPr>
          <w:b/>
        </w:rPr>
        <w:t xml:space="preserve">Ergebnis: </w:t>
      </w:r>
      <w:r>
        <w:t>PCV21 reduzierte gegenüber PCV20 Krankheitsfälle, Todesfälle und direkte Kosten. Aus Kostenträger- und Gesellschaftsperspektive war PCV21 kosteneinsparend. In Sensitivitätsanalysen blieb PCV21 kostenrettend über alle Parametervariationen. PCV21 wurde dominiert nur bei Reduktion des Unterschieds in der NBPP-Erkrankungsabdeckung auf 0,5%.</w:t>
      </w:r>
    </w:p>
    <w:p>
      <w:r>
        <w:rPr>
          <w:b/>
          <w:sz w:val="19"/>
        </w:rPr>
        <w:t xml:space="preserve">Übertragbarkeit: </w:t>
      </w:r>
      <w:r>
        <w:rPr>
          <w:sz w:val="19"/>
        </w:rPr>
        <w:t>Deutschland – Modell auf deutschen Kostendaten, deutsches Gesundheitssystem und Impfkalender.</w:t>
      </w:r>
    </w:p>
    <w:p>
      <w:r>
        <w:rPr>
          <w:color w:val="5A7D3A"/>
          <w:sz w:val="18"/>
        </w:rPr>
        <w:t>https://pubmed.ncbi.nlm.nih.gov/42834615/</w:t>
      </w:r>
    </w:p>
    <w:p>
      <w:pPr>
        <w:pStyle w:val="Heading1"/>
      </w:pPr>
      <w:r>
        <w:t>Aufgenommen am 06.10.2026</w:t>
      </w:r>
    </w:p>
    <w:p>
      <w:pPr>
        <w:pStyle w:val="Heading2"/>
      </w:pPr>
      <w:r>
        <w:t>Massenimpfkampagne gegen Tollwut: 70-Prozent-Abdeckung in Ghana erreicht</w:t>
      </w:r>
    </w:p>
    <w:p>
      <w:r>
        <w:rPr>
          <w:i/>
          <w:color w:val="666666"/>
          <w:sz w:val="18"/>
        </w:rPr>
        <w:t>Dwaah PK et al.  ·  PLoS Negl Trop Dis  ·  05.10.2026  ·  PMID 42832606</w:t>
      </w:r>
    </w:p>
    <w:p>
      <w:r>
        <w:t>Evaluationen einer Eintagskampagne zur Hundeimpfung gegen Tollwut im September 2024 in Techiman Metropolis, Ghana, mit gemischten Methoden.</w:t>
      </w:r>
    </w:p>
    <w:p>
      <w:r>
        <w:rPr>
          <w:b/>
        </w:rPr>
        <w:t xml:space="preserve">Ergebnis: </w:t>
      </w:r>
      <w:r>
        <w:t>Administrative Abdeckung: ca. 70 % (5.600 Hunde), basierend auf Bevölkerungsschätzungen. Bewusstsein für Tollwut (tödlich) stieg von 45 % auf 75 %, für Prävention von 40 % auf 70 %. Barrieren: Impfstoffversorgungsverzögerungen, unzureichende Kühlkette, limitierter Zugang für periurbane Gebiete, keine Strategien für freilebende Hunde.</w:t>
      </w:r>
    </w:p>
    <w:p>
      <w:r>
        <w:rPr>
          <w:b/>
          <w:sz w:val="19"/>
        </w:rPr>
        <w:t xml:space="preserve">Übertragbarkeit: </w:t>
      </w:r>
      <w:r>
        <w:rPr>
          <w:sz w:val="19"/>
        </w:rPr>
        <w:t>Sub-Sahara-Afrika-Kontext; Erkenntnisse zu Logistik, Mehrsektor-Koordination und Monitoring übertragbar auf Impfkampagnen in Ländern mit begrenzter Infrastruktur.</w:t>
      </w:r>
    </w:p>
    <w:p>
      <w:r>
        <w:rPr>
          <w:color w:val="5A7D3A"/>
          <w:sz w:val="18"/>
        </w:rPr>
        <w:t>https://pubmed.ncbi.nlm.nih.gov/42832606/</w:t>
      </w:r>
    </w:p>
    <w:p>
      <w:pPr>
        <w:pStyle w:val="Heading2"/>
      </w:pPr>
      <w:r>
        <w:t>Impfkoordinator*innen: Erinnerungssysteme und flexible Termine erhöhen HPV-Quoten</w:t>
      </w:r>
    </w:p>
    <w:p>
      <w:r>
        <w:rPr>
          <w:i/>
          <w:color w:val="666666"/>
          <w:sz w:val="18"/>
        </w:rPr>
        <w:t>Khatri RA et al.  ·  Hum Vaccin Immunother  ·  05.10.2026  ·  PMID 42832184</w:t>
      </w:r>
    </w:p>
    <w:p>
      <w:r>
        <w:t>Qualitative Studie mit 24 Impfverantwortlichen aus Gesundheitsämtern in Indiana zu Barrieren und Förderern für HPV-Impfquoten bei Jugendlichen.</w:t>
      </w:r>
    </w:p>
    <w:p>
      <w:r>
        <w:rPr>
          <w:b/>
        </w:rPr>
        <w:t xml:space="preserve">Ergebnis: </w:t>
      </w:r>
      <w:r>
        <w:t>Hauptbarrieren für Abschluss der Serie: fehlende Information und Zeitmangel bei Eltern und Jugendlichen. Hauptförderung: automatische Erinnerungssysteme (Terminerinnerungen) und flexible Impfzeiten. Schulpolitik (HPV nicht Pflichtimpfung) wirkte als strukturelle Barriere.</w:t>
      </w:r>
    </w:p>
    <w:p>
      <w:r>
        <w:rPr>
          <w:b/>
          <w:sz w:val="19"/>
        </w:rPr>
        <w:t xml:space="preserve">Übertragbarkeit: </w:t>
      </w:r>
      <w:r>
        <w:rPr>
          <w:sz w:val="19"/>
        </w:rPr>
        <w:t>USA-Studie, aber Erkenntnisse zu Terminmanagement und Erinnerungswesen sind auf deutsches System mit QM-Anforderungen übertragbar.</w:t>
      </w:r>
    </w:p>
    <w:p>
      <w:r>
        <w:rPr>
          <w:color w:val="5A7D3A"/>
          <w:sz w:val="18"/>
        </w:rPr>
        <w:t>https://pubmed.ncbi.nlm.nih.gov/42832184/</w:t>
      </w:r>
    </w:p>
    <w:p>
      <w:pPr>
        <w:pStyle w:val="Heading2"/>
      </w:pPr>
      <w:r>
        <w:t>Hepatitis-B-Impfung in Kyrgyzstan: 3-%-Quote bei Erwachsenen, Barrieren identifiziert</w:t>
      </w:r>
    </w:p>
    <w:p>
      <w:r>
        <w:rPr>
          <w:i/>
          <w:color w:val="666666"/>
          <w:sz w:val="18"/>
        </w:rPr>
        <w:t>Zholdoshev S et al.  ·  Prague Med Rep  ·  2026  ·  PMID 42831606</w:t>
      </w:r>
    </w:p>
    <w:p>
      <w:r>
        <w:t>Screening-Studie in Jalal-Abad (Kirgisistan) zur Hepatitis-B-Impfquote Erwachsener und Barrieren für Immunisierungsprogramme.</w:t>
      </w:r>
    </w:p>
    <w:p>
      <w:r>
        <w:rPr>
          <w:b/>
        </w:rPr>
        <w:t xml:space="preserve">Ergebnis: </w:t>
      </w:r>
      <w:r>
        <w:t>Impfquote nur 3 % (Screening von 2.126 von 71.307 Erwachsenen); HBsAg-Prävalenz 3,3 %. Nach Kampagne 2.483 Personen geimpft, überwiegend Frauen (68,1 %) und Altersgruppe 50–59 Jahre. Barrieren: begrenzte Gesundheitsversorgung, mangelndes Bewusstsein, logistische Hürden. Interventionen: mobile Impfteams, integrierte öffentliche Dienste, kulturangepasste Kampagnen.</w:t>
      </w:r>
    </w:p>
    <w:p>
      <w:r>
        <w:rPr>
          <w:b/>
          <w:sz w:val="19"/>
        </w:rPr>
        <w:t xml:space="preserve">Übertragbarkeit: </w:t>
      </w:r>
      <w:r>
        <w:rPr>
          <w:sz w:val="19"/>
        </w:rPr>
        <w:t>Zentralasien, begrenzte Ressourcen; Erkenntnisse zu Zugangsbarrieren und Geschlechterdisparitäten zeigen Ungleichheitsaspekte.</w:t>
      </w:r>
    </w:p>
    <w:p>
      <w:r>
        <w:rPr>
          <w:color w:val="5A7D3A"/>
          <w:sz w:val="18"/>
        </w:rPr>
        <w:t>https://pubmed.ncbi.nlm.nih.gov/42831606/</w:t>
      </w:r>
    </w:p>
    <w:p>
      <w:pPr>
        <w:pStyle w:val="Heading2"/>
      </w:pPr>
      <w:r>
        <w:t>Grippeimpfung bei Kindern: individuelle statt routinemäßige Entscheidung empfohlen</w:t>
      </w:r>
    </w:p>
    <w:p>
      <w:r>
        <w:rPr>
          <w:i/>
          <w:color w:val="666666"/>
          <w:sz w:val="18"/>
        </w:rPr>
        <w:t>Beneš J  ·  Cas Lek Cesk  ·  2026  ·  PMID 42829827</w:t>
      </w:r>
    </w:p>
    <w:p>
      <w:r>
        <w:t>Narrative Übersichtsarbeit zur Influenzaimpfung bei Kindern mit Analyse von Evidenz zu Effektivität und Indikationen.</w:t>
      </w:r>
    </w:p>
    <w:p>
      <w:r>
        <w:rPr>
          <w:b/>
        </w:rPr>
        <w:t xml:space="preserve">Ergebnis: </w:t>
      </w:r>
      <w:r>
        <w:t>Grippeimpfung reduziert Häufigkeit und Schweregrad, aber Effektivität variiert je nach Situation. Meta-analysen zeigen unzureichende Evidenz für routinemäßige Impfung gesunder Kinder. Impfung sinnvoll bei schweren Immundefekten oder Komorbiditäten. Routine-Schuleingangsimpfung bleibt umstritten.</w:t>
      </w:r>
    </w:p>
    <w:p>
      <w:r>
        <w:rPr>
          <w:b/>
          <w:sz w:val="19"/>
        </w:rPr>
        <w:t xml:space="preserve">Übertragbarkeit: </w:t>
      </w:r>
      <w:r>
        <w:rPr>
          <w:sz w:val="19"/>
        </w:rPr>
        <w:t>Tschechien, vergleichbare europäische Impfkalender-Diskussionen; Befund zur fehlenden Routine-Evidenz bei Gesunden relevant für deutsches STIKO-Abwägen.</w:t>
      </w:r>
    </w:p>
    <w:p>
      <w:r>
        <w:rPr>
          <w:color w:val="5A7D3A"/>
          <w:sz w:val="18"/>
        </w:rPr>
        <w:t>https://pubmed.ncbi.nlm.nih.gov/42829827/</w:t>
      </w:r>
    </w:p>
    <w:p>
      <w:pPr>
        <w:pStyle w:val="Heading2"/>
      </w:pPr>
      <w:r>
        <w:t>Intranasale Interferon-α lenkt Impf-T-Zellen in obere Atemwege</w:t>
      </w:r>
    </w:p>
    <w:p>
      <w:r>
        <w:rPr>
          <w:i/>
          <w:color w:val="666666"/>
          <w:sz w:val="18"/>
        </w:rPr>
        <w:t>Fraser R et al.  ·  Front Immunol  ·  18.09.2026  ·  PMID 42827561</w:t>
      </w:r>
    </w:p>
    <w:p>
      <w:r>
        <w:t>Experimentelle Studie mit SARS-CoV-2-Vakzination als Testfall: intranasales exogenes IFN-α als Adjuvans zu systemischer Impfung.</w:t>
      </w:r>
    </w:p>
    <w:p>
      <w:r>
        <w:rPr>
          <w:b/>
        </w:rPr>
        <w:t xml:space="preserve">Ergebnis: </w:t>
      </w:r>
      <w:r>
        <w:t>Intranasale Gabe von IFN-α (ohne intranasales Antigen) lenkt impfspezifische T-Zell-Reaktionen in die oberen Atemwege, ohne auf intranasale Antigen-Delivery angewiesen zu sein. Neuartiger Weg, um lokale Immunität an Infektionsort zu generieren und Transmission zu unterbrechen.</w:t>
      </w:r>
    </w:p>
    <w:p>
      <w:r>
        <w:rPr>
          <w:b/>
          <w:sz w:val="19"/>
        </w:rPr>
        <w:t xml:space="preserve">Übertragbarkeit: </w:t>
      </w:r>
      <w:r>
        <w:rPr>
          <w:sz w:val="19"/>
        </w:rPr>
        <w:t>UK-Studie, Konzept-proof; übertragbar auf respiratorische Impfprogramme für Influenza, RSV, andere Atemwegsinfekte mit lokalem Fokus.</w:t>
      </w:r>
    </w:p>
    <w:p>
      <w:r>
        <w:rPr>
          <w:color w:val="5A7D3A"/>
          <w:sz w:val="18"/>
        </w:rPr>
        <w:t>https://pubmed.ncbi.nlm.nih.gov/42827561/</w:t>
      </w:r>
    </w:p>
    <w:p>
      <w:pPr>
        <w:pStyle w:val="Heading2"/>
      </w:pPr>
      <w:r>
        <w:t>NK-Zell-Therapien: Europa betont klinische Translation und Sicherheit</w:t>
      </w:r>
    </w:p>
    <w:p>
      <w:r>
        <w:rPr>
          <w:i/>
          <w:color w:val="666666"/>
          <w:sz w:val="18"/>
        </w:rPr>
        <w:t>Knapp LR et al.  ·  Hum Gene Ther  ·  03.08.2026  ·  PMID 42544553</w:t>
      </w:r>
    </w:p>
    <w:p>
      <w:r>
        <w:t>Opinion Paper aus Europäischer Perspektive zur klinischen Translation von Natural-Killer-Zell-Therapien, Ergebnisse eines Workshops März 2026 in Deutschland.</w:t>
      </w:r>
    </w:p>
    <w:p>
      <w:r>
        <w:rPr>
          <w:b/>
        </w:rPr>
        <w:t xml:space="preserve">Ergebnis: </w:t>
      </w:r>
      <w:r>
        <w:t>Sieben CAR-T-Produkte in Europa zugelassen für B-Zell-Malignome. NK-Zellen und γδ T-Zellen zeigen starke intrinsische Zytotoxizität und günstiges Sicherheitsprofil, aber Implementierungshürden bleiben: Manufacturing-Constraints, Kostenbarrieren, begrenzte klinische Daten. Empfehlung: koordinierte internationale Arbeit zu Validierung und Regulatory Harmonisierung.</w:t>
      </w:r>
    </w:p>
    <w:p>
      <w:r>
        <w:rPr>
          <w:b/>
          <w:sz w:val="19"/>
        </w:rPr>
        <w:t xml:space="preserve">Übertragbarkeit: </w:t>
      </w:r>
      <w:r>
        <w:rPr>
          <w:sz w:val="19"/>
        </w:rPr>
        <w:t>Deutsche und europäische Kliniken, vergleichbare Regulierung; direkt anwendbar auf Implementierungsplanung.</w:t>
      </w:r>
    </w:p>
    <w:p>
      <w:r>
        <w:rPr>
          <w:color w:val="5A7D3A"/>
          <w:sz w:val="18"/>
        </w:rPr>
        <w:t>https://pubmed.ncbi.nlm.nih.gov/42544553/</w:t>
      </w:r>
    </w:p>
    <w:p>
      <w:pPr>
        <w:pStyle w:val="Heading1"/>
      </w:pPr>
      <w:r>
        <w:t>Aufgenommen am 05.10.2026</w:t>
      </w:r>
    </w:p>
    <w:p>
      <w:pPr>
        <w:pStyle w:val="Heading2"/>
      </w:pPr>
      <w:r>
        <w:t>Torque-Teno-Virus-Viruslast verbessert Vorhersage der SARS-CoV-2-Serokonversion bei Nierentransplantation</w:t>
      </w:r>
    </w:p>
    <w:p>
      <w:r>
        <w:rPr>
          <w:i/>
          <w:color w:val="666666"/>
          <w:sz w:val="18"/>
        </w:rPr>
        <w:t>Hermida E et al.  ·  Clin Transplant  ·  Okt. 2026  ·  PMID 42829947</w:t>
      </w:r>
    </w:p>
    <w:p>
      <w:r>
        <w:t>Prospektive Kohortenstudie in argentinischen Nierentransplantierten (KTPs) zur Vorhersage der Serokonversion nach COVID-19-Impfung mittels TTV-Viruslast und klinischer Variablen.</w:t>
      </w:r>
    </w:p>
    <w:p>
      <w:r>
        <w:rPr>
          <w:b/>
        </w:rPr>
        <w:t xml:space="preserve">Ergebnis: </w:t>
      </w:r>
      <w:r>
        <w:t>Serokonversionsraten: 16,9% nach vollständiger Impfung, 21,9% nach einer Auffrischung, 55,5% nach zwei Auffrischungen. TTV-Viruslast allein zeigte bescheidene Vorhersagekraft (AUC 0,634). Ein erweitertes Modell mit TTV + klinischen/Impfvariablen verbesserte die Vorhersage erheblich (AUC 0,814) mit NPV 90,0%. Multifaktorielle Ansätze können Impfstrategien bei immungeschwächten Patienten optimieren.</w:t>
      </w:r>
    </w:p>
    <w:p>
      <w:r>
        <w:rPr>
          <w:b/>
          <w:sz w:val="19"/>
        </w:rPr>
        <w:t xml:space="preserve">Übertragbarkeit: </w:t>
      </w:r>
      <w:r>
        <w:rPr>
          <w:sz w:val="19"/>
        </w:rPr>
        <w:t>Argentinien, Transplantationsmedizin, Modellansatz auf deutsche Zentren übertragbar</w:t>
      </w:r>
    </w:p>
    <w:p>
      <w:r>
        <w:rPr>
          <w:color w:val="5A7D3A"/>
          <w:sz w:val="18"/>
        </w:rPr>
        <w:t>https://pubmed.ncbi.nlm.nih.gov/42829947/</w:t>
      </w:r>
    </w:p>
    <w:p>
      <w:pPr>
        <w:pStyle w:val="Heading2"/>
      </w:pPr>
      <w:r>
        <w:t>WHO-Fragebogen zu Verhaltensfaktoren bei Grippeimpfung validiert in Australien</w:t>
      </w:r>
    </w:p>
    <w:p>
      <w:r>
        <w:rPr>
          <w:i/>
          <w:color w:val="666666"/>
          <w:sz w:val="18"/>
        </w:rPr>
        <w:t>Sabahelzain MM et al.  ·  Hum Vaccin Immunother  ·  04.10.2026  ·  PMID 42829802</w:t>
      </w:r>
    </w:p>
    <w:p>
      <w:r>
        <w:t>Validierungsstudie des WHO-BeSD-Fragebogens zu sozialen und verhaltensbezogenen Treibern der Grippeimpfung in Australien mit kognitiven Interviews und psychometrischer Analyse.</w:t>
      </w:r>
    </w:p>
    <w:p>
      <w:r>
        <w:rPr>
          <w:b/>
        </w:rPr>
        <w:t xml:space="preserve">Ergebnis: </w:t>
      </w:r>
      <w:r>
        <w:t>Nach kognitiven Interviews mit 16 Erwachsenen wurden 9 von 31 Items überarbeitet. Psychometrische Auswertung von 2055 Respondenten identifizierte 5 Faktoren (Denken/Fühlen, soziale Prozesse, Motivation, praktische Fragen). Jedes Item korrelierte mit Impfintention, besonders Items zu wahrgenommener Impfwichtigkeit und sozialer Verantwortung. Fragebogen validiert, weitere Tests in verschiedenen Kontexten empfohlen.</w:t>
      </w:r>
    </w:p>
    <w:p>
      <w:r>
        <w:rPr>
          <w:b/>
          <w:sz w:val="19"/>
        </w:rPr>
        <w:t xml:space="preserve">Übertragbarkeit: </w:t>
      </w:r>
      <w:r>
        <w:rPr>
          <w:sz w:val="19"/>
        </w:rPr>
        <w:t>Australien, ähnlicher Versorgungskontext, Fragebogen-Tool transferierbar</w:t>
      </w:r>
    </w:p>
    <w:p>
      <w:r>
        <w:rPr>
          <w:color w:val="5A7D3A"/>
          <w:sz w:val="18"/>
        </w:rPr>
        <w:t>https://pubmed.ncbi.nlm.nih.gov/42829802/</w:t>
      </w:r>
    </w:p>
    <w:p>
      <w:pPr>
        <w:pStyle w:val="Heading2"/>
      </w:pPr>
      <w:r>
        <w:t>Türkische Eltern in den USA berichten Barrieren in der Impfaufklärung und Vertrauenslücken</w:t>
      </w:r>
    </w:p>
    <w:p>
      <w:r>
        <w:rPr>
          <w:i/>
          <w:color w:val="666666"/>
          <w:sz w:val="18"/>
        </w:rPr>
        <w:t>Çelik E et al.  ·  Front Public Health  ·  18.09.2026  ·  PMID 42827996</w:t>
      </w:r>
    </w:p>
    <w:p>
      <w:r>
        <w:t>Qualitative Interviewstudie mit 13 türkischen Migranteneltern in den USA zur Aufklärung und informed consent für Kinderimpfungen bei verpflichtender Schuleinschulung.</w:t>
      </w:r>
    </w:p>
    <w:p>
      <w:r>
        <w:rPr>
          <w:b/>
        </w:rPr>
        <w:t xml:space="preserve">Ergebnis: </w:t>
      </w:r>
      <w:r>
        <w:t>Vier Hauptthemen: (1) technische Sprache und Verständnisschwierigkeiten; (2) fehlende ethische Kompetenz in der klinischen Kommunikation; (3) Impfmandate verschieben Aufklärung zu bloßer Compliance; (4) Eltern suchen eigenständig religiöse und Zutat-Informationen, da klinische Beratung diese nicht abdeckt. Formale religiöse Leitlinien in USA wenig bekannt, anders als in muslimischen Ländern mit koordinierter Anleitung.</w:t>
      </w:r>
    </w:p>
    <w:p>
      <w:r>
        <w:rPr>
          <w:b/>
          <w:sz w:val="19"/>
        </w:rPr>
        <w:t xml:space="preserve">Übertragbarkeit: </w:t>
      </w:r>
      <w:r>
        <w:rPr>
          <w:sz w:val="19"/>
        </w:rPr>
        <w:t>USA-Kontext, aber Befunde zu Informationsgap und Sprachbarrieren für Deutschland relevant</w:t>
      </w:r>
    </w:p>
    <w:p>
      <w:r>
        <w:rPr>
          <w:color w:val="5A7D3A"/>
          <w:sz w:val="18"/>
        </w:rPr>
        <w:t>https://pubmed.ncbi.nlm.nih.gov/42827996/</w:t>
      </w:r>
    </w:p>
    <w:p>
      <w:pPr>
        <w:pStyle w:val="Heading2"/>
      </w:pPr>
      <w:r>
        <w:t>Impfquoten und Impfeinstellungen unterscheiden sich stark zwischen Stadt und Land in Polen</w:t>
      </w:r>
    </w:p>
    <w:p>
      <w:r>
        <w:rPr>
          <w:i/>
          <w:color w:val="666666"/>
          <w:sz w:val="18"/>
        </w:rPr>
        <w:t>Stefanicka-Wojtas D et al.  ·  Front Public Health  ·  18.09.2026  ·  PMID 42827868</w:t>
      </w:r>
    </w:p>
    <w:p>
      <w:r>
        <w:t>Querschnittsstudie in drei polnischen Hausarztpraxen (Großstadt, Kleinstadt, ländlich) zur Impfbereitschaft, selbstberichteten Nebenwirkungen und Determinanten der Grippeimpfung.</w:t>
      </w:r>
    </w:p>
    <w:p>
      <w:r>
        <w:rPr>
          <w:b/>
        </w:rPr>
        <w:t xml:space="preserve">Ergebnis: </w:t>
      </w:r>
      <w:r>
        <w:t>Impfquoten unterschieden sich deutlich nach Wohnort (p&lt;0,001): 100% im ländlichen Zentrum vs. 73–76% in städtischen Zentren. Selbstberichtete Nebenwirkungen waren selten auf dem Land (7,1%), am häufigsten in der Großstadt (20,0%, p&lt;0,001). In adjustierten Modellen: frühere Infektionserfahrung und respiratorische Komorbiditäten hingen mit höheren Odds für Grippe- (OR 11,0; 3,9) und COVID-19-Impfung (OR 3,6; 2,8) zusammen. Dies zeigt, dass Vertrauen in Gesundheitssystem und Informationsverfügbarkeit stark variieren und lokale Kommunikationsstrategien nötig sind.</w:t>
      </w:r>
    </w:p>
    <w:p>
      <w:r>
        <w:rPr>
          <w:b/>
          <w:sz w:val="19"/>
        </w:rPr>
        <w:t xml:space="preserve">Übertragbarkeit: </w:t>
      </w:r>
      <w:r>
        <w:rPr>
          <w:sz w:val="19"/>
        </w:rPr>
        <w:t>Polen, europäisches Primärversorgungssystem, direkt vergleichbar mit Deutschland</w:t>
      </w:r>
    </w:p>
    <w:p>
      <w:r>
        <w:rPr>
          <w:color w:val="5A7D3A"/>
          <w:sz w:val="18"/>
        </w:rPr>
        <w:t>https://pubmed.ncbi.nlm.nih.gov/42827868/</w:t>
      </w:r>
    </w:p>
    <w:p>
      <w:pPr>
        <w:pStyle w:val="Heading2"/>
      </w:pPr>
      <w:r>
        <w:t>Mütterliche RSV-Impfung schützt Säuglinge vor schweren Atemwegsinfektionen – Metaanalyse</w:t>
      </w:r>
    </w:p>
    <w:p>
      <w:r>
        <w:rPr>
          <w:i/>
          <w:color w:val="666666"/>
          <w:sz w:val="18"/>
        </w:rPr>
        <w:t>Kucukbas Ozonder GN et al.  ·  Front Public Health  ·  18.09.2026  ·  PMID 42827513</w:t>
      </w:r>
    </w:p>
    <w:p>
      <w:r>
        <w:t>Systematische Übersicht und Metaanalyse von 24 Studien (9 RCTs, 15 Beobachtungsstudien) zur Wirksamkeit maternaler RSV-Impfung gegen Säuglings-Bronchiolitis.</w:t>
      </w:r>
    </w:p>
    <w:p>
      <w:r>
        <w:rPr>
          <w:b/>
        </w:rPr>
        <w:t xml:space="preserve">Ergebnis: </w:t>
      </w:r>
      <w:r>
        <w:t>Gepoolte Impfeffektivität gegen RSV-assoziierte Krankenhauseinweisung 79,7% (95% KI 73,9–84,2) in den ersten 3 Monaten, 68,1% (57,1–76,3) bis 6 Monate. Randomisierte Effizienz gegen schwere RSV-LRTI 70%, gegen ärztlich behandelte RSV-LRTI 51,5% (36,3–63,1). Preterm-Geburten modest erhöht in RCTs (RR 1,17), aber Signal nicht robust. Evidenzsicherheit moderat.</w:t>
      </w:r>
    </w:p>
    <w:p>
      <w:r>
        <w:rPr>
          <w:b/>
          <w:sz w:val="19"/>
        </w:rPr>
        <w:t xml:space="preserve">Übertragbarkeit: </w:t>
      </w:r>
      <w:r>
        <w:rPr>
          <w:sz w:val="19"/>
        </w:rPr>
        <w:t>Randomisierte und reale Daten zeigen Übereinstimmung, international übertragbar</w:t>
      </w:r>
    </w:p>
    <w:p>
      <w:r>
        <w:rPr>
          <w:color w:val="5A7D3A"/>
          <w:sz w:val="18"/>
        </w:rPr>
        <w:t>https://pubmed.ncbi.nlm.nih.gov/42827513/</w:t>
      </w:r>
    </w:p>
    <w:p>
      <w:pPr>
        <w:pStyle w:val="Heading2"/>
      </w:pPr>
      <w:r>
        <w:t>Psychologische Faktoren bei Impfskepsis: Neuer Fragebogen zur Messung (PF-HBQ)</w:t>
      </w:r>
    </w:p>
    <w:p>
      <w:r>
        <w:rPr>
          <w:i/>
          <w:color w:val="666666"/>
          <w:sz w:val="18"/>
        </w:rPr>
        <w:t>De Biase R et al.  ·  Front Public Health  ·  18.09.2026  ·  PMID 42827459</w:t>
      </w:r>
    </w:p>
    <w:p>
      <w:r>
        <w:t>Psychometrische Entwicklung und Validierung des Psychological Factors in Healthcare Behavior Questionnaire (PF-HBQ) zur Erfassung psychologischer Einflussfaktoren auf Impfentscheidungen.</w:t>
      </w:r>
    </w:p>
    <w:p>
      <w:r>
        <w:rPr>
          <w:b/>
        </w:rPr>
        <w:t xml:space="preserve">Ergebnis: </w:t>
      </w:r>
      <w:r>
        <w:t>Zwei Studien: Study 1 (N=472) bestätigte 9 psychologische Faktoren (Misstrauen, Distress, Extraversion, Offenheit, Prokrastination, depressive Symptome, posttraumatische Symptome, zwanghafte Züge, emotionale Stabilität) mit guter Reliabilität. Study 2 (N=192) zeigte signifikante Unterschiede zwischen Impfskeptikern und Nicht-Skeptikern. PF-HBQ ist zuverlässiges Werkzeug zur Charakterisierung psychologischer Profile bei Impfentscheidungen.</w:t>
      </w:r>
    </w:p>
    <w:p>
      <w:r>
        <w:rPr>
          <w:b/>
          <w:sz w:val="19"/>
        </w:rPr>
        <w:t xml:space="preserve">Übertragbarkeit: </w:t>
      </w:r>
      <w:r>
        <w:rPr>
          <w:sz w:val="19"/>
        </w:rPr>
        <w:t>Italien, psychometrisches Instrument, kulturübergreifend adaptierbar</w:t>
      </w:r>
    </w:p>
    <w:p>
      <w:r>
        <w:rPr>
          <w:color w:val="5A7D3A"/>
          <w:sz w:val="18"/>
        </w:rPr>
        <w:t>https://pubmed.ncbi.nlm.nih.gov/42827459/</w:t>
      </w:r>
    </w:p>
    <w:p>
      <w:pPr>
        <w:pStyle w:val="Heading1"/>
      </w:pPr>
      <w:r>
        <w:t>Aufgenommen am 04.10.2026</w:t>
      </w:r>
    </w:p>
    <w:p>
      <w:pPr>
        <w:pStyle w:val="Heading2"/>
      </w:pPr>
      <w:r>
        <w:t>Impfverantwortung in Familie und System: Wie russische Mütter Impfentscheidungen treffen</w:t>
      </w:r>
    </w:p>
    <w:p>
      <w:r>
        <w:rPr>
          <w:i/>
          <w:color w:val="666666"/>
          <w:sz w:val="18"/>
        </w:rPr>
        <w:t>Borozdina E  ·  Sociol Health Illn  ·  Nov. 2026  ·  PMID 42823783</w:t>
      </w:r>
    </w:p>
    <w:p>
      <w:r>
        <w:t>Qualitative Interviews mit impfskeptischen russischen Müttern zeigten, dass Impfentscheidungen nicht individuell getroffen werden, sondern eingebettet sind in Familiennetzwerke und durch unzureichende institutionelle Unterstützung bei hoher Eigenverantwortung geprägt sind.</w:t>
      </w:r>
    </w:p>
    <w:p>
      <w:r>
        <w:rPr>
          <w:b/>
        </w:rPr>
        <w:t xml:space="preserve">Ergebnis: </w:t>
      </w:r>
      <w:r>
        <w:t>Impfskepsis entsteht nicht primär aus individualistischer Haltung, sondern aus dem Misstrauen gegenüber Institutionen, die Eigenverantwortung verlangen ohne sie zu unterstützen; familiäre Netzwerke sind zentral für Entscheidungsfindung.</w:t>
      </w:r>
    </w:p>
    <w:p>
      <w:r>
        <w:rPr>
          <w:b/>
          <w:sz w:val="19"/>
        </w:rPr>
        <w:t xml:space="preserve">Übertragbarkeit: </w:t>
      </w:r>
      <w:r>
        <w:rPr>
          <w:sz w:val="19"/>
        </w:rPr>
        <w:t>Russland – System mit neoliberalen Tendenzen und Staatskontrolle, teilweise vergleichbar zu osteuropäischen Transformationsgesellschaften</w:t>
      </w:r>
    </w:p>
    <w:p>
      <w:r>
        <w:rPr>
          <w:color w:val="5A7D3A"/>
          <w:sz w:val="18"/>
        </w:rPr>
        <w:t>https://pubmed.ncbi.nlm.nih.gov/42823783/</w:t>
      </w:r>
    </w:p>
    <w:p>
      <w:pPr>
        <w:pStyle w:val="Heading2"/>
      </w:pPr>
      <w:r>
        <w:t>Guillain-Barré-Syndrom nach RSV-Vakzinierung: Fallbericht und diagnostische Lektionen</w:t>
      </w:r>
    </w:p>
    <w:p>
      <w:r>
        <w:rPr>
          <w:i/>
          <w:color w:val="666666"/>
          <w:sz w:val="18"/>
        </w:rPr>
        <w:t>Hreiz S et al.  ·  BMJ Case Rep  ·  01.10.2026  ·  PMID 42823139</w:t>
      </w:r>
    </w:p>
    <w:p>
      <w:r>
        <w:t>Fallbericht einer älteren Patientin mit Guillain-Barré-Syndrom zwei Wochen nach RSV-Impfung, die zunächst fehldiagnostiziert wurde, intensive Behandlung mit IVIG erforderte und sich nur partiell erholte.</w:t>
      </w:r>
    </w:p>
    <w:p>
      <w:r>
        <w:rPr>
          <w:b/>
        </w:rPr>
        <w:t xml:space="preserve">Ergebnis: </w:t>
      </w:r>
      <w:r>
        <w:t>Ein dokumentierter Fall eines Guillain-Barré-Syndroms mit zeitlichem Zusammenhang zur RSV-Vakzinierung; seltene, aber wichtige Nebenwirkung, die Notwendigkeit serieller klinischer Beurteilung und früher Eskalation unterstreicht.</w:t>
      </w:r>
    </w:p>
    <w:p>
      <w:r>
        <w:rPr>
          <w:b/>
          <w:sz w:val="19"/>
        </w:rPr>
        <w:t xml:space="preserve">Übertragbarkeit: </w:t>
      </w:r>
      <w:r>
        <w:rPr>
          <w:sz w:val="19"/>
        </w:rPr>
        <w:t>Großbritannien – vergleichbares Gesundheitssystem, Vigilanzmeldung in europäischer Sicherheitsüberwachung relevant</w:t>
      </w:r>
    </w:p>
    <w:p>
      <w:r>
        <w:rPr>
          <w:color w:val="5A7D3A"/>
          <w:sz w:val="18"/>
        </w:rPr>
        <w:t>https://pubmed.ncbi.nlm.nih.gov/42823139/</w:t>
      </w:r>
    </w:p>
    <w:p>
      <w:pPr>
        <w:pStyle w:val="Heading2"/>
      </w:pPr>
      <w:r>
        <w:t>Hepatitis-B-Impfantwortraten bei Hämodialysepatienten: Prädiktoren und Responderraten</w:t>
      </w:r>
    </w:p>
    <w:p>
      <w:r>
        <w:rPr>
          <w:i/>
          <w:color w:val="666666"/>
          <w:sz w:val="18"/>
        </w:rPr>
        <w:t>Gupta RD et al.  ·  Mymensingh Med J  ·  Okt. 2026  ·  PMID 42811835</w:t>
      </w:r>
    </w:p>
    <w:p>
      <w:r>
        <w:t>Querschnittstudie mit 50 Hämodialysepatienten in Bangladesch zur Messung von Anti-HBs-Titern nach Hepatitis-B-Impfung und Identifikation von Prädiktoren der Impfantwort.</w:t>
      </w:r>
    </w:p>
    <w:p>
      <w:r>
        <w:rPr>
          <w:b/>
        </w:rPr>
        <w:t xml:space="preserve">Ergebnis: </w:t>
      </w:r>
      <w:r>
        <w:t>Gesamtansprechquote 64%: 38% Hochresponder (Anti-HBs ≥100 mIU/ml), 26% schwache Responder (≥10 bis &lt;100 mIU/ml), 36% Nicht-Responder (&lt;10 mIU/ml); Alter &gt;50 Jahre, Diabetes und niedriges Serumalbmin waren signifikante Prädiktoren für schwache/keine Antwort (p&lt;0,05).</w:t>
      </w:r>
    </w:p>
    <w:p>
      <w:r>
        <w:rPr>
          <w:b/>
          <w:sz w:val="19"/>
        </w:rPr>
        <w:t xml:space="preserve">Übertragbarkeit: </w:t>
      </w:r>
      <w:r>
        <w:rPr>
          <w:sz w:val="19"/>
        </w:rPr>
        <w:t>Bangladesch – ähnliche Dialysepopulation, generalisierbar auf Hochrisikogruppen mit Malnutrition</w:t>
      </w:r>
    </w:p>
    <w:p>
      <w:r>
        <w:rPr>
          <w:color w:val="5A7D3A"/>
          <w:sz w:val="18"/>
        </w:rPr>
        <w:t>https://pubmed.ncbi.nlm.nih.gov/42811835/</w:t>
      </w:r>
    </w:p>
    <w:p>
      <w:pPr>
        <w:pStyle w:val="Heading2"/>
      </w:pPr>
      <w:r>
        <w:t>COVID-19-Impfeffektivität unter Alltagsbedingungen: Direkte und indirekte Effekte in Victoria, Australien</w:t>
      </w:r>
    </w:p>
    <w:p>
      <w:r>
        <w:rPr>
          <w:i/>
          <w:color w:val="666666"/>
          <w:sz w:val="18"/>
        </w:rPr>
        <w:t>Lin L et al.  ·  J R Soc Interface  ·  30.09.2026  ·  PMID 42811612</w:t>
      </w:r>
    </w:p>
    <w:p>
      <w:r>
        <w:t>Bevölkerungsbasierte Modellstudie mit 6,44 Millionen Einwohnern Victorias zur Quantifizierung der direkten und indirekten (Herden-)Schutzeffekte von COVID-19-Impfung während der Delta-Welle 2021.</w:t>
      </w:r>
    </w:p>
    <w:p>
      <w:r>
        <w:rPr>
          <w:b/>
        </w:rPr>
        <w:t xml:space="preserve">Ergebnis: </w:t>
      </w:r>
      <w:r>
        <w:t>Konservativ geschätzt: 315.000 Infektionen (95% BCI: 231k–406k), 33.400 Hospitalisierungen (95% BCI: 22k–46k) und 4.900 Todesfälle (95% BCI: 2,8k–7,2k) vermieden; diese Zahlen sind 4,0–, 7,5– und 8,0-fach höher als die beobachtete Fallzahl. Etwa die Hälfte der vermiedenen Infektionen und ein Viertel der Hospitalisierungen/Todesfälle gingen auf indirekten Schutz zurück.</w:t>
      </w:r>
    </w:p>
    <w:p>
      <w:r>
        <w:rPr>
          <w:b/>
          <w:sz w:val="19"/>
        </w:rPr>
        <w:t xml:space="preserve">Übertragbarkeit: </w:t>
      </w:r>
      <w:r>
        <w:rPr>
          <w:sz w:val="19"/>
        </w:rPr>
        <w:t>Australien – ähnliche Impfinfrastruktur wie Westeuropa, Bevölkerungsdaten robust</w:t>
      </w:r>
    </w:p>
    <w:p>
      <w:r>
        <w:rPr>
          <w:color w:val="5A7D3A"/>
          <w:sz w:val="18"/>
        </w:rPr>
        <w:t>https://pubmed.ncbi.nlm.nih.gov/42811612/</w:t>
      </w:r>
    </w:p>
    <w:p>
      <w:pPr>
        <w:pStyle w:val="Heading2"/>
      </w:pPr>
      <w:r>
        <w:t>HPV-Impfwissen und -akzeptanz bei Studierenden in Malaysia: Lücken trotz positiver Einstellung</w:t>
      </w:r>
    </w:p>
    <w:p>
      <w:r>
        <w:rPr>
          <w:i/>
          <w:color w:val="666666"/>
          <w:sz w:val="18"/>
        </w:rPr>
        <w:t>Lim MSH et al.  ·  Asian Pac J Cancer Prev  ·  01.09.2026  ·  PMID 42808405</w:t>
      </w:r>
    </w:p>
    <w:p>
      <w:r>
        <w:t>Querschnittstudie mit 382 Undergraduate-Studierenden in Sarawak zur Erhebung von HPV-Wissen, Einstellungen und Impfquoten; 55% waren ungeimpft.</w:t>
      </w:r>
    </w:p>
    <w:p>
      <w:r>
        <w:rPr>
          <w:b/>
        </w:rPr>
        <w:t xml:space="preserve">Ergebnis: </w:t>
      </w:r>
      <w:r>
        <w:t>HPV-Wissen moderat: Studierende aus Gesundheitsfachrichtungen zeigten höheres Wissen (aOR 2,0, 95% CI 1,1–3,5); Geimpfte hatten signifikant höheres Wissen (aOR 1,9, 95% CI 1,2–3,0). Einstellungen überwiegend positiv, aber Bedenken bezüglich Kosten, Sicherheit und sozialer Stigmatisierung blieben bestehen.</w:t>
      </w:r>
    </w:p>
    <w:p>
      <w:r>
        <w:rPr>
          <w:b/>
          <w:sz w:val="19"/>
        </w:rPr>
        <w:t xml:space="preserve">Übertragbarkeit: </w:t>
      </w:r>
      <w:r>
        <w:rPr>
          <w:sz w:val="19"/>
        </w:rPr>
        <w:t>Malaysia – mittleres Einkommen, nationales HPV-Programm, ähnliche schulische Erreichbarkeit wie Schwellenländer</w:t>
      </w:r>
    </w:p>
    <w:p>
      <w:r>
        <w:rPr>
          <w:color w:val="5A7D3A"/>
          <w:sz w:val="18"/>
        </w:rPr>
        <w:t>https://pubmed.ncbi.nlm.nih.gov/42808405/</w:t>
      </w:r>
    </w:p>
    <w:p>
      <w:pPr>
        <w:pStyle w:val="Heading2"/>
      </w:pPr>
      <w:r>
        <w:t>Masernimpfversagen bei Reiserückkehrern: Zwei Fallbeispiele aus Deutschland</w:t>
      </w:r>
    </w:p>
    <w:p>
      <w:r>
        <w:rPr>
          <w:i/>
          <w:color w:val="666666"/>
          <w:sz w:val="18"/>
        </w:rPr>
        <w:t>Schnell AP et al.  ·  Inn Med (Heidelb)  ·  08.09.2026  ·  PMID 42709141</w:t>
      </w:r>
    </w:p>
    <w:p>
      <w:r>
        <w:t>Fallbericht von zwei Masernpatienten nach Auslandsreisen, davon einer mit primärem Impfversagen nach Einfachimpfung mit schwerer Pneumonitis und einer mit sekundärem Impfversagen und atypischem Exanthem bei vermuteter Immundefizienz.</w:t>
      </w:r>
    </w:p>
    <w:p>
      <w:r>
        <w:rPr>
          <w:b/>
        </w:rPr>
        <w:t xml:space="preserve">Ergebnis: </w:t>
      </w:r>
      <w:r>
        <w:t>Zwei dokumentierte Masernfälle in Deutschland trotz Impfung – ein Fall mit primärem, einer mit sekundärem Impfversagen; Masern bleiben relevante Differenzialdiagnose auch bei Geimpften, reisemedizinische Beratung sollte Impfstatus erfassen.</w:t>
      </w:r>
    </w:p>
    <w:p>
      <w:r>
        <w:rPr>
          <w:b/>
          <w:sz w:val="19"/>
        </w:rPr>
        <w:t xml:space="preserve">Übertragbarkeit: </w:t>
      </w:r>
      <w:r>
        <w:rPr>
          <w:sz w:val="19"/>
        </w:rPr>
        <w:t>Deutsche Klinikdaten mit reisemedizinischem Bezug und Impfversagensursachen klinisch relevant</w:t>
      </w:r>
    </w:p>
    <w:p>
      <w:r>
        <w:rPr>
          <w:color w:val="5A7D3A"/>
          <w:sz w:val="18"/>
        </w:rPr>
        <w:t>https://pubmed.ncbi.nlm.nih.gov/42709141/</w:t>
      </w:r>
    </w:p>
    <w:p>
      <w:pPr>
        <w:pStyle w:val="Heading1"/>
      </w:pPr>
      <w:r>
        <w:t>Aufgenommen am 03.10.2026</w:t>
      </w:r>
    </w:p>
    <w:p>
      <w:pPr>
        <w:pStyle w:val="Heading2"/>
      </w:pPr>
      <w:r>
        <w:t>Impfquoten bei erwachsenen Diabetespatienten auf den Philippinen: Impfhürden und Chancen</w:t>
      </w:r>
    </w:p>
    <w:p>
      <w:r>
        <w:rPr>
          <w:i/>
          <w:color w:val="666666"/>
          <w:sz w:val="18"/>
        </w:rPr>
        <w:t>Jacobo RJB et al.  ·  Hum Vaccin Immunother  ·  02.10.2026  ·  PMID 42826175</w:t>
      </w:r>
    </w:p>
    <w:p>
      <w:r>
        <w:t>Querschnittstudie mit 284 philippinischen Erwachsenen mit Diabetes zur Erfassung von Impfquoten gegen Influenza, Pneumokokken, Herpes zoster, Hepatitis B, Tetanus und COVID-19 sowie Prädiktoren für Impfung.</w:t>
      </w:r>
    </w:p>
    <w:p>
      <w:r>
        <w:rPr>
          <w:b/>
        </w:rPr>
        <w:t xml:space="preserve">Ergebnis: </w:t>
      </w:r>
      <w:r>
        <w:t>Impfquoten: Influenza 44,4 %, Pneumokokken 49,6 %, Herpes zoster 18,1 %, Hepatitis B 15,5 %, Td/Tdap 23,2 %, COVID-19 97,9 %. Männliches Geschlecht, niedrigeres Alter und niedrigeres Einkommen waren mit niedrigeren Quoten assoziiert. Ärztliche Empfehlung war stärkster Prädiktor für alle Impfungen. Häufigste Gründe für Nicht-Impfung: fehlende Empfehlung (62–82 %), finanzielle Hürden (36–52 %), Impfen nicht als Priorität.</w:t>
      </w:r>
    </w:p>
    <w:p>
      <w:r>
        <w:rPr>
          <w:b/>
          <w:sz w:val="19"/>
        </w:rPr>
        <w:t xml:space="preserve">Übertragbarkeit: </w:t>
      </w:r>
      <w:r>
        <w:rPr>
          <w:sz w:val="19"/>
        </w:rPr>
        <w:t>Niedrig-mittleres Einkommen; Befunde zu Barrierenadressierung auf DACH begrenzt übertragbar</w:t>
      </w:r>
    </w:p>
    <w:p>
      <w:r>
        <w:rPr>
          <w:color w:val="5A7D3A"/>
          <w:sz w:val="18"/>
        </w:rPr>
        <w:t>https://pubmed.ncbi.nlm.nih.gov/42826175/</w:t>
      </w:r>
    </w:p>
    <w:p>
      <w:pPr>
        <w:pStyle w:val="Heading2"/>
      </w:pPr>
      <w:r>
        <w:t>Influenza-Impfeffektivität bei älteren Erwachsenen während Delta-Dominanz in China 2024–2025</w:t>
      </w:r>
    </w:p>
    <w:p>
      <w:r>
        <w:rPr>
          <w:i/>
          <w:color w:val="666666"/>
          <w:sz w:val="18"/>
        </w:rPr>
        <w:t>Liu X et al.  ·  BMC Geriatr  ·  25.07.2026  ·  PMID 42823662</w:t>
      </w:r>
    </w:p>
    <w:p>
      <w:r>
        <w:t>Multizenter Test-Negativ-Studie mit 4.694 älteren Patienten (≥60 Jahre) in der Provinz Zhejiang zur Messung der Impfeffektivität gegen A(H1N1)pdm09 unter Routinebedingungen.</w:t>
      </w:r>
    </w:p>
    <w:p>
      <w:r>
        <w:rPr>
          <w:b/>
        </w:rPr>
        <w:t xml:space="preserve">Ergebnis: </w:t>
      </w:r>
      <w:r>
        <w:t>Gesamteffektivität 53,3 % (95%-KI 45,4–60,2), nach Altersgruppe 56,9 % (60–69 Jahre), 51,2 % (70–79 Jahre), 57,7 % (≥80 Jahre). Effektivität gegen Hospitalisierung 53,9 % (95%-KI 37,3–66,0), gegen moderate bis schwere Influenza 68,8 % (95%-KI 50,0–80,6). Schutz sank von 58,0 % (37–71 Tage post-vakzination) auf 42,8 % (60–180 Tage). Impfquote 32,7 %.</w:t>
      </w:r>
    </w:p>
    <w:p>
      <w:r>
        <w:rPr>
          <w:b/>
          <w:sz w:val="19"/>
        </w:rPr>
        <w:t xml:space="preserve">Übertragbarkeit: </w:t>
      </w:r>
      <w:r>
        <w:rPr>
          <w:sz w:val="19"/>
        </w:rPr>
        <w:t>China-Studie; Labor-Bestätigung und Test-Negativ-Design sind übertragbar</w:t>
      </w:r>
    </w:p>
    <w:p>
      <w:r>
        <w:rPr>
          <w:color w:val="5A7D3A"/>
          <w:sz w:val="18"/>
        </w:rPr>
        <w:t>https://pubmed.ncbi.nlm.nih.gov/42823662/</w:t>
      </w:r>
    </w:p>
    <w:p>
      <w:pPr>
        <w:pStyle w:val="Heading2"/>
      </w:pPr>
      <w:r>
        <w:t>CAR-T-Therapie versus allogene Stammzelltransplantation bei refraktärem großzelligem B-Lymphom</w:t>
      </w:r>
    </w:p>
    <w:p>
      <w:r>
        <w:rPr>
          <w:i/>
          <w:color w:val="666666"/>
          <w:sz w:val="18"/>
        </w:rPr>
        <w:t>Maulhardt M et al.  ·  Clin Lymphoma Myeloma Leuk  ·  07.08.2026  ·  PMID 42686451</w:t>
      </w:r>
    </w:p>
    <w:p>
      <w:r>
        <w:t>Retrospektive Auswertung von 187 Patienten mit refraktärem großzelligem B-Lymphom, die entweder CAR-T-Zelltherapie (Axicabtagene Ciloleucel) oder allogene Transplantation erhielten, zur Vergleichbarkeit von Überleben und Nebenwirkungen.</w:t>
      </w:r>
    </w:p>
    <w:p>
      <w:r>
        <w:rPr>
          <w:b/>
        </w:rPr>
        <w:t xml:space="preserve">Ergebnis: </w:t>
      </w:r>
      <w:r>
        <w:t>12-Monats-progressionsfreies Überleben 50,1 % (CAR-T) vs. 33,8 % (Transplantation, p&lt;0,05); 12-Monats-Gesamtüberleben 60,5 % vs. 43,2 % (p&lt;0,05). Nicht-Rezidiv-Mortalität deutlich höher nach Transplantation (36 % vs. 12 %, p&lt;0,001), hauptsächlich durch Infektionen und Graft-versus-Host-Erkrankung. CAR-T zeigte Überlebensvorteil durch niedrigere Behandlungsmortalität.</w:t>
      </w:r>
    </w:p>
    <w:p>
      <w:r>
        <w:rPr>
          <w:b/>
          <w:sz w:val="19"/>
        </w:rPr>
        <w:t xml:space="preserve">Übertragbarkeit: </w:t>
      </w:r>
      <w:r>
        <w:rPr>
          <w:sz w:val="19"/>
        </w:rPr>
        <w:t>Deutsches Single-Center-Register mit vergleichbarem Versicherungssystem</w:t>
      </w:r>
    </w:p>
    <w:p>
      <w:r>
        <w:rPr>
          <w:color w:val="5A7D3A"/>
          <w:sz w:val="18"/>
        </w:rPr>
        <w:t>https://pubmed.ncbi.nlm.nih.gov/42686451/</w:t>
      </w:r>
    </w:p>
    <w:p>
      <w:pPr>
        <w:pStyle w:val="Heading2"/>
      </w:pPr>
      <w:r>
        <w:t>Attenuierter Influenzaimpfstoff erhöht Pneumokokken-Besiedlung und Übertragung in Haushalten</w:t>
      </w:r>
    </w:p>
    <w:p>
      <w:r>
        <w:rPr>
          <w:i/>
          <w:color w:val="666666"/>
          <w:sz w:val="18"/>
        </w:rPr>
        <w:t>Metz J et al.  ·  Lancet Microbe  ·  18.08.2026  ·  PMID 42612652</w:t>
      </w:r>
    </w:p>
    <w:p>
      <w:r>
        <w:t>Randomisierte UK-Studie mit 405 Familien (1.379 Personen), die untersuchte, ob der lebendabgeschwächte Influenzaimpfstoff bei Kleinkindern die Dichte von Streptococcus-pneumoniae-Besiedlung und deren Übertragung auf Haushaltskontakte erhöht.</w:t>
      </w:r>
    </w:p>
    <w:p>
      <w:r>
        <w:rPr>
          <w:b/>
        </w:rPr>
        <w:t xml:space="preserve">Ergebnis: </w:t>
      </w:r>
      <w:r>
        <w:t>Bei geimpften Kindern 2,5-fach erhöhte Odds für Anstieg der Pneumokokken-Dichte nach 14 Tagen (95%-KI 1,5–4,3, p=0,0008) und 2,0-fach erhöhte Odds für Pneumokokken-Erwerb bei Haushaltskonten (95%-KI 1,2–3,5, p=0,015). Effekte weitgehend abgeklungen bis Tag 28. Impfquote bei Studienende 96 %, Studienvollendung 96 %.</w:t>
      </w:r>
    </w:p>
    <w:p>
      <w:r>
        <w:rPr>
          <w:b/>
          <w:sz w:val="19"/>
        </w:rPr>
        <w:t xml:space="preserve">Übertragbarkeit: </w:t>
      </w:r>
      <w:r>
        <w:rPr>
          <w:sz w:val="19"/>
        </w:rPr>
        <w:t>UK-Register mit vergleichbarer Haushaltsstruktur, Übertragbarkeit auf Deutschland eingeschränkt</w:t>
      </w:r>
    </w:p>
    <w:p>
      <w:r>
        <w:rPr>
          <w:color w:val="5A7D3A"/>
          <w:sz w:val="18"/>
        </w:rPr>
        <w:t>https://pubmed.ncbi.nlm.nih.gov/42612652/</w:t>
      </w:r>
    </w:p>
    <w:p>
      <w:pPr>
        <w:pStyle w:val="Heading2"/>
      </w:pPr>
      <w:r>
        <w:t>Frühe CAR-T-Intensivierung bei hochrisiko-Mantelzelllymphom: CARMAN-Protokoll</w:t>
      </w:r>
    </w:p>
    <w:p>
      <w:r>
        <w:rPr>
          <w:i/>
          <w:color w:val="666666"/>
          <w:sz w:val="18"/>
        </w:rPr>
        <w:t>Tilch MK et al.  ·  BMC Cancer  ·  11.08.2026  ·  PMID 42581349</w:t>
      </w:r>
    </w:p>
    <w:p>
      <w:r>
        <w:t>Randomisierte Phase-II-Studie zur Prüfung, ob eine Verkürzung der Induktionschemotherapie gefolgt von CAR-T-Zelltherapie das Überleben bei hochrisiko-Mantelzelllymphom verbessert – als Alternative zu Standardtherapie.</w:t>
      </w:r>
    </w:p>
    <w:p>
      <w:r>
        <w:rPr>
          <w:b/>
        </w:rPr>
        <w:t xml:space="preserve">Ergebnis: </w:t>
      </w:r>
      <w:r>
        <w:t>Rekrutierung 2026 abgeschlossen; 150 Patienten aus 5 europäischen Ländern randomisiert 1:1. Primärer Endpunkt ist ‚Failure-free survival'; Sekundärendpunkte umfassen Gesamtresponserate, komplette Remissionsrate, Sicherheit und Lebensqualität. Ergebnisse stehen aus.</w:t>
      </w:r>
    </w:p>
    <w:p>
      <w:r>
        <w:rPr>
          <w:b/>
          <w:sz w:val="19"/>
        </w:rPr>
        <w:t xml:space="preserve">Übertragbarkeit: </w:t>
      </w:r>
      <w:r>
        <w:rPr>
          <w:sz w:val="19"/>
        </w:rPr>
        <w:t>Multizenter europäische Studie mit vergleichbarem Gesundheitssystem</w:t>
      </w:r>
    </w:p>
    <w:p>
      <w:r>
        <w:rPr>
          <w:color w:val="5A7D3A"/>
          <w:sz w:val="18"/>
        </w:rPr>
        <w:t>https://pubmed.ncbi.nlm.nih.gov/42581349/</w:t>
      </w:r>
    </w:p>
    <w:p>
      <w:pPr>
        <w:pStyle w:val="Heading2"/>
      </w:pPr>
      <w:r>
        <w:t>Wirtschaftliche Präferenzen vorhersagen COVID-19-Impfabsicht und Verhalten</w:t>
      </w:r>
    </w:p>
    <w:p>
      <w:r>
        <w:rPr>
          <w:i/>
          <w:color w:val="666666"/>
          <w:sz w:val="18"/>
        </w:rPr>
        <w:t>Angerer S et al.  ·  Health Econ  ·  30.07.2026  ·  PMID 42533263</w:t>
      </w:r>
    </w:p>
    <w:p>
      <w:r>
        <w:t>Bevölkerungsstudie mit &gt;5.000 Personen in Deutschland, die die Beziehung zwischen Temperament (Altruismus, Geduld, Risikobereitschaft, Vertrauen) und COVID-19-Impfbereitschaft untersuchte.</w:t>
      </w:r>
    </w:p>
    <w:p>
      <w:r>
        <w:rPr>
          <w:b/>
        </w:rPr>
        <w:t xml:space="preserve">Ergebnis: </w:t>
      </w:r>
      <w:r>
        <w:t>Robuste positive Assoziationen zwischen Impfbereitschaft und Geduld sowie Vertrauen. Altruismus zeigte positive Beziehung zur Impfbereitschaft, die jedoch bei Kontrolle anderer Präferenzen verschwand. Risikobereitschaft zeigte keine konsistenten Effekte. Befunde unterstreichen Bedeutung von Vertrauen und zeitlichem Denken für Impfentscheidungen.</w:t>
      </w:r>
    </w:p>
    <w:p>
      <w:r>
        <w:rPr>
          <w:b/>
          <w:sz w:val="19"/>
        </w:rPr>
        <w:t xml:space="preserve">Übertragbarkeit: </w:t>
      </w:r>
      <w:r>
        <w:rPr>
          <w:sz w:val="19"/>
        </w:rPr>
        <w:t>Deutsche Bevölkerungsstichprobe, direkt auf deutsches Gesundheitssystem übertragbar</w:t>
      </w:r>
    </w:p>
    <w:p>
      <w:r>
        <w:rPr>
          <w:color w:val="5A7D3A"/>
          <w:sz w:val="18"/>
        </w:rPr>
        <w:t>https://pubmed.ncbi.nlm.nih.gov/42533263/</w:t>
      </w:r>
    </w:p>
    <w:p>
      <w:pPr>
        <w:pStyle w:val="Heading1"/>
      </w:pPr>
      <w:r>
        <w:t>Aufgenommen am 02.10.2026</w:t>
      </w:r>
    </w:p>
    <w:p>
      <w:pPr>
        <w:pStyle w:val="Heading2"/>
      </w:pPr>
      <w:r>
        <w:t>COVID-19-Auffrischungsimpfung reduzierte Rehospitalisierungsrisiko um 39 Prozent</w:t>
      </w:r>
    </w:p>
    <w:p>
      <w:r>
        <w:rPr>
          <w:i/>
          <w:color w:val="666666"/>
          <w:sz w:val="18"/>
        </w:rPr>
        <w:t>Neves RKAD et al.  ·  PLoS One  ·  01.10.2026  ·  PMID 42821558</w:t>
      </w:r>
    </w:p>
    <w:p>
      <w:r>
        <w:t>Kohortenstudie in Rio de Janeiro untersuchte, ob Impfstatus die Rehospitalisierung wegen COVID-19-Reinfektionen zwischen 2020 und 2022 beeinflusste.</w:t>
      </w:r>
    </w:p>
    <w:p>
      <w:r>
        <w:rPr>
          <w:b/>
        </w:rPr>
        <w:t xml:space="preserve">Ergebnis: </w:t>
      </w:r>
      <w:r>
        <w:t>Vollständige Impfung mit Auffrischung (≥3 Dosen) reduzierte das Rehospitalisierungsrisiko um 39 Prozent (sHR: 0,61; 95 %-KI: 0,52–0,73). Älteres Alter, Multimorbidität und Black race waren unabhängige Risikofaktoren. Die Herdenimmunität durch hohe Impfquoten hätte Ergebnisse um circa 25 Prozent verbessert.</w:t>
      </w:r>
    </w:p>
    <w:p>
      <w:r>
        <w:rPr>
          <w:b/>
          <w:sz w:val="19"/>
        </w:rPr>
        <w:t xml:space="preserve">Übertragbarkeit: </w:t>
      </w:r>
      <w:r>
        <w:rPr>
          <w:sz w:val="19"/>
        </w:rPr>
        <w:t>Brasilien, aber Effektmaß unabhängig von Systemen, Versorgungsdaten</w:t>
      </w:r>
    </w:p>
    <w:p>
      <w:r>
        <w:rPr>
          <w:color w:val="5A7D3A"/>
          <w:sz w:val="18"/>
        </w:rPr>
        <w:t>https://pubmed.ncbi.nlm.nih.gov/42821558/</w:t>
      </w:r>
    </w:p>
    <w:p>
      <w:pPr>
        <w:pStyle w:val="Heading2"/>
      </w:pPr>
      <w:r>
        <w:t>Impfverzögerungen bei Kleinkindern in Bagdad: Wissen und Verfügbarkeit als Schlüsselfaktoren</w:t>
      </w:r>
    </w:p>
    <w:p>
      <w:r>
        <w:rPr>
          <w:i/>
          <w:color w:val="666666"/>
          <w:sz w:val="18"/>
        </w:rPr>
        <w:t>Shah SSAM et al.  ·  PLoS One  ·  01.10.2026  ·  PMID 42821556</w:t>
      </w:r>
    </w:p>
    <w:p>
      <w:r>
        <w:t>Querschnittsstudie mit dokumentierten Impfkarten bei 168 Kindern (18–24 Monate) in Bagdad prüfte Zeitlichkeit und Verzögerungsgründe.</w:t>
      </w:r>
    </w:p>
    <w:p>
      <w:r>
        <w:rPr>
          <w:b/>
        </w:rPr>
        <w:t xml:space="preserve">Ergebnis: </w:t>
      </w:r>
      <w:r>
        <w:t>Nur 8,3 Prozent erhielten alle Impfungen pünktlich; 91,7 Prozent Verzögerungen (75 Prozent an mehreren Terminen). Fehlende Kenntnisse zum Impfplan (aOR: 3,85; 95 %-KI: 1,04–14,24) und wahrgenommene Impfstoffverfügbarkeit (aOR: 4,74; 95 %-KI: 1,09–20,51) waren Hauptrisiken. Keine Soziodemografika signifikant.</w:t>
      </w:r>
    </w:p>
    <w:p>
      <w:r>
        <w:rPr>
          <w:b/>
          <w:sz w:val="19"/>
        </w:rPr>
        <w:t xml:space="preserve">Übertragbarkeit: </w:t>
      </w:r>
      <w:r>
        <w:rPr>
          <w:sz w:val="19"/>
        </w:rPr>
        <w:t>Postkonflikt-Setting, aber Identifikation gestaltbarer Hindernisse (Wissen, Logistik) übertragbar</w:t>
      </w:r>
    </w:p>
    <w:p>
      <w:r>
        <w:rPr>
          <w:color w:val="5A7D3A"/>
          <w:sz w:val="18"/>
        </w:rPr>
        <w:t>https://pubmed.ncbi.nlm.nih.gov/42821556/</w:t>
      </w:r>
    </w:p>
    <w:p>
      <w:pPr>
        <w:pStyle w:val="Heading2"/>
      </w:pPr>
      <w:r>
        <w:t>Impffehler in der Primärversorgung: Systemischer Ansatz statt Individualisierung</w:t>
      </w:r>
    </w:p>
    <w:p>
      <w:r>
        <w:rPr>
          <w:i/>
          <w:color w:val="666666"/>
          <w:sz w:val="18"/>
        </w:rPr>
        <w:t>Cirino FMSB et al.  ·  Rev Bras Enferm  ·  28.09.2026  ·  PMID 42820566</w:t>
      </w:r>
    </w:p>
    <w:p>
      <w:r>
        <w:t>Reflexive Studie zur Rolle von Überlastung und prekären Arbeitsbedingungen als Systemtreiber von Impffehlern in der Primärversorgung Brasiliens.</w:t>
      </w:r>
    </w:p>
    <w:p>
      <w:r>
        <w:rPr>
          <w:b/>
        </w:rPr>
        <w:t xml:space="preserve">Ergebnis: </w:t>
      </w:r>
      <w:r>
        <w:t>Impffehler sind Ausdruck von Burnout und Überbelastung bei Pflegefachpersonen, nicht nur technische oder individuelle Versäumnisse. Prävention verlangt Systemansatz (Autonomie, Arbeitsbedingungen, kritische Reflexionsräume), nicht nur Einzelverantwortlichkeit.</w:t>
      </w:r>
    </w:p>
    <w:p>
      <w:r>
        <w:rPr>
          <w:b/>
          <w:sz w:val="19"/>
        </w:rPr>
        <w:t xml:space="preserve">Übertragbarkeit: </w:t>
      </w:r>
      <w:r>
        <w:rPr>
          <w:sz w:val="19"/>
        </w:rPr>
        <w:t>Brasilien, aber systemische Sicht auf Impfqualität gilt überall; Personalressourcen und Arbeitsbedingungen zentral</w:t>
      </w:r>
    </w:p>
    <w:p>
      <w:r>
        <w:rPr>
          <w:color w:val="5A7D3A"/>
          <w:sz w:val="18"/>
        </w:rPr>
        <w:t>https://pubmed.ncbi.nlm.nih.gov/42820566/</w:t>
      </w:r>
    </w:p>
    <w:p>
      <w:pPr>
        <w:pStyle w:val="Heading2"/>
      </w:pPr>
      <w:r>
        <w:t>HPV-Impfbereitschaft bei Eltern in China: 63 % bereit, nur 18 % tatsächlich geimpft</w:t>
      </w:r>
    </w:p>
    <w:p>
      <w:r>
        <w:rPr>
          <w:i/>
          <w:color w:val="666666"/>
          <w:sz w:val="18"/>
        </w:rPr>
        <w:t>Li Y et al.  ·  Front Public Health  ·  16.09.2026  ·  PMID 42819398</w:t>
      </w:r>
    </w:p>
    <w:p>
      <w:r>
        <w:t>Querschnittsstudie mit 506 Eltern von Schülerinnen (China) prüfte nach Theory of Planned Behavior, welche Faktoren HPV-Impfwilligkeit und tatsächliche Inanspruchnahme vorhersagen.</w:t>
      </w:r>
    </w:p>
    <w:p>
      <w:r>
        <w:rPr>
          <w:b/>
        </w:rPr>
        <w:t xml:space="preserve">Ergebnis: </w:t>
      </w:r>
      <w:r>
        <w:t>63,24 Prozent zeigten Bereitschaft, aber nur 17,98 Prozent tatsächliche Impfquote. Höhere Elternbildung, Haushaltseinkommen 5.000–10.000 RMB, Familiengeschichte Krebs und positive Einstellung waren Prädiktoren. Wahrgenommene Verhaltenskontrolle (Barrieren) zeigte negatives Pfadkoeffizient (β = –0,10, p &lt; 0,01).</w:t>
      </w:r>
    </w:p>
    <w:p>
      <w:r>
        <w:rPr>
          <w:b/>
          <w:sz w:val="19"/>
        </w:rPr>
        <w:t xml:space="preserve">Übertragbarkeit: </w:t>
      </w:r>
      <w:r>
        <w:rPr>
          <w:sz w:val="19"/>
        </w:rPr>
        <w:t>China, aber Theory of Planned Behavior universell anwendbar; Gap zwischen Bereitschaft und Umsetzung ist globales Problem</w:t>
      </w:r>
    </w:p>
    <w:p>
      <w:r>
        <w:rPr>
          <w:color w:val="5A7D3A"/>
          <w:sz w:val="18"/>
        </w:rPr>
        <w:t>https://pubmed.ncbi.nlm.nih.gov/42819398/</w:t>
      </w:r>
    </w:p>
    <w:p>
      <w:pPr>
        <w:pStyle w:val="Heading2"/>
      </w:pPr>
      <w:r>
        <w:t>Zero-Dose-Kinder in Ländern mit niedrigem Einkommen: Hausgeburten top Risikofaktor</w:t>
      </w:r>
    </w:p>
    <w:p>
      <w:r>
        <w:rPr>
          <w:i/>
          <w:color w:val="666666"/>
          <w:sz w:val="18"/>
        </w:rPr>
        <w:t>Bobo FT et al.  ·  Int J Equity Health  ·  04.08.2026  ·  PMID 42816851</w:t>
      </w:r>
    </w:p>
    <w:p>
      <w:r>
        <w:t>Sekundäranalyse von zwei DHS-Runden aus zehn Ländern mit niedrigem/unterem Einkommen prüfte Trends bei Kinder ohne Grundimmunisierung und bevölkerungszuschreibbare Risikofaktoren.</w:t>
      </w:r>
    </w:p>
    <w:p>
      <w:r>
        <w:rPr>
          <w:b/>
        </w:rPr>
        <w:t xml:space="preserve">Ergebnis: </w:t>
      </w:r>
      <w:r>
        <w:t>Zero-Dose-Prävalenz stieg in fünf Ländern signifikant (z. B. Mosambik 4,8 % auf 14,2 %, Madagaskar 13,3 % auf 18,1 %). Hausgeburt hatte höchste PAF (17,1 %; 95 %-KI: 14,1–19,6), gefolgt von &lt;4 ANC-Kontakten (8,6 %; 95 %-KI: 7,2–10,0). Reproductive Health Services kombiniert: PAF 29,4 Prozent. Vermögen-bedingte Ungleichheit überall signifikant.</w:t>
      </w:r>
    </w:p>
    <w:p>
      <w:r>
        <w:rPr>
          <w:b/>
          <w:sz w:val="19"/>
        </w:rPr>
        <w:t xml:space="preserve">Übertragbarkeit: </w:t>
      </w:r>
      <w:r>
        <w:rPr>
          <w:sz w:val="19"/>
        </w:rPr>
        <w:t>LLMIC, aber bevölkerungszuschreibbare Anteile und Kausalkettenlogik helfen Priorisierung in ähnlichen Systemen</w:t>
      </w:r>
    </w:p>
    <w:p>
      <w:r>
        <w:rPr>
          <w:color w:val="5A7D3A"/>
          <w:sz w:val="18"/>
        </w:rPr>
        <w:t>https://pubmed.ncbi.nlm.nih.gov/42816851/</w:t>
      </w:r>
    </w:p>
    <w:p>
      <w:pPr>
        <w:pStyle w:val="Heading2"/>
      </w:pPr>
      <w:r>
        <w:t>Impfskepsis in Pakistan: Mehrstufig randomisierte Surveys zeigen 33,8 Prozent Hesitancy</w:t>
      </w:r>
    </w:p>
    <w:p>
      <w:r>
        <w:rPr>
          <w:i/>
          <w:color w:val="666666"/>
          <w:sz w:val="18"/>
        </w:rPr>
        <w:t>Honghe L et al.  ·  J Epidemiol Glob Health  ·  12.08.2026  ·  PMID 42809170</w:t>
      </w:r>
    </w:p>
    <w:p>
      <w:r>
        <w:t>Querschnittsstudie mit 1.200 Teilnehmern (Pakistan, Juni–August 2021) nutzte mehrstufig stratifizierte Paired-Response-Frameworks, um Impfskepsis und Underreporting zu quantifizieren.</w:t>
      </w:r>
    </w:p>
    <w:p>
      <w:r>
        <w:rPr>
          <w:b/>
        </w:rPr>
        <w:t xml:space="preserve">Ergebnis: </w:t>
      </w:r>
      <w:r>
        <w:t>Impfskepsis wurde mit MSPRF-I auf 33,8 Prozent (vs. 24,3 % in konventionellen Befragungen) geschätzt, mit 290–399 % höherer Effizienz. Urban-rural-Unterschiede bei Offenbarungsbereitschaft, aber systematische Unterschätzung in Routineerhebungen.</w:t>
      </w:r>
    </w:p>
    <w:p>
      <w:r>
        <w:rPr>
          <w:b/>
          <w:sz w:val="19"/>
        </w:rPr>
        <w:t xml:space="preserve">Übertragbarkeit: </w:t>
      </w:r>
      <w:r>
        <w:rPr>
          <w:sz w:val="19"/>
        </w:rPr>
        <w:t>Pakistan, neue Methodik zur Erfassung von Hesitancy auch in Hochrisiko-Settings nutzbar</w:t>
      </w:r>
    </w:p>
    <w:p>
      <w:r>
        <w:rPr>
          <w:color w:val="5A7D3A"/>
          <w:sz w:val="18"/>
        </w:rPr>
        <w:t>https://pubmed.ncbi.nlm.nih.gov/42809170/</w:t>
      </w:r>
    </w:p>
    <w:p>
      <w:pPr>
        <w:pStyle w:val="Heading1"/>
      </w:pPr>
      <w:r>
        <w:t>Aufgenommen am 01.10.2026</w:t>
      </w:r>
    </w:p>
    <w:p>
      <w:pPr>
        <w:pStyle w:val="Heading2"/>
      </w:pPr>
      <w:r>
        <w:t>Impfprogramme in Konfliktzonen: intrinsischer, instrumentaler und symbolischer Wert</w:t>
      </w:r>
    </w:p>
    <w:p>
      <w:r>
        <w:rPr>
          <w:i/>
          <w:color w:val="666666"/>
          <w:sz w:val="18"/>
        </w:rPr>
        <w:t>Sabahelzain MM et al.  ·  Hum Vaccin Immunother  ·  30.09.2026  ·  PMID 42814974</w:t>
      </w:r>
    </w:p>
    <w:p>
      <w:r>
        <w:t>Qualitative Analyse, welche die Werte von Impfprogrammen in humanitären Krisen aus ethischer Perspektive untersucht und plädiert für deren Verstetigung als Frage der Gerechtigkeit.</w:t>
      </w:r>
    </w:p>
    <w:p>
      <w:r>
        <w:rPr>
          <w:b/>
        </w:rPr>
        <w:t xml:space="preserve">Ergebnis: </w:t>
      </w:r>
      <w:r>
        <w:t>Die Autoren argumentieren, dass Impfungen in Konfliktzonen über die Notfallreaktion hinaus als intrinsisch wertvoll (Menschenrecht auf Gesundheit), instrumentell wertvoll (Krankheitsvorbeugung) und symbolisch wertvoll (Vertrauenszeichen des Staates) anzusehen sind. Diese dreifache Wertigkeit rechtfertigt die Priorisierung ihrer Verstetigung zur Stärkung der Gesundheitssystemresilienz.</w:t>
      </w:r>
    </w:p>
    <w:p>
      <w:r>
        <w:rPr>
          <w:b/>
          <w:sz w:val="19"/>
        </w:rPr>
        <w:t xml:space="preserve">Übertragbarkeit: </w:t>
      </w:r>
      <w:r>
        <w:rPr>
          <w:sz w:val="19"/>
        </w:rPr>
        <w:t>Qualitatives Konzeptpapier; Übertragbarkeit hängt von nationalen Impfkalender und Sicherheitslage ab.</w:t>
      </w:r>
    </w:p>
    <w:p>
      <w:r>
        <w:rPr>
          <w:color w:val="5A7D3A"/>
          <w:sz w:val="18"/>
        </w:rPr>
        <w:t>https://pubmed.ncbi.nlm.nih.gov/42814974/</w:t>
      </w:r>
    </w:p>
    <w:p>
      <w:pPr>
        <w:pStyle w:val="Heading2"/>
      </w:pPr>
      <w:r>
        <w:t>Tollwutpostexpositionsprophylaxe im Iran: Registerdaten und Adhärenz</w:t>
      </w:r>
    </w:p>
    <w:p>
      <w:r>
        <w:rPr>
          <w:i/>
          <w:color w:val="666666"/>
          <w:sz w:val="18"/>
        </w:rPr>
        <w:t>Babaee E et al.  ·  PLoS Negl Trop Dis  ·  30.09.2026  ·  PMID 42814726</w:t>
      </w:r>
    </w:p>
    <w:p>
      <w:r>
        <w:t>Sekundäranalyse von 507.404 Tierbissvorfällen aus dem iranischen Tollwut-Impfregister (März 2022 – September 2023) zur Dokumentation der Adhärenz zu Impf- und Immunglobulin-Richtlinien.</w:t>
      </w:r>
    </w:p>
    <w:p>
      <w:r>
        <w:rPr>
          <w:b/>
        </w:rPr>
        <w:t xml:space="preserve">Ergebnis: </w:t>
      </w:r>
      <w:r>
        <w:t>73,6% Männer; häufigste Altersgruppe 31–40 Jahre (19,8%). Hunde verursachten 76,2%, Katzen 20,8% der Expositionen. Höchste Inzidenz in Nordprovinzen (North Khorasan 773/100.000, Golestan 767/100.000 Einwohner). Wundreinigung dokumentiert bei 94,3%; erste Impfdosis innerhalb 48 h bei 96,4%. Gesamte Impfserie: 68,1% erhielten drei Dosen, 24,2% vier. Immunglobulin wurde bei 95,6% der Kategorie-III-Expositionen gegeben, aber auch unangemessen bei Kategorie I (6,1%) und II (4,7%). Bei Fledermauskontakt nur 36,8% als Kategorie III klassifiziert und 38,7% mit Immunglobulin versorgt.</w:t>
      </w:r>
    </w:p>
    <w:p>
      <w:r>
        <w:rPr>
          <w:b/>
          <w:sz w:val="19"/>
        </w:rPr>
        <w:t xml:space="preserve">Übertragbarkeit: </w:t>
      </w:r>
      <w:r>
        <w:rPr>
          <w:sz w:val="19"/>
        </w:rPr>
        <w:t>Iran, Registerdaten; mittlere Übertragbarkeit auf Deutschland (unterschiedliche epidemiologische Lage).</w:t>
      </w:r>
    </w:p>
    <w:p>
      <w:r>
        <w:rPr>
          <w:color w:val="5A7D3A"/>
          <w:sz w:val="18"/>
        </w:rPr>
        <w:t>https://pubmed.ncbi.nlm.nih.gov/42814726/</w:t>
      </w:r>
    </w:p>
    <w:p>
      <w:pPr>
        <w:pStyle w:val="Heading2"/>
      </w:pPr>
      <w:r>
        <w:t>Auditive Nebenwirkungen und COVID-19-Impfung: Signalbewertung im US-VAERS</w:t>
      </w:r>
    </w:p>
    <w:p>
      <w:r>
        <w:rPr>
          <w:i/>
          <w:color w:val="666666"/>
          <w:sz w:val="18"/>
        </w:rPr>
        <w:t>Wu J et al.  ·  Front Public Health  ·  15.09.2026  ·  PMID 42812531</w:t>
      </w:r>
    </w:p>
    <w:p>
      <w:r>
        <w:t>Unterbrochene Zeitreihenanalyse von US-VAERS-Daten (2018–2025) zur Frage, ob Meldungen auditorischer Nebenwirkungen nach COVID-19-Impf-Zulassung zunahmen und ob dies einen echten Sicherheitssignal oder Meldeverzerrung widerspiegelt.</w:t>
      </w:r>
    </w:p>
    <w:p>
      <w:r>
        <w:rPr>
          <w:b/>
        </w:rPr>
        <w:t xml:space="preserve">Ergebnis: </w:t>
      </w:r>
      <w:r>
        <w:t>Von 1.347.820 Berichten betrafen 27.750 auditorische Nebenwirkungen. Nach der COVID-19-Zulassung stiegen Meldungsraten an (β=2.317,4, 95%-KI 1.079,1–3.555,6; p&lt;0,001). Quasi-Poisson-Modelle zeigten IRR von 5,62–7,36 (p≤0,015). Effekt war heterogen nach Alter: stark bei 18–64 Jahren (p=0,010) und ≥65 Jahren (p=0,0004), nicht signifikant &lt;18 Jahren (p=0,67). Dermatologie-Sentinel (Kontrolle) zeigte keine Änderung (IRR 1,09, p=0,83). Auditorische Nebenwirkungen waren in COVID-19-Berichten häufiger (2,42%) als Influenza (0,88%) oder andere Impfstoffe (0,84%).</w:t>
      </w:r>
    </w:p>
    <w:p>
      <w:r>
        <w:rPr>
          <w:b/>
          <w:sz w:val="19"/>
        </w:rPr>
        <w:t xml:space="preserve">Übertragbarkeit: </w:t>
      </w:r>
      <w:r>
        <w:rPr>
          <w:sz w:val="19"/>
        </w:rPr>
        <w:t>US-Passive-Surveillance-Daten; Übertragbarkeit auf Deutschland eingeschränkt (anderes Meldesystem).</w:t>
      </w:r>
    </w:p>
    <w:p>
      <w:r>
        <w:rPr>
          <w:color w:val="5A7D3A"/>
          <w:sz w:val="18"/>
        </w:rPr>
        <w:t>https://pubmed.ncbi.nlm.nih.gov/42812531/</w:t>
      </w:r>
    </w:p>
    <w:p>
      <w:pPr>
        <w:pStyle w:val="Heading2"/>
      </w:pPr>
      <w:r>
        <w:t>Reaktogenität mRNA- vs. proteinbasierter COVID-19-Impfstoffe 2023–2024: BEEHIVE-Studie</w:t>
      </w:r>
    </w:p>
    <w:p>
      <w:r>
        <w:rPr>
          <w:i/>
          <w:color w:val="666666"/>
          <w:sz w:val="18"/>
        </w:rPr>
        <w:t>Yoon SK et al.  ·  Hum Vaccin Immunother  ·  29.09.2026  ·  PMID 42811742</w:t>
      </w:r>
    </w:p>
    <w:p>
      <w:r>
        <w:t>Doppelblinde randomisierte Studie (NCT06065176) vergleicht Reaktogenität von Novavax (Protein) mit Pfizer-BioNTech (mRNA) XBB.1.5-Impfstoff bei Personen mit ≥2 vorherigen mRNA-Dosen.</w:t>
      </w:r>
    </w:p>
    <w:p>
      <w:r>
        <w:rPr>
          <w:b/>
        </w:rPr>
        <w:t xml:space="preserve">Ergebnis: </w:t>
      </w:r>
      <w:r>
        <w:t>Novavax (n=448) vs. Pfizer (n=453): Am Tag 1 berichteten signifikant weniger Novavax-Empfänger systemische Reaktogenität (62,1% vs. 75,7%; Risikodifferenz −13,7%, 95%-KI −19,6% bis −7,7%, p&lt;0,0001) und lokale Reaktionen (81,0% vs. 92,7%; Risikodifferenz −11,7%, 95%-KI −16,0% bis −7,3%, p&lt;0,0001). Mittlere Ereigniszahl pro Person am Tag 1 und 2 signifikant niedriger für Novavax (je p&lt;0,0001). Die meisten Ereignisse waren mild. Am Tag 6 hatten &gt;80% bzw. &gt;94% keine systemischen oder lokalen Reaktionen.</w:t>
      </w:r>
    </w:p>
    <w:p>
      <w:r>
        <w:rPr>
          <w:b/>
          <w:sz w:val="19"/>
        </w:rPr>
        <w:t xml:space="preserve">Übertragbarkeit: </w:t>
      </w:r>
      <w:r>
        <w:rPr>
          <w:sz w:val="19"/>
        </w:rPr>
        <w:t>USA-Studie, aber primär Sicherheitsfrage – übertragbar auf Deutsche Zulassungsbewertung.</w:t>
      </w:r>
    </w:p>
    <w:p>
      <w:r>
        <w:rPr>
          <w:color w:val="5A7D3A"/>
          <w:sz w:val="18"/>
        </w:rPr>
        <w:t>https://pubmed.ncbi.nlm.nih.gov/42811742/</w:t>
      </w:r>
    </w:p>
    <w:p>
      <w:pPr>
        <w:pStyle w:val="Heading2"/>
      </w:pPr>
      <w:r>
        <w:t>Hybridimmunität gegen SARS-CoV-2: Langzeitdynamik bei Angehörigen der Gesundheitsberufe</w:t>
      </w:r>
    </w:p>
    <w:p>
      <w:r>
        <w:rPr>
          <w:i/>
          <w:color w:val="666666"/>
          <w:sz w:val="18"/>
        </w:rPr>
        <w:t>Tekinsoy M et al.  ·  Viruses  ·  19.09.2026  ·  PMID 42797871</w:t>
      </w:r>
    </w:p>
    <w:p>
      <w:r>
        <w:t>Vierjährige Kohortenstudie (2020–Juni 2024) von Gesundheitsarbeitern, die zwischen Hybrid- (Infektion + Impfung) und reiner Impfimmunität unterscheidet und Antikörperhaltbarkeit bewertet.</w:t>
      </w:r>
    </w:p>
    <w:p>
      <w:r>
        <w:rPr>
          <w:b/>
        </w:rPr>
        <w:t xml:space="preserve">Ergebnis: </w:t>
      </w:r>
      <w:r>
        <w:t>142 Personen mit Längsdaten (1180 Tage Nachverfolgung): 66,2% erlebten mindestens eine Durchbruchinfektion, 14,1% zwei. Anti-N-Antikörper sanken nach Infektion 2,3-fach zwischen Monat 3 und 6; Seropositiv-Rate fiel von 82% auf 40,4% (Median bis Seronegatitivät: 179 Tage). Hybridimmunität mit zwei Dosen hatte Anti-S-IgG und sVNT-Titer vergleichbar mit drei reinen Impfungen. Dritte Dosis verstärkte Anti-S-Persistenz signifikant nach 9 Monaten.</w:t>
      </w:r>
    </w:p>
    <w:p>
      <w:r>
        <w:rPr>
          <w:b/>
          <w:sz w:val="19"/>
        </w:rPr>
        <w:t xml:space="preserve">Übertragbarkeit: </w:t>
      </w:r>
      <w:r>
        <w:rPr>
          <w:sz w:val="19"/>
        </w:rPr>
        <w:t>Deutschland, vergleichbare Gesundheitssettings, aber COVID-Spezifik.</w:t>
      </w:r>
    </w:p>
    <w:p>
      <w:r>
        <w:rPr>
          <w:color w:val="5A7D3A"/>
          <w:sz w:val="18"/>
        </w:rPr>
        <w:t>https://pubmed.ncbi.nlm.nih.gov/42797871/</w:t>
      </w:r>
    </w:p>
    <w:p>
      <w:pPr>
        <w:pStyle w:val="Heading2"/>
      </w:pPr>
      <w:r>
        <w:t>Pneumokokkenimpfstoffe (PCV15/PCV20) gegen PCV13 im UK-Impfplan: Studienprotokoll</w:t>
      </w:r>
    </w:p>
    <w:p>
      <w:r>
        <w:rPr>
          <w:i/>
          <w:color w:val="666666"/>
          <w:sz w:val="18"/>
        </w:rPr>
        <w:t>Aslam R et al.  ·  BMJ Open  ·  22.09.2026  ·  PMID 42772879</w:t>
      </w:r>
    </w:p>
    <w:p>
      <w:r>
        <w:t>Randomisierte Studie zur Nicht-Unterlegenheit von PCV15 und PCV20 gegenüber PCV13 bei 600 Säuglingen im britischen 1+1- und 2+1-Impfschema.</w:t>
      </w:r>
    </w:p>
    <w:p>
      <w:r>
        <w:rPr>
          <w:b/>
        </w:rPr>
        <w:t xml:space="preserve">Ergebnis: </w:t>
      </w:r>
      <w:r>
        <w:t>Studienprotokoll ohne Ergebnisse; primärer Endpunkt ist Nicht-Unterlegenheit der PCV13-Serotpyen-spezifischen Antikörperresponses nach PCV15/PCV20 vs. PCV13. Sekundär werden Trägerschaft und Schleimhaut-IgG gemessen. Rekrutierung abgeschlossen (600 Patienten randomisiert).</w:t>
      </w:r>
    </w:p>
    <w:p>
      <w:r>
        <w:rPr>
          <w:b/>
          <w:sz w:val="19"/>
        </w:rPr>
        <w:t xml:space="preserve">Übertragbarkeit: </w:t>
      </w:r>
      <w:r>
        <w:rPr>
          <w:sz w:val="19"/>
        </w:rPr>
        <w:t>UK-Impfplan, europäisches Gesundheitssystem, vergleichbare Versorgungsstruktur.</w:t>
      </w:r>
    </w:p>
    <w:p>
      <w:r>
        <w:rPr>
          <w:color w:val="5A7D3A"/>
          <w:sz w:val="18"/>
        </w:rPr>
        <w:t>https://pubmed.ncbi.nlm.nih.gov/42772879/</w:t>
      </w:r>
    </w:p>
    <w:p>
      <w:pPr>
        <w:pStyle w:val="Heading2"/>
      </w:pPr>
      <w:r>
        <w:t>Adipositas schwächt Antikörperantwort nach Grippeimpfung: deutsche Explorationsstudie</w:t>
      </w:r>
    </w:p>
    <w:p>
      <w:r>
        <w:rPr>
          <w:i/>
          <w:color w:val="666666"/>
          <w:sz w:val="18"/>
        </w:rPr>
        <w:t>Böll S et al.  ·  BMC Immunol  ·  10.09.2026  ·  PMID 42760530</w:t>
      </w:r>
    </w:p>
    <w:p>
      <w:r>
        <w:t>Deutsche Kohortenstudie untersucht, ob Adipositas die humorale und zelluläre Immunantwort nach Influenzaimpfung beeinträchtigt.</w:t>
      </w:r>
    </w:p>
    <w:p>
      <w:r>
        <w:rPr>
          <w:b/>
        </w:rPr>
        <w:t xml:space="preserve">Ergebnis: </w:t>
      </w:r>
      <w:r>
        <w:t>Kleine Stichprobe (n=25: 18 normalgewichtig, 7 adipös) über 9 Monate. Nach Impfung stiegen Antikörpertiter in beiden Gruppen an und blieben erhöht. Bei normalgewichtigen Personen unterschieden sich alle vier Antikörper signifikant über die Besuche; bei adipösen Personen nur zwei. Adipöse zeigten abnehmende Treg-Anteile (nicht signifikant) und keine klaren Gruppenunterschiede in T-Zell-Zahl. Autoren betonen, dass die Stichprobengröße explorativ ist; größere Studien sind notwendig.</w:t>
      </w:r>
    </w:p>
    <w:p>
      <w:r>
        <w:rPr>
          <w:b/>
          <w:sz w:val="19"/>
        </w:rPr>
        <w:t xml:space="preserve">Übertragbarkeit: </w:t>
      </w:r>
      <w:r>
        <w:rPr>
          <w:sz w:val="19"/>
        </w:rPr>
        <w:t>Deutsche Klinikdaten, aber kleine Stichprobe – Ergebnisse sind vorläufig.</w:t>
      </w:r>
    </w:p>
    <w:p>
      <w:r>
        <w:rPr>
          <w:color w:val="5A7D3A"/>
          <w:sz w:val="18"/>
        </w:rPr>
        <w:t>https://pubmed.ncbi.nlm.nih.gov/42760530/</w:t>
      </w:r>
    </w:p>
    <w:p>
      <w:pPr>
        <w:pStyle w:val="Heading1"/>
      </w:pPr>
      <w:r>
        <w:t>Aufgenommen am 30.09.2026</w:t>
      </w:r>
    </w:p>
    <w:p>
      <w:pPr>
        <w:pStyle w:val="Heading2"/>
      </w:pPr>
      <w:r>
        <w:t>Psychologische Treiber der Impfskepsis gegen HPV in Polen prägen Kampagnen</w:t>
      </w:r>
    </w:p>
    <w:p>
      <w:r>
        <w:rPr>
          <w:i/>
          <w:color w:val="666666"/>
          <w:sz w:val="18"/>
        </w:rPr>
        <w:t>Siebielec J et al.  ·  Front Public Health  ·  14.09.2026  ·  PMID 42807115</w:t>
      </w:r>
    </w:p>
    <w:p>
      <w:r>
        <w:t>Qualitative Analyse von 4.440 Facebook-Einträgen zum HPV-Impfen zwischen Oktober 2020 und Oktober 2023 unter polnischen Sprechern mit Kodierung nach dem 5C-Modell (Confidence, Complacency, Constraints, Calculation, Collective responsibility).</w:t>
      </w:r>
    </w:p>
    <w:p>
      <w:r>
        <w:rPr>
          <w:b/>
        </w:rPr>
        <w:t xml:space="preserve">Ergebnis: </w:t>
      </w:r>
      <w:r>
        <w:t>51 % aller Einträge erschienen 2023 (Programmstart). 42 % ließen sich Kategorien zuordnen; Calculation (60 %) und Confidence (47 %) am häufigsten, in 13 % beide. Psychologische Faktoren: extensive Informationssuche, Verschwörungstheorie-Anfälligkeit, Vertrauensfragen zu Impfstoff und Behörden. Facebook-Kampagnen sollten diverse psychologische Profile ansprechen und zuverlässige Information verständlich darstellen.</w:t>
      </w:r>
    </w:p>
    <w:p>
      <w:r>
        <w:rPr>
          <w:b/>
          <w:sz w:val="19"/>
        </w:rPr>
        <w:t xml:space="preserve">Übertragbarkeit: </w:t>
      </w:r>
      <w:r>
        <w:rPr>
          <w:sz w:val="19"/>
        </w:rPr>
        <w:t>Qualitative Erkenntnis aus Europa (Polen), übertragbar für deutschsprachige Impf­kommunikation.</w:t>
      </w:r>
    </w:p>
    <w:p>
      <w:r>
        <w:rPr>
          <w:color w:val="5A7D3A"/>
          <w:sz w:val="18"/>
        </w:rPr>
        <w:t>https://pubmed.ncbi.nlm.nih.gov/42807115/</w:t>
      </w:r>
    </w:p>
    <w:p>
      <w:pPr>
        <w:pStyle w:val="Heading2"/>
      </w:pPr>
      <w:r>
        <w:t>BCG-Impfung senkt Tuberkulose-Risiko bei bangladeschischen Kindern um 57 %</w:t>
      </w:r>
    </w:p>
    <w:p>
      <w:r>
        <w:rPr>
          <w:i/>
          <w:color w:val="666666"/>
          <w:sz w:val="18"/>
        </w:rPr>
        <w:t>Rahman T et al.  ·  BMC Infect Dis  ·  27.07.2026  ·  PMID 42806320</w:t>
      </w:r>
    </w:p>
    <w:p>
      <w:r>
        <w:t>Gemeindebasierte Fall-Kontroll-Studie bei 207 TB-Fällen und 207 Kontrollen (2–14 Jahre) in Moulavibazar, Bangladesch, Januar–April 2023 mit multivariater logistischer Regression.</w:t>
      </w:r>
    </w:p>
    <w:p>
      <w:r>
        <w:rPr>
          <w:b/>
        </w:rPr>
        <w:t xml:space="preserve">Ergebnis: </w:t>
      </w:r>
      <w:r>
        <w:t>BCG-Impfung: aOR 0,43 (95%-KI 0,20–0,93), Schutz 57 %. Zusätzliche Risikofaktoren: Adoleszenz (11–14 vs. 2–5 Jahre: aOR 2,53), männliches Geschlecht (aOR 1,79), TB in Familie &lt;6 Monate (aOR 1,92). Random-Forest-Modell: Accuracy 71,6 %, AUC 0,74. Impfung bleibt zentral für Kindertuberkulose-Kontrolle.</w:t>
      </w:r>
    </w:p>
    <w:p>
      <w:r>
        <w:rPr>
          <w:b/>
          <w:sz w:val="19"/>
        </w:rPr>
        <w:t xml:space="preserve">Übertragbarkeit: </w:t>
      </w:r>
      <w:r>
        <w:rPr>
          <w:sz w:val="19"/>
        </w:rPr>
        <w:t>Südasien mit epidemiologischen Daten, aber hohe Transmissionslage dort anders als Deutschland.</w:t>
      </w:r>
    </w:p>
    <w:p>
      <w:r>
        <w:rPr>
          <w:color w:val="5A7D3A"/>
          <w:sz w:val="18"/>
        </w:rPr>
        <w:t>https://pubmed.ncbi.nlm.nih.gov/42806320/</w:t>
      </w:r>
    </w:p>
    <w:p>
      <w:pPr>
        <w:pStyle w:val="Heading2"/>
      </w:pPr>
      <w:r>
        <w:t>Masernherd-Schwelle in Florida durch Impfquoten unterschritten – Risiko rapider Ausbrüche</w:t>
      </w:r>
    </w:p>
    <w:p>
      <w:r>
        <w:rPr>
          <w:i/>
          <w:color w:val="666666"/>
          <w:sz w:val="18"/>
        </w:rPr>
        <w:t>Oveson A et al.  ·  Proc Natl Acad Sci U S A  ·  06.10.2026  ·  PMID 42804627</w:t>
      </w:r>
    </w:p>
    <w:p>
      <w:r>
        <w:t>Altersstrukturiertes Masern-Transmissionsmodell für Florida kalibriert mit Daten des Gaines-County-Ausbruchs 2025, untersucht Effekt von Aufhebung schulischer Impfpflicht.</w:t>
      </w:r>
    </w:p>
    <w:p>
      <w:r>
        <w:rPr>
          <w:b/>
        </w:rPr>
        <w:t xml:space="preserve">Ergebnis: </w:t>
      </w:r>
      <w:r>
        <w:t>Aktuelle Masern-Mumps-Röteln-Quote in Florida unterschreitet bereits die Herdenimmunitätsschwelle. Modellierte Quoten­rückgänge nach Aufhebung der Schulanforderung projizieren Ausbruchsgrößen wie vor Impfära, mit signifikanter Kindersterblichkeit in fünf Jahren. Sensitivitätsanalyse: kleine Quoten­rückgänge führen zu disproportional großen Ausbruchszunahmen, besonders bei starker Mischung unter Kindern.</w:t>
      </w:r>
    </w:p>
    <w:p>
      <w:r>
        <w:rPr>
          <w:b/>
          <w:sz w:val="19"/>
        </w:rPr>
        <w:t xml:space="preserve">Übertragbarkeit: </w:t>
      </w:r>
      <w:r>
        <w:rPr>
          <w:sz w:val="19"/>
        </w:rPr>
        <w:t>USA, epidemiologisches Modell – Mechanismus übertragbar auf deutsche Risiko­szenarios.</w:t>
      </w:r>
    </w:p>
    <w:p>
      <w:r>
        <w:rPr>
          <w:color w:val="5A7D3A"/>
          <w:sz w:val="18"/>
        </w:rPr>
        <w:t>https://pubmed.ncbi.nlm.nih.gov/42804627/</w:t>
      </w:r>
    </w:p>
    <w:p>
      <w:pPr>
        <w:pStyle w:val="Heading2"/>
      </w:pPr>
      <w:r>
        <w:t>RSV-Hospitalisierungen bei Kindern sinken nach gezieltem Nirsevimab-Einsatz</w:t>
      </w:r>
    </w:p>
    <w:p>
      <w:r>
        <w:rPr>
          <w:i/>
          <w:color w:val="666666"/>
          <w:sz w:val="18"/>
        </w:rPr>
        <w:t>Attaianese F et al.  ·  Int J Infect Dis  ·  27.08.2026  ·  PMID 42660409</w:t>
      </w:r>
    </w:p>
    <w:p>
      <w:r>
        <w:t>Italienische Studie zu RSV-Infektionen bei Kindern &lt;18 Jahren über sechs Saisons mit Analyse der Auswirkung regionaler Nirsevimab-Impfstrategien zwischen Januar 2019 und März 2025.</w:t>
      </w:r>
    </w:p>
    <w:p>
      <w:r>
        <w:rPr>
          <w:b/>
        </w:rPr>
        <w:t xml:space="preserve">Ergebnis: </w:t>
      </w:r>
      <w:r>
        <w:t>In der Saison 2024–2025 sanken RSV-Hospitalisierungen um insgesamt 43,6 %. Mit breiten Zugangs­kriterien und frühem Einsatz (Gruppe B) betrug das Reduktionsverhältnis 0,28 (95%-KI 0,22–0,36), mit einzelnem Zentrum (Gruppe F) 0,24. Beschränktere Strategien (Gruppen C–E) zeigten moderatere Rückgänge (Quoten 0,58–0,70). Die Studie bestätigt zeitliche Assoziation zwischen Rollout und verringerter Hospitalisierung.</w:t>
      </w:r>
    </w:p>
    <w:p>
      <w:r>
        <w:rPr>
          <w:b/>
          <w:sz w:val="19"/>
        </w:rPr>
        <w:t xml:space="preserve">Übertragbarkeit: </w:t>
      </w:r>
      <w:r>
        <w:rPr>
          <w:sz w:val="19"/>
        </w:rPr>
        <w:t>Italien mit vergleichbaren Krankenhausdaten und Meldesystemen.</w:t>
      </w:r>
    </w:p>
    <w:p>
      <w:r>
        <w:rPr>
          <w:color w:val="5A7D3A"/>
          <w:sz w:val="18"/>
        </w:rPr>
        <w:t>https://pubmed.ncbi.nlm.nih.gov/42660409/</w:t>
      </w:r>
    </w:p>
    <w:p>
      <w:pPr>
        <w:pStyle w:val="Heading2"/>
      </w:pPr>
      <w:r>
        <w:t>Nirsevimab und RSV-Mutterimpfung schützen Säuglinge hocheffektiv</w:t>
      </w:r>
    </w:p>
    <w:p>
      <w:r>
        <w:rPr>
          <w:i/>
          <w:color w:val="666666"/>
          <w:sz w:val="18"/>
        </w:rPr>
        <w:t>Treston B et al.  ·  Int J Infect Dis  ·  06.08.2026  ·  PMID 42562126</w:t>
      </w:r>
    </w:p>
    <w:p>
      <w:r>
        <w:t>Test-negativ Fall-Kontroll-Studie über zwei RSV-Schutzstrategien auf der irischen Insel in der Saison 2024/25 bei Säuglingen &lt;6 Monaten mit akuter Atemwegserkrankung.</w:t>
      </w:r>
    </w:p>
    <w:p>
      <w:r>
        <w:rPr>
          <w:b/>
        </w:rPr>
        <w:t xml:space="preserve">Ergebnis: </w:t>
      </w:r>
      <w:r>
        <w:t>Nirsevimab-Effektivität gegen Hospitalisierung 90,7 % (95%-KI 80,7–95,8) in der Republik Irland bei 83 % Abdeckung; RSVpreF-Effektivität 83,9 % (95%-KI 41,5–96,6) in Nordirland bei 30 % Abdeckung. Notfall­ambulanz-Bronchiolitis-Besuche sanken um 52 % (ROI) und 37 % (NI). Unterschiedliche Abdeckung führte zu unterschiedlichem Bevölkerungseffekt.</w:t>
      </w:r>
    </w:p>
    <w:p>
      <w:r>
        <w:rPr>
          <w:b/>
          <w:sz w:val="19"/>
        </w:rPr>
        <w:t xml:space="preserve">Übertragbarkeit: </w:t>
      </w:r>
      <w:r>
        <w:rPr>
          <w:sz w:val="19"/>
        </w:rPr>
        <w:t>UK-System mit Notfalldaten, aber Strategie-Unterschiede zeigen Implementierungs­priorität.</w:t>
      </w:r>
    </w:p>
    <w:p>
      <w:r>
        <w:rPr>
          <w:color w:val="5A7D3A"/>
          <w:sz w:val="18"/>
        </w:rPr>
        <w:t>https://pubmed.ncbi.nlm.nih.gov/42562126/</w:t>
      </w:r>
    </w:p>
    <w:p>
      <w:pPr>
        <w:pStyle w:val="Heading2"/>
      </w:pPr>
      <w:r>
        <w:t>Keine erhöhte Notfall-Hospitalisierungsrate durch Impfung bei immunologischen Erkrankungen</w:t>
      </w:r>
    </w:p>
    <w:p>
      <w:r>
        <w:rPr>
          <w:i/>
          <w:color w:val="666666"/>
          <w:sz w:val="18"/>
        </w:rPr>
        <w:t>Meiszl K et al.  ·  Int J Infect Dis  ·  25.07.2026  ·  PMID 42501818</w:t>
      </w:r>
    </w:p>
    <w:p>
      <w:r>
        <w:t>Deutsche Register-Kohortenstudie mit sechs Kausalziel-Emulatoren zu Pneumokokken- und Influenza-Impfung bei 432.768 Patienten mit Multipler Sklerose, entzündlich-rheumatischen oder Darmerkrankungen zwischen 2013 und 2019.</w:t>
      </w:r>
    </w:p>
    <w:p>
      <w:r>
        <w:rPr>
          <w:b/>
        </w:rPr>
        <w:t xml:space="preserve">Ergebnis: </w:t>
      </w:r>
      <w:r>
        <w:t>Pneumokokken: HR 0,91 (MS), 0,60 (rheumatisch), 0,89 (IBD). Influenza: HR 0,94 (MS), 0,79 (rheumatisch), 0,83 (IBD) – keine erhöhte Verschlechterung, teilweise Risikoreduktion. Modell-Kalibrierung adequate (Hosmer-Lemeshow-Test). Befund stützt Sicherheit der Immunisierung in diesen Populationen.</w:t>
      </w:r>
    </w:p>
    <w:p>
      <w:r>
        <w:rPr>
          <w:b/>
          <w:sz w:val="19"/>
        </w:rPr>
        <w:t xml:space="preserve">Übertragbarkeit: </w:t>
      </w:r>
      <w:r>
        <w:rPr>
          <w:sz w:val="19"/>
        </w:rPr>
        <w:t>Deutsche Kassenabrechnung (BARMER), direkter Bevölkerungsbezug.</w:t>
      </w:r>
    </w:p>
    <w:p>
      <w:r>
        <w:rPr>
          <w:color w:val="5A7D3A"/>
          <w:sz w:val="18"/>
        </w:rPr>
        <w:t>https://pubmed.ncbi.nlm.nih.gov/42501818/</w:t>
      </w:r>
    </w:p>
    <w:p>
      <w:pPr>
        <w:pStyle w:val="Heading1"/>
      </w:pPr>
      <w:r>
        <w:t>Aufgenommen am 29.09.2026</w:t>
      </w:r>
    </w:p>
    <w:p>
      <w:pPr>
        <w:pStyle w:val="Heading2"/>
      </w:pPr>
      <w:r>
        <w:t>Wirksamkeit der Herpes-zoster-Impfung bei entzündlichen Darmerkrankungen</w:t>
      </w:r>
    </w:p>
    <w:p>
      <w:r>
        <w:rPr>
          <w:i/>
          <w:color w:val="666666"/>
          <w:sz w:val="18"/>
        </w:rPr>
        <w:t>Humayun M et al.  ·  Hum Vaccin Immunother  ·  28.09.2026  ·  PMID 42804491</w:t>
      </w:r>
    </w:p>
    <w:p>
      <w:r>
        <w:t>Matched-cohort und selbstkontrollierte Fall-Serie bei 8.485 IBD-Patienten ≥18 Jahren in Kaiser-Permanente Southern California (2018–2024) zur Effektivität und Sicherheit der rekombinanten Zoster-Impfung (RZV).</w:t>
      </w:r>
    </w:p>
    <w:p>
      <w:r>
        <w:rPr>
          <w:b/>
        </w:rPr>
        <w:t xml:space="preserve">Ergebnis: </w:t>
      </w:r>
      <w:r>
        <w:t>VE gegen Herpes zoster nach 2 RZV-Dosen: 65,4% (95%-KI 40,6–79,9%); in Colitis-Patienten 62,7%, in Morbus-Crohn-Patienten 70,2%. IBD-Schübe im 30-Tage-Fenster nach Impfung (RR 0,80) nicht erhöht.</w:t>
      </w:r>
    </w:p>
    <w:p>
      <w:r>
        <w:rPr>
          <w:b/>
          <w:sz w:val="19"/>
        </w:rPr>
        <w:t xml:space="preserve">Übertragbarkeit: </w:t>
      </w:r>
      <w:r>
        <w:rPr>
          <w:sz w:val="19"/>
        </w:rPr>
        <w:t>USA-Krankenversicherungsdaten, ähnliche Ausgangslage, aber starke Fragmentation möglich – für deutsche Versorgung mit Krankenkassen-Daten parallel machbar</w:t>
      </w:r>
    </w:p>
    <w:p>
      <w:r>
        <w:rPr>
          <w:color w:val="5A7D3A"/>
          <w:sz w:val="18"/>
        </w:rPr>
        <w:t>https://pubmed.ncbi.nlm.nih.gov/42804491/</w:t>
      </w:r>
    </w:p>
    <w:p>
      <w:pPr>
        <w:pStyle w:val="Heading2"/>
      </w:pPr>
      <w:r>
        <w:t>Schutzwirkung Mumps-haltiger Impfstoffe bei Kindern unter 15 Jahren in China</w:t>
      </w:r>
    </w:p>
    <w:p>
      <w:r>
        <w:rPr>
          <w:i/>
          <w:color w:val="666666"/>
          <w:sz w:val="18"/>
        </w:rPr>
        <w:t>Liu H et al.  ·  PLoS One  ·  28.09.2026  ·  PMID 42804452</w:t>
      </w:r>
    </w:p>
    <w:p>
      <w:r>
        <w:t>Matched-case-control-Studie bei 1.405 klinisch oder laborbestätigten Mumps-Fällen und 2.810 Kontrollen (2021–2025) in Taizhou, China, zur Effektivität Mumps-haltiger Impfstoffe nach Schulalter und Impfintervallen.</w:t>
      </w:r>
    </w:p>
    <w:p>
      <w:r>
        <w:rPr>
          <w:b/>
        </w:rPr>
        <w:t xml:space="preserve">Ergebnis: </w:t>
      </w:r>
      <w:r>
        <w:t>Gesamtimpfeffektivität nach ≥1 Dosis: 75,7% (95%-KI 64,8–83,2%). VE stieg mit Alter: 3–5 Jahre 55,2%, 6–11 Jahre 86,7%, ≥12 Jahre 92,9%. Einfach-Dosis-Regime: VE 80,4%; Zwei-Dosis-Periode zeigt VE nicht signifikant (durch hohe Coverage und wenige Ungeimpfte verzerrt).</w:t>
      </w:r>
    </w:p>
    <w:p>
      <w:r>
        <w:rPr>
          <w:b/>
          <w:sz w:val="19"/>
        </w:rPr>
        <w:t xml:space="preserve">Übertragbarkeit: </w:t>
      </w:r>
      <w:r>
        <w:rPr>
          <w:sz w:val="19"/>
        </w:rPr>
        <w:t>China, aber Impfregister-Daten und standardisierte Falldef. übertragbar – Frage zur optimalen Dosierung international relevant</w:t>
      </w:r>
    </w:p>
    <w:p>
      <w:r>
        <w:rPr>
          <w:color w:val="5A7D3A"/>
          <w:sz w:val="18"/>
        </w:rPr>
        <w:t>https://pubmed.ncbi.nlm.nih.gov/42804452/</w:t>
      </w:r>
    </w:p>
    <w:p>
      <w:pPr>
        <w:pStyle w:val="Heading2"/>
      </w:pPr>
      <w:r>
        <w:t>Impfquoten bei HPV-Geimpften sinken bei niedriger Schulbildung und Einkommen der Eltern</w:t>
      </w:r>
    </w:p>
    <w:p>
      <w:r>
        <w:rPr>
          <w:i/>
          <w:color w:val="666666"/>
          <w:sz w:val="18"/>
        </w:rPr>
        <w:t>Appelqvist E et al.  ·  Vaccine  ·  24.10.2026  ·  PMID 42727401</w:t>
      </w:r>
    </w:p>
    <w:p>
      <w:r>
        <w:t>Schwedische Registerstudie mit 492.997 Mädchen (Jahrgänge 2002–2010) zu Faktoren der HPV-Impfquote im Schulprogramm und Catch-up-Impfungen bis Alter 19 Jahren.</w:t>
      </w:r>
    </w:p>
    <w:p>
      <w:r>
        <w:rPr>
          <w:b/>
        </w:rPr>
        <w:t xml:space="preserve">Ergebnis: </w:t>
      </w:r>
      <w:r>
        <w:t>Eltern mit niedrigem Bildungsabschluss (OR 1,3) oder niedrigem Einkommen (OR 1,9) hatten geringere Impfquoten; im Ausland geborene Mädchen oder mit im Ausland geborenen Eltern zeigten OR 1,7. Die meisten ungeimpften Mädchen erhielten später keine Catch-up-Impfung, unabhängig von Schuljahr.</w:t>
      </w:r>
    </w:p>
    <w:p>
      <w:r>
        <w:rPr>
          <w:b/>
          <w:sz w:val="19"/>
        </w:rPr>
        <w:t xml:space="preserve">Übertragbarkeit: </w:t>
      </w:r>
      <w:r>
        <w:rPr>
          <w:sz w:val="19"/>
        </w:rPr>
        <w:t>Schweden, Impfregister und Schulimpfprogramm, Hinweis auf Ungleichheitsachsen auch in deutschen Bundesländern ohne Register</w:t>
      </w:r>
    </w:p>
    <w:p>
      <w:r>
        <w:rPr>
          <w:color w:val="5A7D3A"/>
          <w:sz w:val="18"/>
        </w:rPr>
        <w:t>https://pubmed.ncbi.nlm.nih.gov/42727401/</w:t>
      </w:r>
    </w:p>
    <w:p>
      <w:pPr>
        <w:pStyle w:val="Heading2"/>
      </w:pPr>
      <w:r>
        <w:t>Wirksamkeit und Waning der vierten COVID-19-mRNA-Impfdosis gegen Hospitalisierung</w:t>
      </w:r>
    </w:p>
    <w:p>
      <w:r>
        <w:rPr>
          <w:i/>
          <w:color w:val="666666"/>
          <w:sz w:val="18"/>
        </w:rPr>
        <w:t>Li X et al.  ·  J Infect  ·  05.08.2026  ·  PMID 42556476</w:t>
      </w:r>
    </w:p>
    <w:p>
      <w:r>
        <w:t>Multizentrische Kohortenstudie aus UK, Niederlanden und Spanien (DARWIN EU) an 975.496 geimpften Personen ab 12 Jahren zur Effektivität der vierten Dosis gegen SARS-CoV-2-bedingte Hospitalisierung und Tod.</w:t>
      </w:r>
    </w:p>
    <w:p>
      <w:r>
        <w:rPr>
          <w:b/>
        </w:rPr>
        <w:t xml:space="preserve">Ergebnis: </w:t>
      </w:r>
      <w:r>
        <w:t>VE vierte vs. dritte Dosis gegen Tod 30% (95%-KI 9–46); gegen Hospitalisierung 26% (Spanien) bis 46% (Niederlande). Waning begann bei 4–8 Wochen. Periodische Auffrischungen wurden empfohlen.</w:t>
      </w:r>
    </w:p>
    <w:p>
      <w:r>
        <w:rPr>
          <w:b/>
          <w:sz w:val="19"/>
        </w:rPr>
        <w:t xml:space="preserve">Übertragbarkeit: </w:t>
      </w:r>
      <w:r>
        <w:rPr>
          <w:sz w:val="19"/>
        </w:rPr>
        <w:t>Niederlande, Spanien, UK mit kompletten elektronischen Gesundheitsaufzeichnungen, übertragbar auf deutsche Versorgung</w:t>
      </w:r>
    </w:p>
    <w:p>
      <w:r>
        <w:rPr>
          <w:color w:val="5A7D3A"/>
          <w:sz w:val="18"/>
        </w:rPr>
        <w:t>https://pubmed.ncbi.nlm.nih.gov/42556476/</w:t>
      </w:r>
    </w:p>
    <w:p>
      <w:pPr>
        <w:pStyle w:val="Heading2"/>
      </w:pPr>
      <w:r>
        <w:t>Influenza-Impfquote und Impfskepsis bei Patienten mit Lebererkrankung in Griechenland</w:t>
      </w:r>
    </w:p>
    <w:p>
      <w:r>
        <w:rPr>
          <w:i/>
          <w:color w:val="666666"/>
          <w:sz w:val="18"/>
        </w:rPr>
        <w:t>Dafnou P et al.  ·  Gastroenterol Nurs  ·  21.07.2026  ·  PMID 42484114</w:t>
      </w:r>
    </w:p>
    <w:p>
      <w:r>
        <w:t>Querschnittstudie bei 152 Patienten mit Lebererkrankung in Griechenland (2025) zur Influenza-Impfquote, Einstellungen und Einflussfaktoren.</w:t>
      </w:r>
    </w:p>
    <w:p>
      <w:r>
        <w:rPr>
          <w:b/>
        </w:rPr>
        <w:t xml:space="preserve">Ergebnis: </w:t>
      </w:r>
      <w:r>
        <w:t>58,6% erhielten Influenza-Impfung. Prädiktoren der Impfung: höheres Alter (OR 1,07), vorangegangene Pneumokokken-Impfung (OR 17,98), COVID-19-Impfung (OR 5,77). Etwa die Hälfte ließen sich jährlich impfen. Kliniker als vertrauenswürdige Informanten könnten Quote heben.</w:t>
      </w:r>
    </w:p>
    <w:p>
      <w:r>
        <w:rPr>
          <w:b/>
          <w:sz w:val="19"/>
        </w:rPr>
        <w:t xml:space="preserve">Übertragbarkeit: </w:t>
      </w:r>
      <w:r>
        <w:rPr>
          <w:sz w:val="19"/>
        </w:rPr>
        <w:t>Griechenland, ähnliche Gesundheitssysteme, Fokus auf vulnerable Gruppen und Beratung auch für Deutschland relevant</w:t>
      </w:r>
    </w:p>
    <w:p>
      <w:r>
        <w:rPr>
          <w:color w:val="5A7D3A"/>
          <w:sz w:val="18"/>
        </w:rPr>
        <w:t>https://pubmed.ncbi.nlm.nih.gov/42484114/</w:t>
      </w:r>
    </w:p>
    <w:p>
      <w:pPr>
        <w:pStyle w:val="Heading1"/>
      </w:pPr>
      <w:r>
        <w:t>Aufgenommen am 28.09.2026</w:t>
      </w:r>
    </w:p>
    <w:p>
      <w:pPr>
        <w:pStyle w:val="Heading2"/>
      </w:pPr>
      <w:r>
        <w:t>MMR-Impfung und idiopathische thrombozytopenische Purpura: Risiko nach erster und zweiter Dosis bei englischen Kindern</w:t>
      </w:r>
    </w:p>
    <w:p>
      <w:r>
        <w:rPr>
          <w:i/>
          <w:color w:val="666666"/>
          <w:sz w:val="18"/>
        </w:rPr>
        <w:t>Andrews N et al.  ·  Vaccine  ·  24.10.2026  ·  PMID 42771940</w:t>
      </w:r>
    </w:p>
    <w:p>
      <w:r>
        <w:t>Retrospektive Kohortenstudie anhand von verknüpften Krankenhausdaten zu Blutungskomplikationen nach MMR-Impfung bei 3,9 Millionen Kindern in England 2000-2019.</w:t>
      </w:r>
    </w:p>
    <w:p>
      <w:r>
        <w:rPr>
          <w:b/>
        </w:rPr>
        <w:t xml:space="preserve">Ergebnis: </w:t>
      </w:r>
      <w:r>
        <w:t>Nach erster MMR-Dosis erhöhtes ITP-Risiko (relatives Risiko 2,38; 95%-KI 2,12–2,67), entsprechend 1 Fall pro 42.900 Dosen. Nach zweiter Dosis kein erhöhtes Risiko (RR 0,96; 95%-KI 0,81–1,13). Kinder mit ITP nach Dosis 1 zeigten kein zusätzliches Risiko nach Dosis 2; eine Wiederimpfung ist sicher.</w:t>
      </w:r>
    </w:p>
    <w:p>
      <w:r>
        <w:rPr>
          <w:b/>
          <w:sz w:val="19"/>
        </w:rPr>
        <w:t xml:space="preserve">Übertragbarkeit: </w:t>
      </w:r>
      <w:r>
        <w:rPr>
          <w:sz w:val="19"/>
        </w:rPr>
        <w:t>Englische Klinikdaten, vergleichbare Dokumentationspflichten mit Deutschland.</w:t>
      </w:r>
    </w:p>
    <w:p>
      <w:r>
        <w:rPr>
          <w:color w:val="5A7D3A"/>
          <w:sz w:val="18"/>
        </w:rPr>
        <w:t>https://pubmed.ncbi.nlm.nih.gov/42771940/</w:t>
      </w:r>
    </w:p>
    <w:p>
      <w:pPr>
        <w:pStyle w:val="Heading2"/>
      </w:pPr>
      <w:r>
        <w:t>HPV-Impfquote und Ungleichheit in Süditalien: Sozioökonomische Faktoren und Organisationsbarrieren</w:t>
      </w:r>
    </w:p>
    <w:p>
      <w:r>
        <w:rPr>
          <w:i/>
          <w:color w:val="666666"/>
          <w:sz w:val="18"/>
        </w:rPr>
        <w:t>Mercogliano M et al.  ·  Vaccine  ·  24.10.2026  ·  PMID 42763966</w:t>
      </w:r>
    </w:p>
    <w:p>
      <w:r>
        <w:t>Bevölkerungsbasierte Längsschnittanalyse mit Impfregister-Daten aus Kampanien 2006–2023 zu Einflussfaktoren auf HPV-Impfquoten bei Mädchen und Jungen.</w:t>
      </w:r>
    </w:p>
    <w:p>
      <w:r>
        <w:rPr>
          <w:b/>
        </w:rPr>
        <w:t xml:space="preserve">Ergebnis: </w:t>
      </w:r>
      <w:r>
        <w:t>Ein-Dosis-Quote Mädchen max. 68,5%, Jungen max. 41,1%. Vollständige Immunisierung Mädchen 62,2%, Jungen 29,9%. Sozioökonomische Deprivation senkte Impfquoten bei Jungen (Koeffizient −1,56 für Eine-Dosis-Quote), nicht aber bei routiner Impfung von Mädchen. Nachholimpfung stark von Deprivation betroffen. Impfdichtevariation über Bezirke hinweg unabhängig von Zentrenanzahl.</w:t>
      </w:r>
    </w:p>
    <w:p>
      <w:r>
        <w:rPr>
          <w:b/>
          <w:sz w:val="19"/>
        </w:rPr>
        <w:t xml:space="preserve">Übertragbarkeit: </w:t>
      </w:r>
      <w:r>
        <w:rPr>
          <w:sz w:val="19"/>
        </w:rPr>
        <w:t>Italien, vergleichbares Versicherungssystem und Impfprogramm mit Deutschland.</w:t>
      </w:r>
    </w:p>
    <w:p>
      <w:r>
        <w:rPr>
          <w:color w:val="5A7D3A"/>
          <w:sz w:val="18"/>
        </w:rPr>
        <w:t>https://pubmed.ncbi.nlm.nih.gov/42763966/</w:t>
      </w:r>
    </w:p>
    <w:p>
      <w:pPr>
        <w:pStyle w:val="Heading2"/>
      </w:pPr>
      <w:r>
        <w:t>Impfplan-Adhärenz in Deutschland: Komplexität im 1. Lebensjahr senkt Quote</w:t>
      </w:r>
    </w:p>
    <w:p>
      <w:r>
        <w:rPr>
          <w:i/>
          <w:color w:val="666666"/>
          <w:sz w:val="18"/>
        </w:rPr>
        <w:t>Arede M et al.  ·  Vaccine  ·  24.10.2026  ·  PMID 42759250</w:t>
      </w:r>
    </w:p>
    <w:p>
      <w:r>
        <w:t>Querschnitts- und Längsschnittanalyse aus KUNO-Kids-Studie (Bayern 2015–2020) zur Erreichung und zeitgerechten Durchführung des deutschen Impfkalenders bei 2.044 Kindern.</w:t>
      </w:r>
    </w:p>
    <w:p>
      <w:r>
        <w:rPr>
          <w:b/>
        </w:rPr>
        <w:t xml:space="preserve">Ergebnis: </w:t>
      </w:r>
      <w:r>
        <w:t>Bei 24 Monaten: Hexavalent-Impfquoten 71–76%, MMR 86–87%; keine Vakzine erreichte 90–95%-Ziel. Vollständige Kalender-Adhärenz bei 50–55% mit 2 Jahren, 59–76% mit 4 Jahren. Hexavalent-Quote bei 4 Jahren nur 84%, Nachholimpfung geringer als für MMR. Komplexe Mehrfach-Dosis-Schemata im 1. Lebensjahr assoziiert mit verzögerter Adhärenz.</w:t>
      </w:r>
    </w:p>
    <w:p>
      <w:r>
        <w:rPr>
          <w:b/>
          <w:sz w:val="19"/>
        </w:rPr>
        <w:t xml:space="preserve">Übertragbarkeit: </w:t>
      </w:r>
      <w:r>
        <w:rPr>
          <w:sz w:val="19"/>
        </w:rPr>
        <w:t>Deutsche Daten direkt, Versorgungsforschung im eigenen Gesundheitssystem.</w:t>
      </w:r>
    </w:p>
    <w:p>
      <w:r>
        <w:rPr>
          <w:color w:val="5A7D3A"/>
          <w:sz w:val="18"/>
        </w:rPr>
        <w:t>https://pubmed.ncbi.nlm.nih.gov/42759250/</w:t>
      </w:r>
    </w:p>
    <w:p>
      <w:pPr>
        <w:pStyle w:val="Heading2"/>
      </w:pPr>
      <w:r>
        <w:t>Grippe-Impfquoten senken Sterblichkeit älterer Europäer messbar</w:t>
      </w:r>
    </w:p>
    <w:p>
      <w:r>
        <w:rPr>
          <w:i/>
          <w:color w:val="666666"/>
          <w:sz w:val="18"/>
        </w:rPr>
        <w:t>Zhou B et al.  ·  Vaccine  ·  24.10.2026  ·  PMID 42759249</w:t>
      </w:r>
    </w:p>
    <w:p>
      <w:r>
        <w:t>Ökologische Panel-Analyse mit Surveys (SHARE) und GBD-Daten aus 21 EU/EEA-Ländern, Schweiz und Israel (2019/20 und 2021/22) zur Assoziation von Impfquoten mit Mortalität und Morbidität.</w:t>
      </w:r>
    </w:p>
    <w:p>
      <w:r>
        <w:rPr>
          <w:b/>
        </w:rPr>
        <w:t xml:space="preserve">Ergebnis: </w:t>
      </w:r>
      <w:r>
        <w:t>Mittlere Impfquote stieg von 34,5% auf 47,6%, blieb unter 75%-Ziel. Pro 1%-Punkt höhere Impfquote: 14,9 weniger Todesfälle/100.000 Ältere (95%-KI −22,8 bis −7,1), 328,1 weniger Gesamt-DALYs/100.000 (95%-KI −480,4 bis −175,8), 6,3 weniger LRTI-DALYs/100.000. Assoziationen auch für Diabetes-DALYs (−12,1).</w:t>
      </w:r>
    </w:p>
    <w:p>
      <w:r>
        <w:rPr>
          <w:b/>
          <w:sz w:val="19"/>
        </w:rPr>
        <w:t xml:space="preserve">Übertragbarkeit: </w:t>
      </w:r>
      <w:r>
        <w:rPr>
          <w:sz w:val="19"/>
        </w:rPr>
        <w:t>21 europäische Länder, vergleichbare Gesundheitssysteme und Erfassungsmethoden.</w:t>
      </w:r>
    </w:p>
    <w:p>
      <w:r>
        <w:rPr>
          <w:color w:val="5A7D3A"/>
          <w:sz w:val="18"/>
        </w:rPr>
        <w:t>https://pubmed.ncbi.nlm.nih.gov/42759249/</w:t>
      </w:r>
    </w:p>
    <w:p>
      <w:pPr>
        <w:pStyle w:val="Heading2"/>
      </w:pPr>
      <w:r>
        <w:t>Schulische HPV-Impfaufklärung hebt Impfquoten: Was wirkt wirklich?</w:t>
      </w:r>
    </w:p>
    <w:p>
      <w:r>
        <w:rPr>
          <w:i/>
          <w:color w:val="666666"/>
          <w:sz w:val="18"/>
        </w:rPr>
        <w:t>Munoz A et al.  ·  Vaccine  ·  24.10.2026  ·  PMID 42753385</w:t>
      </w:r>
    </w:p>
    <w:p>
      <w:r>
        <w:t>Randomisierte Interventionsstudie mit 2.758 Schülern in 39 französischen Schulen zur Mediation von Effekten zwischen Wissens-, Einstellungs- und Verhaltensänderungen und HPV-Impfakzeptanz.</w:t>
      </w:r>
    </w:p>
    <w:p>
      <w:r>
        <w:rPr>
          <w:b/>
        </w:rPr>
        <w:t xml:space="preserve">Ergebnis: </w:t>
      </w:r>
      <w:r>
        <w:t>Gemeinsame Aufklärung (EMM) erhöhte Impfakzeptanz/Impfabsicht (OR 1,57; 95%-KI 1,02–2,41). Stärkste Mediationswirkungen durch verbesserte Nutzen-Risiko-Einstellung (OR 1,14), Sicherheitswahrnehmung (OR 1,12), Zugänglichkeit (OR 1,11), Peer-Diskussionen (OR 1,11) und Selbsteingeschätztes Wissen (OR 1,10). Haltungsänderungen wichtiger als reine Wissenseerhöhung.</w:t>
      </w:r>
    </w:p>
    <w:p>
      <w:r>
        <w:rPr>
          <w:b/>
          <w:sz w:val="19"/>
        </w:rPr>
        <w:t xml:space="preserve">Übertragbarkeit: </w:t>
      </w:r>
      <w:r>
        <w:rPr>
          <w:sz w:val="19"/>
        </w:rPr>
        <w:t>Frankreich, vergleichbare Schulstrukturen und Impfprogramme.</w:t>
      </w:r>
    </w:p>
    <w:p>
      <w:r>
        <w:rPr>
          <w:color w:val="5A7D3A"/>
          <w:sz w:val="18"/>
        </w:rPr>
        <w:t>https://pubmed.ncbi.nlm.nih.gov/42753385/</w:t>
      </w:r>
    </w:p>
    <w:p>
      <w:pPr>
        <w:pStyle w:val="Heading2"/>
      </w:pPr>
      <w:r>
        <w:t>Pertussis-Impfung in der Schwangerschaft: Einflussfaktoren und Impfskepsis in den Niederlanden</w:t>
      </w:r>
    </w:p>
    <w:p>
      <w:r>
        <w:rPr>
          <w:i/>
          <w:color w:val="666666"/>
          <w:sz w:val="18"/>
        </w:rPr>
        <w:t>van Vreeswijk-van Donselaar L et al.  ·  Vaccine  ·  24.10.2026  ·  PMID 42743752</w:t>
      </w:r>
    </w:p>
    <w:p>
      <w:r>
        <w:t>Retrospektive Kohortenstudie mit 17.513 Müttern aus Jugendgesundheitszentren (Niederlande 2020–März 2025) zu Determinanten der Impfakzeptanz und Gründen für Ablehnung.</w:t>
      </w:r>
    </w:p>
    <w:p>
      <w:r>
        <w:rPr>
          <w:b/>
        </w:rPr>
        <w:t xml:space="preserve">Ergebnis: </w:t>
      </w:r>
      <w:r>
        <w:t>Höhere Impfquote mit älterem Alter (OR 1,78–2,70), Beschäftigung (OR 2,55). Niedrigere Quote bei geringerer Bildung (OR 0,41), Mehrparität (OR 0,61), Geburt außerhalb NL. Mütter ≥41 Jahre lehnten öfter wegen Graviditätsbedenken ab (OR 2,61). Nicht-niederländische Muttersprache führte zu fehlender Info von Fachleuten (OR 2,19–2,96). Impfskepsis verteilt sich über alle soziodemografischen Gruppen.</w:t>
      </w:r>
    </w:p>
    <w:p>
      <w:r>
        <w:rPr>
          <w:b/>
          <w:sz w:val="19"/>
        </w:rPr>
        <w:t xml:space="preserve">Übertragbarkeit: </w:t>
      </w:r>
      <w:r>
        <w:rPr>
          <w:sz w:val="19"/>
        </w:rPr>
        <w:t>Niederlande, ähnliches Versicherungssystem und Impfprogramm.</w:t>
      </w:r>
    </w:p>
    <w:p>
      <w:r>
        <w:rPr>
          <w:color w:val="5A7D3A"/>
          <w:sz w:val="18"/>
        </w:rPr>
        <w:t>https://pubmed.ncbi.nlm.nih.gov/42743752/</w:t>
      </w:r>
    </w:p>
    <w:p>
      <w:pPr>
        <w:pStyle w:val="Heading2"/>
      </w:pPr>
      <w:r>
        <w:t>HPV-Impfung bei Männern senkt Analkrebs-Viren: Effekte sichtbar</w:t>
      </w:r>
    </w:p>
    <w:p>
      <w:r>
        <w:rPr>
          <w:i/>
          <w:color w:val="666666"/>
          <w:sz w:val="18"/>
        </w:rPr>
        <w:t>Checchi M et al.  ·  Vaccine  ·  24.10.2026  ·  PMID 42702144</w:t>
      </w:r>
    </w:p>
    <w:p>
      <w:r>
        <w:t>Überwachungsstudie mit 5.787 Rektaltupfern bei Männern, die Sex mit Männern haben (England 2017–2024, zwei Phasen) zum HPV-Serotyp-Rückgang nach Impfprogrammstart 2016.</w:t>
      </w:r>
    </w:p>
    <w:p>
      <w:r>
        <w:rPr>
          <w:b/>
        </w:rPr>
        <w:t xml:space="preserve">Ergebnis: </w:t>
      </w:r>
      <w:r>
        <w:t>36% Rückgang von HPV16/18-Prävalenz zwischen Phase 1 (2017–19, 3.291 Proben) und Phase 2 (2021–24, 2.496 Proben). HPV16/18-Prävalenz ähnlich in geimpften (16,6%; 95%-KI 15,2–18,1) und ungeimpften (15,8%; 95%-KI 14,5–17,1) Männern. Nachweis von Herdenimmunität und vermutlich Untererfassung von Impfmeldungen.</w:t>
      </w:r>
    </w:p>
    <w:p>
      <w:r>
        <w:rPr>
          <w:b/>
          <w:sz w:val="19"/>
        </w:rPr>
        <w:t xml:space="preserve">Übertragbarkeit: </w:t>
      </w:r>
      <w:r>
        <w:rPr>
          <w:sz w:val="19"/>
        </w:rPr>
        <w:t>England mit Impfregister; Datenqualität höher als Deutschland ohne Register.</w:t>
      </w:r>
    </w:p>
    <w:p>
      <w:r>
        <w:rPr>
          <w:color w:val="5A7D3A"/>
          <w:sz w:val="18"/>
        </w:rPr>
        <w:t>https://pubmed.ncbi.nlm.nih.gov/42702144/</w:t>
      </w:r>
    </w:p>
    <w:p>
      <w:pPr>
        <w:pStyle w:val="Heading1"/>
      </w:pPr>
      <w:r>
        <w:t>Aufgenommen am 27.09.2026</w:t>
      </w:r>
    </w:p>
    <w:p>
      <w:pPr>
        <w:pStyle w:val="Heading2"/>
      </w:pPr>
      <w:r>
        <w:t>Nirsevimab-Immunisierung senkte RSV-Hospitalisierung bei Neugeborenen um 78 %</w:t>
      </w:r>
    </w:p>
    <w:p>
      <w:r>
        <w:rPr>
          <w:i/>
          <w:color w:val="666666"/>
          <w:sz w:val="18"/>
        </w:rPr>
        <w:t>Auriti C et al.  ·  Viruses  ·  07.09.2026  ·  PMID 42797813</w:t>
      </w:r>
    </w:p>
    <w:p>
      <w:r>
        <w:t>Italienische Studie zur Wirksamkeit der universellen Nirsevimab-Prophylaxe gegen RSV-assoziierte Krankenhauseinweisungen bei Neugeborenen im Routinebetrieb.</w:t>
      </w:r>
    </w:p>
    <w:p>
      <w:r>
        <w:rPr>
          <w:b/>
        </w:rPr>
        <w:t xml:space="preserve">Ergebnis: </w:t>
      </w:r>
      <w:r>
        <w:t>78,3 % Wirksamkeit gegen RSV-assoziierte Hospitalisierung; Nirsevimab-geimpfte Infanten hatten niedrigere RSV-Infektionsrate (33,99 % vs. 68,21 %; p&lt;0,001) und benötigten seltener Atemunterstützung (55,23 % vs. 70,07 %; p&lt;0,001). Unter hospitalisierten Infanten zeigte sich ein 80,2 % Rückgang der Atemunterstützung und 64,3 % weniger NICU-Aufnahmen durch Impfung.</w:t>
      </w:r>
    </w:p>
    <w:p>
      <w:r>
        <w:rPr>
          <w:b/>
          <w:sz w:val="19"/>
        </w:rPr>
        <w:t xml:space="preserve">Übertragbarkeit: </w:t>
      </w:r>
      <w:r>
        <w:rPr>
          <w:sz w:val="19"/>
        </w:rPr>
        <w:t>Italien, vergleichbares Versicherungssystem und Impfkalender wie DACH</w:t>
      </w:r>
    </w:p>
    <w:p>
      <w:r>
        <w:rPr>
          <w:color w:val="5A7D3A"/>
          <w:sz w:val="18"/>
        </w:rPr>
        <w:t>https://pubmed.ncbi.nlm.nih.gov/42797813/</w:t>
      </w:r>
    </w:p>
    <w:p>
      <w:pPr>
        <w:pStyle w:val="Heading2"/>
      </w:pPr>
      <w:r>
        <w:t>Pneumokokken-Nasopharyngeal-Besiedlung bei hospitalisierten Kindern in Lettland</w:t>
      </w:r>
    </w:p>
    <w:p>
      <w:r>
        <w:rPr>
          <w:i/>
          <w:color w:val="666666"/>
          <w:sz w:val="18"/>
        </w:rPr>
        <w:t>Cupeca H et al.  ·  PLoS One  ·  25.09.2026  ·  PMID 42789531</w:t>
      </w:r>
    </w:p>
    <w:p>
      <w:r>
        <w:t>Querschnittsstudie zur Prävalenz und Serotyp-Verteilung von Pneumokokken-Besiedlung bei hospitalisierten Kindern während des Übergangs von PCV13 zu PCV15/PCV20.</w:t>
      </w:r>
    </w:p>
    <w:p>
      <w:r>
        <w:rPr>
          <w:b/>
        </w:rPr>
        <w:t xml:space="preserve">Ergebnis: </w:t>
      </w:r>
      <w:r>
        <w:t>Gesamtprävalenz der Besiedlung 21,8 % (70/321; 95%-KI: 17,6–26,6%); PCV-Impfquote 63,2 % (203/321), überwiegend PCV10; kein signifikanter Unterschied zwischen geimpften und ungeimpften Kindern (25,6 % vs. 16,7 %; p=0,138); häufigste Serotypen 20, 13, 48 – keine in PCV13-abgedeckt.</w:t>
      </w:r>
    </w:p>
    <w:p>
      <w:r>
        <w:rPr>
          <w:b/>
          <w:sz w:val="19"/>
        </w:rPr>
        <w:t xml:space="preserve">Übertragbarkeit: </w:t>
      </w:r>
      <w:r>
        <w:rPr>
          <w:sz w:val="19"/>
        </w:rPr>
        <w:t>Baltische Region, aber Daten übertragbar auf deutschsprachige Länder bei ähnlichem PCV-Übergang</w:t>
      </w:r>
    </w:p>
    <w:p>
      <w:r>
        <w:rPr>
          <w:color w:val="5A7D3A"/>
          <w:sz w:val="18"/>
        </w:rPr>
        <w:t>https://pubmed.ncbi.nlm.nih.gov/42789531/</w:t>
      </w:r>
    </w:p>
    <w:p>
      <w:pPr>
        <w:pStyle w:val="Heading2"/>
      </w:pPr>
      <w:r>
        <w:t>Vertrauen und mRNA-Impfstoffakzeptanz durch deliberative Dialoge stärken</w:t>
      </w:r>
    </w:p>
    <w:p>
      <w:r>
        <w:rPr>
          <w:i/>
          <w:color w:val="666666"/>
          <w:sz w:val="18"/>
        </w:rPr>
        <w:t>Plamondon K et al.  ·  JMIR Res Protoc  ·  25.09.2026  ·  PMID 42789402</w:t>
      </w:r>
    </w:p>
    <w:p>
      <w:r>
        <w:t>Protokoll einer sequenziellen deliberativen Dialogstudie zu Bedingungen für informierte Öffentlichkeitsbeteiligung, Vertrauen und Akzeptanz emergenter Vakzin-Technologien am Beispiel mRNA-Impfstoffe.</w:t>
      </w:r>
    </w:p>
    <w:p>
      <w:r>
        <w:rPr>
          <w:b/>
        </w:rPr>
        <w:t xml:space="preserve">Ergebnis: </w:t>
      </w:r>
      <w:r>
        <w:t>Bis Juni 2026: 10 deliberative Dialoge und 1 selbstgeleiteter Dialog mit 77 Beteiligten durchgeführt; 2 summative Dialoge mit 18 Teilnehmern; erwartete Publikation Zweite Hälfte 2026; Fokus auf Verbesserung von Wissenschaftskompetenz, tailored Kommunikation unter Berücksichtigung historischer Ungleichheiten und Navigation von Polarisierung rund um Impfung.</w:t>
      </w:r>
    </w:p>
    <w:p>
      <w:r>
        <w:rPr>
          <w:b/>
          <w:sz w:val="19"/>
        </w:rPr>
        <w:t xml:space="preserve">Übertragbarkeit: </w:t>
      </w:r>
      <w:r>
        <w:rPr>
          <w:sz w:val="19"/>
        </w:rPr>
        <w:t>Kanada, aber deliberative Methode und Vertrauensfragen universal auf deutschsprachige Systeme übertragbar</w:t>
      </w:r>
    </w:p>
    <w:p>
      <w:r>
        <w:rPr>
          <w:color w:val="5A7D3A"/>
          <w:sz w:val="18"/>
        </w:rPr>
        <w:t>https://pubmed.ncbi.nlm.nih.gov/42789402/</w:t>
      </w:r>
    </w:p>
    <w:p>
      <w:pPr>
        <w:pStyle w:val="Heading2"/>
      </w:pPr>
      <w:r>
        <w:t>Hochdosis-Influenzaimpfung für kardiovaskuläre Prävention bei älteren Patienten</w:t>
      </w:r>
    </w:p>
    <w:p>
      <w:r>
        <w:rPr>
          <w:i/>
          <w:color w:val="666666"/>
          <w:sz w:val="18"/>
        </w:rPr>
        <w:t>Volpe M et al.  ·  G Ital Cardiol (Rome)  ·  Okt. 2026  ·  PMID 42788302</w:t>
      </w:r>
    </w:p>
    <w:p>
      <w:r>
        <w:t>Konsens-Papier fünf italienischer Fachgesellschaften zur Influenzaimpfung als Prävention kardiovaskulärer Komplikationen bei Risikopatienten, basierend auf FLUNITY-HD-Daten.</w:t>
      </w:r>
    </w:p>
    <w:p>
      <w:r>
        <w:rPr>
          <w:b/>
        </w:rPr>
        <w:t xml:space="preserve">Ergebnis: </w:t>
      </w:r>
      <w:r>
        <w:t>Hochdosis-Influenzaimpfung zeigt signifikante Vorteile gegenüber Standarddosis; Empfehlung für ältere Patienten und solche mit kardiovaskulärer Erkrankung zur Stärkung der Immunantwort und besseren kardiovaskulären Schutz.</w:t>
      </w:r>
    </w:p>
    <w:p>
      <w:r>
        <w:rPr>
          <w:b/>
          <w:sz w:val="19"/>
        </w:rPr>
        <w:t xml:space="preserve">Übertragbarkeit: </w:t>
      </w:r>
      <w:r>
        <w:rPr>
          <w:sz w:val="19"/>
        </w:rPr>
        <w:t>Italien, aber zunehmende Evidenz aus großen europäischen Studien; übertragbar auf deutsche Impfpraxis</w:t>
      </w:r>
    </w:p>
    <w:p>
      <w:r>
        <w:rPr>
          <w:color w:val="5A7D3A"/>
          <w:sz w:val="18"/>
        </w:rPr>
        <w:t>https://pubmed.ncbi.nlm.nih.gov/42788302/</w:t>
      </w:r>
    </w:p>
    <w:p>
      <w:pPr>
        <w:pStyle w:val="Heading2"/>
      </w:pPr>
      <w:r>
        <w:t>Anti-CD19-CAR-T-Therapie in SLE: Keine Signale für beeinträchtigte Eierstockreserve</w:t>
      </w:r>
    </w:p>
    <w:p>
      <w:r>
        <w:rPr>
          <w:i/>
          <w:color w:val="666666"/>
          <w:sz w:val="18"/>
        </w:rPr>
        <w:t>Pecher AC et al.  ·  Rheumatology (Oxford)  ·  01.08.2026  ·  PMID 42584071</w:t>
      </w:r>
    </w:p>
    <w:p>
      <w:r>
        <w:t>Longitudinale Studie zu reproduktiven Hormonmarkern bei 13 Frauen mit schwerem, therapierefraktärem SLE nach anti-CD19-CAR-T-Zelltherapie.</w:t>
      </w:r>
    </w:p>
    <w:p>
      <w:r>
        <w:rPr>
          <w:b/>
        </w:rPr>
        <w:t xml:space="preserve">Ergebnis: </w:t>
      </w:r>
      <w:r>
        <w:t>AMH-Level stabil (1,54 ng/ml [IQR 0,64–3,15] vs. 2,14 ng/ml [0,63–3,26]; p=0,886); FSH moderat erhöht (6,60 IU/l [4,00–7,90] vs. 7,20 IU/l [4,50–9,90]; p=0,033), aber ohne begleitenden AMH-Rückgang; keine Signale einer beeinträchtigten Eierstockreserve unter Standardlymphodepletion.</w:t>
      </w:r>
    </w:p>
    <w:p>
      <w:r>
        <w:rPr>
          <w:b/>
          <w:sz w:val="19"/>
        </w:rPr>
        <w:t xml:space="preserve">Übertragbarkeit: </w:t>
      </w:r>
      <w:r>
        <w:rPr>
          <w:sz w:val="19"/>
        </w:rPr>
        <w:t>Deutschland, Schweiz, Österreich – Immuntherapie-Zentren mit ähnlicher CAR-T-Infrastruktur</w:t>
      </w:r>
    </w:p>
    <w:p>
      <w:r>
        <w:rPr>
          <w:color w:val="5A7D3A"/>
          <w:sz w:val="18"/>
        </w:rPr>
        <w:t>https://pubmed.ncbi.nlm.nih.gov/42584071/</w:t>
      </w:r>
    </w:p>
    <w:p>
      <w:pPr>
        <w:pStyle w:val="Heading2"/>
      </w:pPr>
      <w:r>
        <w:t>Internetnutzung hat ambivalente Effekte auf Impfskepsis: Hochschulrechnung mit 48.538 Personen</w:t>
      </w:r>
    </w:p>
    <w:p>
      <w:r>
        <w:rPr>
          <w:i/>
          <w:color w:val="666666"/>
          <w:sz w:val="18"/>
        </w:rPr>
        <w:t>Helbing A et al.  ·  J Community Health  ·  16.07.2026  ·  PMID 42461515</w:t>
      </w:r>
    </w:p>
    <w:p>
      <w:r>
        <w:t>Multilevel-Logit-Analyse zu Zusammenhang zwischen Internetnutzung, digitaler Gesundheitskompetenz (DHL) und Impfskepsis auf Basis der ISSP 2021-Daten.</w:t>
      </w:r>
    </w:p>
    <w:p>
      <w:r>
        <w:rPr>
          <w:b/>
        </w:rPr>
        <w:t xml:space="preserve">Ergebnis: </w:t>
      </w:r>
      <w:r>
        <w:t>Nicht-lineare Beziehung: Personen ohne Internetzugang und solche mit sehr häufiger Online-Suche nach Impfinformation zeigen höhere Skepsis; niedrige DHL konsistent mit mehr Impfskepsis assoziiert; Unzufriedenheit mit Gesundheitssystem und niedrigere nationale Gesundheitsqualität verstärken Skepsis; Internetnutzung ist sowohl Bildungs- als auch Fehlinformationspotenzial.</w:t>
      </w:r>
    </w:p>
    <w:p>
      <w:r>
        <w:rPr>
          <w:b/>
          <w:sz w:val="19"/>
        </w:rPr>
        <w:t xml:space="preserve">Übertragbarkeit: </w:t>
      </w:r>
      <w:r>
        <w:rPr>
          <w:sz w:val="19"/>
        </w:rPr>
        <w:t>48 Länder (ISSP), inklusive Deutschland; vergleichbare Sozialversicherungssysteme</w:t>
      </w:r>
    </w:p>
    <w:p>
      <w:r>
        <w:rPr>
          <w:color w:val="5A7D3A"/>
          <w:sz w:val="18"/>
        </w:rPr>
        <w:t>https://pubmed.ncbi.nlm.nih.gov/42461515/</w:t>
      </w:r>
    </w:p>
    <w:p>
      <w:pPr>
        <w:pStyle w:val="Heading1"/>
      </w:pPr>
      <w:r>
        <w:t>Aufgenommen am 26.09.2026</w:t>
      </w:r>
    </w:p>
    <w:p>
      <w:pPr>
        <w:pStyle w:val="Heading2"/>
      </w:pPr>
      <w:r>
        <w:t>Tollwutimpfung bei Kindern in Thailand: Prävention mit Kosten-Nutzen-Vorteilen</w:t>
      </w:r>
    </w:p>
    <w:p>
      <w:r>
        <w:rPr>
          <w:i/>
          <w:color w:val="666666"/>
          <w:sz w:val="18"/>
        </w:rPr>
        <w:t>Soopairin S et al.  ·  BMJ Glob Health  ·  25.09.2026  ·  PMID 42791044</w:t>
      </w:r>
    </w:p>
    <w:p>
      <w:r>
        <w:t>Entscheidungsmodell-Analyse zum Kosten-Nutzen-Verhältnis einer Tollwut-Präexpositionsprophylaxe (PrEP) plus Postexpositionsprophylaxe (PEP) versus PEP allein bei 5-Jährigen in Thailand.</w:t>
      </w:r>
    </w:p>
    <w:p>
      <w:r>
        <w:rPr>
          <w:b/>
        </w:rPr>
        <w:t xml:space="preserve">Ergebnis: </w:t>
      </w:r>
      <w:r>
        <w:t>PrEP+PEP intrakutan mit inaktiviertem Hühnerzellvakzin war kosteneffektiv mit 40.977 THB (~1.161 USD) pro qualitätsbereinigtem Lebensjahr vs. PEP allein. Jährliche Bissinzidenz war einflussreichster Parameter; Kosten-Effektivität bleib robust über weitere Parameter.</w:t>
      </w:r>
    </w:p>
    <w:p>
      <w:r>
        <w:rPr>
          <w:b/>
          <w:sz w:val="19"/>
        </w:rPr>
        <w:t xml:space="preserve">Übertragbarkeit: </w:t>
      </w:r>
      <w:r>
        <w:rPr>
          <w:sz w:val="19"/>
        </w:rPr>
        <w:t>Thailand, außereuropäisches System; Kosten-Nutzen-Befund ist methodisch übertragbar für Priorisierung in Impfprogrammen.</w:t>
      </w:r>
    </w:p>
    <w:p>
      <w:r>
        <w:rPr>
          <w:color w:val="5A7D3A"/>
          <w:sz w:val="18"/>
        </w:rPr>
        <w:t>https://pubmed.ncbi.nlm.nih.gov/42791044/</w:t>
      </w:r>
    </w:p>
    <w:p>
      <w:pPr>
        <w:pStyle w:val="Heading2"/>
      </w:pPr>
      <w:r>
        <w:t>Influenza-Impfquoten in der Praxis: Defizite bei hochwertigen Impfstoffen</w:t>
      </w:r>
    </w:p>
    <w:p>
      <w:r>
        <w:rPr>
          <w:i/>
          <w:color w:val="666666"/>
          <w:sz w:val="18"/>
        </w:rPr>
        <w:t>Amicizia D et al.  ·  Hum Vaccin Immunother  ·  25.09.2026  ·  PMID 42788870</w:t>
      </w:r>
    </w:p>
    <w:p>
      <w:r>
        <w:t>Italienische Studie zur Influenzaimpfung ≥60-Jähriger in zwei Saisons (2023/24 und 2024/25), die den Wechsel zu dezentraler Versorgung durch Apotheken und Hausärzte untersucht.</w:t>
      </w:r>
    </w:p>
    <w:p>
      <w:r>
        <w:rPr>
          <w:b/>
        </w:rPr>
        <w:t xml:space="preserve">Ergebnis: </w:t>
      </w:r>
      <w:r>
        <w:t>Gesamtquote sank um 6% zwischen den Saisons; nur 65% (2023/24) bzw. 73% (2024/25) der ≥65-Jährigen erhielten altersgerechte hochdosierte Impfstoffe. Dezentrale Versorgung steigerte zwar Erreichbarkeit, führte aber zu erheblicher Varianz bei der Impfstoffwahl und suboptimalen Plattformen bei Hochrisikogruppen.</w:t>
      </w:r>
    </w:p>
    <w:p>
      <w:r>
        <w:rPr>
          <w:b/>
          <w:sz w:val="19"/>
        </w:rPr>
        <w:t xml:space="preserve">Übertragbarkeit: </w:t>
      </w:r>
      <w:r>
        <w:rPr>
          <w:sz w:val="19"/>
        </w:rPr>
        <w:t>Italien, vergleichbares Gesundheitssystem; zeigt Hürden bei Umsetzung von Leitlinien in dezentraler Versorgung.</w:t>
      </w:r>
    </w:p>
    <w:p>
      <w:r>
        <w:rPr>
          <w:color w:val="5A7D3A"/>
          <w:sz w:val="18"/>
        </w:rPr>
        <w:t>https://pubmed.ncbi.nlm.nih.gov/42788870/</w:t>
      </w:r>
    </w:p>
    <w:p>
      <w:pPr>
        <w:pStyle w:val="Heading2"/>
      </w:pPr>
      <w:r>
        <w:t>HPV-Impfung und Krebsvorsorge in Brasilien: Pandemie-Folgen bei Ungleichheit</w:t>
      </w:r>
    </w:p>
    <w:p>
      <w:r>
        <w:rPr>
          <w:i/>
          <w:color w:val="666666"/>
          <w:sz w:val="18"/>
        </w:rPr>
        <w:t>Carvalho TS et al.  ·  Rev Inst Med Trop Sao Paulo  ·  18.09.2026  ·  PMID 42788601</w:t>
      </w:r>
    </w:p>
    <w:p>
      <w:r>
        <w:t>Ökologische Studie (2016–2021) zur Auswirkung der COVID-19-Pandemie auf HPV-Impfquoten und Pap-Abstrich-Screening in Sao Paulo State mittels öffentlicher Datenbank.</w:t>
      </w:r>
    </w:p>
    <w:p>
      <w:r>
        <w:rPr>
          <w:b/>
        </w:rPr>
        <w:t xml:space="preserve">Ergebnis: </w:t>
      </w:r>
      <w:r>
        <w:t>HPV-Impfquoten stiegen 2020, hielten aber 2021 nicht an. Pap-Abstriche sanken 2020 und erholten sich 2021 nur teilweise, besonders in Gemeinden mit niedrigen sozioökonomischen Indikatoren. Anzahl der COVID-19-Fälle war nicht stark assoziiert mit Schwankungen in Präventionsdiensten.</w:t>
      </w:r>
    </w:p>
    <w:p>
      <w:r>
        <w:rPr>
          <w:b/>
          <w:sz w:val="19"/>
        </w:rPr>
        <w:t xml:space="preserve">Übertragbarkeit: </w:t>
      </w:r>
      <w:r>
        <w:rPr>
          <w:sz w:val="19"/>
        </w:rPr>
        <w:t>Brasilien, öffentliche Gesundheitsverwaltung; zeigt Resilienz-Probleme bei integrierten Präventionsprogrammen unter Krise, besonders bei vulnerablen Bevölkerungen.</w:t>
      </w:r>
    </w:p>
    <w:p>
      <w:r>
        <w:rPr>
          <w:color w:val="5A7D3A"/>
          <w:sz w:val="18"/>
        </w:rPr>
        <w:t>https://pubmed.ncbi.nlm.nih.gov/42788601/</w:t>
      </w:r>
    </w:p>
    <w:p>
      <w:pPr>
        <w:pStyle w:val="Heading2"/>
      </w:pPr>
      <w:r>
        <w:t>Sicherheit von HPV-Impfstoffen in China: Verträglichkeit unter Alltag</w:t>
      </w:r>
    </w:p>
    <w:p>
      <w:r>
        <w:rPr>
          <w:i/>
          <w:color w:val="666666"/>
          <w:sz w:val="18"/>
        </w:rPr>
        <w:t>Xie M et al.  ·  Hum Vaccin Immunother  ·  25.09.2026  ·  PMID 42788243</w:t>
      </w:r>
    </w:p>
    <w:p>
      <w:r>
        <w:t>Postmarketing-Sicherheitsüberwachung von HPV-Impfstoffen in Shandong 2017–2025 mittels Nebenwirkungsmeldungen.</w:t>
      </w:r>
    </w:p>
    <w:p>
      <w:r>
        <w:rPr>
          <w:b/>
        </w:rPr>
        <w:t xml:space="preserve">Ergebnis: </w:t>
      </w:r>
      <w:r>
        <w:t>1.056 Meldungen bei ~13,2 Millionen Dosen (Quote 7,99 pro 100.000 Dosen); 95,46% leichte Reaktionen, 1,42% seltene unerwünschte Ereignisse (u.a. Myalgie, Induration &gt;5 cm, Immunthrombozytopenie). Sicherheitsprofil insgesamt gut.</w:t>
      </w:r>
    </w:p>
    <w:p>
      <w:r>
        <w:rPr>
          <w:b/>
          <w:sz w:val="19"/>
        </w:rPr>
        <w:t xml:space="preserve">Übertragbarkeit: </w:t>
      </w:r>
      <w:r>
        <w:rPr>
          <w:sz w:val="19"/>
        </w:rPr>
        <w:t>China, anderes Meldesystem; bestätigt gutes Sicherheitsprofil auch bei Millionenfach-Anwendung.</w:t>
      </w:r>
    </w:p>
    <w:p>
      <w:r>
        <w:rPr>
          <w:color w:val="5A7D3A"/>
          <w:sz w:val="18"/>
        </w:rPr>
        <w:t>https://pubmed.ncbi.nlm.nih.gov/42788243/</w:t>
      </w:r>
    </w:p>
    <w:p>
      <w:pPr>
        <w:pStyle w:val="Heading2"/>
      </w:pPr>
      <w:r>
        <w:t>Enterovirus-71-Impfung senkt Fallzahlen von Hand-Fuß-Mund-Krankheit</w:t>
      </w:r>
    </w:p>
    <w:p>
      <w:r>
        <w:rPr>
          <w:i/>
          <w:color w:val="666666"/>
          <w:sz w:val="18"/>
        </w:rPr>
        <w:t>Li K et al.  ·  JMIR Public Health Surveill  ·  24.09.2026  ·  PMID 42785728</w:t>
      </w:r>
    </w:p>
    <w:p>
      <w:r>
        <w:t>Überwachungsstudie (2008–2023) in Anhui, China zur Epidemiologie von Hand-Fuß-Mund-Krankheit (HFMD) nach Einführung der EV71-Impfung und während COVID-19-Pandemie.</w:t>
      </w:r>
    </w:p>
    <w:p>
      <w:r>
        <w:rPr>
          <w:b/>
        </w:rPr>
        <w:t xml:space="preserve">Ergebnis: </w:t>
      </w:r>
      <w:r>
        <w:t>Typisierte EV71-Fälle sanken von 45,8% (vor Impfung) auf 3,4% (während COVID-19); Vorhersagemodelle für 2017–2019 zeigten 470 beobachtete vs. 659 vorhergesagte EV71-Fälle 2017 (95%-PI 467–933). Gesamtlast HFMD während COVID-19 substanziell unter Prognose, Todesfälle ab 2020 keine gemeldet.</w:t>
      </w:r>
    </w:p>
    <w:p>
      <w:r>
        <w:rPr>
          <w:b/>
          <w:sz w:val="19"/>
        </w:rPr>
        <w:t xml:space="preserve">Übertragbarkeit: </w:t>
      </w:r>
      <w:r>
        <w:rPr>
          <w:sz w:val="19"/>
        </w:rPr>
        <w:t>China, Überwachungsdaten; zeigt reale Impfeffektivität bei Bevölkerungsergebnissen unter Alltagsbedingungen.</w:t>
      </w:r>
    </w:p>
    <w:p>
      <w:r>
        <w:rPr>
          <w:color w:val="5A7D3A"/>
          <w:sz w:val="18"/>
        </w:rPr>
        <w:t>https://pubmed.ncbi.nlm.nih.gov/42785728/</w:t>
      </w:r>
    </w:p>
    <w:p>
      <w:pPr>
        <w:pStyle w:val="Heading2"/>
      </w:pPr>
      <w:r>
        <w:t>COVID-19-Impfung überwindet HLA-bedingte Unterschiede in Antikörper-Breite</w:t>
      </w:r>
    </w:p>
    <w:p>
      <w:r>
        <w:rPr>
          <w:i/>
          <w:color w:val="666666"/>
          <w:sz w:val="18"/>
        </w:rPr>
        <w:t>Nguyen TTN et al.  ·  Front Immunol  ·  08.09.2026  ·  PMID 42774458</w:t>
      </w:r>
    </w:p>
    <w:p>
      <w:r>
        <w:t>Longitudinale Kohortenstudie an 189 vietnamesischen Erwachsenen vor und nach COVID-19-Impfung, mit HLA-Genotypisierung und Neutralisierungstests gegen Variants of Concern.</w:t>
      </w:r>
    </w:p>
    <w:p>
      <w:r>
        <w:rPr>
          <w:b/>
        </w:rPr>
        <w:t xml:space="preserve">Ergebnis: </w:t>
      </w:r>
      <w:r>
        <w:t>Impfung erhöhte Antikörpertiter gegen Wuhan um 132-fach und gegen Omikron 10-fach; Neutralisierungbreite erweiterte sich substanziell. HLA-Assoziationen bei Zeitpunkt 1 beobachtet, aber Impfung erwies sich als stärkster Faktor für Neutralisierungsbreite bei Monat 15 (p&lt;0,001 in multivariablen Modellen).</w:t>
      </w:r>
    </w:p>
    <w:p>
      <w:r>
        <w:rPr>
          <w:b/>
          <w:sz w:val="19"/>
        </w:rPr>
        <w:t xml:space="preserve">Übertragbarkeit: </w:t>
      </w:r>
      <w:r>
        <w:rPr>
          <w:sz w:val="19"/>
        </w:rPr>
        <w:t>Vietnam, Hybridimmunität; zeigt, dass Impfung genetische Heterogenität in Antikörper-Breite überlagert und Population-spezifische Langzeitimmunität aufbaut.</w:t>
      </w:r>
    </w:p>
    <w:p>
      <w:r>
        <w:rPr>
          <w:color w:val="5A7D3A"/>
          <w:sz w:val="18"/>
        </w:rPr>
        <w:t>https://pubmed.ncbi.nlm.nih.gov/42774458/</w:t>
      </w:r>
    </w:p>
    <w:p>
      <w:pPr>
        <w:pStyle w:val="Heading1"/>
      </w:pPr>
      <w:r>
        <w:t>Aufgenommen am 25.09.2026</w:t>
      </w:r>
    </w:p>
    <w:p>
      <w:pPr>
        <w:pStyle w:val="Heading2"/>
      </w:pPr>
      <w:r>
        <w:t>SARS-CoV-2-Impfstoffverfügbarkeit in ruralen Regionen sub-Sahara-Afrikas – systematisches Reviewprotokoll</w:t>
      </w:r>
    </w:p>
    <w:p>
      <w:r>
        <w:rPr>
          <w:i/>
          <w:color w:val="666666"/>
          <w:sz w:val="18"/>
        </w:rPr>
        <w:t>Nyangi E et al.  ·  BMJ Open  ·  24.09.2026  ·  PMID 42785944</w:t>
      </w:r>
    </w:p>
    <w:p>
      <w:r>
        <w:t>Systematisches Reviewprotokoll zu Verfügbarkeit und Erreichbarkeit von COVID-19-Impfstoffen bei ruraler Bevölkerung in sub-Sahara-Afrika (Suche Oktober 2025–Oktober 2027).</w:t>
      </w:r>
    </w:p>
    <w:p>
      <w:r>
        <w:rPr>
          <w:b/>
        </w:rPr>
        <w:t xml:space="preserve">Ergebnis: </w:t>
      </w:r>
      <w:r>
        <w:t>Systematisches Review und Meta-Analyse in Planung; quantitative Befunde werden mit Modell mit Zufallseffekten gepoolt, qualitative Befunde thematisch synthetisiert. Schwerpunkt: strukturelle Barrieren, schwache Gesundheitssysteme, Ressourcenmangel.</w:t>
      </w:r>
    </w:p>
    <w:p>
      <w:r>
        <w:rPr>
          <w:b/>
          <w:sz w:val="19"/>
        </w:rPr>
        <w:t xml:space="preserve">Übertragbarkeit: </w:t>
      </w:r>
      <w:r>
        <w:rPr>
          <w:sz w:val="19"/>
        </w:rPr>
        <w:t>Sub-Sahara-Afrika, methodisch relevant für Reichweitenanalysen, aber Ressourcenlage sehr unterschiedlich</w:t>
      </w:r>
    </w:p>
    <w:p>
      <w:r>
        <w:rPr>
          <w:color w:val="5A7D3A"/>
          <w:sz w:val="18"/>
        </w:rPr>
        <w:t>https://pubmed.ncbi.nlm.nih.gov/42785944/</w:t>
      </w:r>
    </w:p>
    <w:p>
      <w:pPr>
        <w:pStyle w:val="Heading2"/>
      </w:pPr>
      <w:r>
        <w:t>Kostenloses Grippeimpfangebot erhöht Impfquote und psychisches Wohlbefinden älterer Menschen</w:t>
      </w:r>
    </w:p>
    <w:p>
      <w:r>
        <w:rPr>
          <w:i/>
          <w:color w:val="666666"/>
          <w:sz w:val="18"/>
        </w:rPr>
        <w:t>Wang Y  ·  Front Public Health  ·  09.09.2026  ·  PMID 42780378</w:t>
      </w:r>
    </w:p>
    <w:p>
      <w:r>
        <w:t>Chinesische Differenz-in-Differenzen-Analyse zur Wirkung einer kostenlosen Grippeimpfpolitik für die Bevölkerung ab 60 Jahren auf Impfquoten und Gesundheit.</w:t>
      </w:r>
    </w:p>
    <w:p>
      <w:r>
        <w:rPr>
          <w:b/>
        </w:rPr>
        <w:t xml:space="preserve">Ergebnis: </w:t>
      </w:r>
      <w:r>
        <w:t>Die Impfquote stieg um 23 Prozentpunkte. Die Wahrscheinlichkeit, dass gesundheitliche Probleme die täglichen Aktivitäten einschränken, sank um 16,9 Prozentpunkte; das Gefühl von Energie stieg um 28,1 Prozentpunkte. Der Effekt funktioniert über Verhaltenspfade, nicht nur biologisch.</w:t>
      </w:r>
    </w:p>
    <w:p>
      <w:r>
        <w:rPr>
          <w:b/>
          <w:sz w:val="19"/>
        </w:rPr>
        <w:t xml:space="preserve">Übertragbarkeit: </w:t>
      </w:r>
      <w:r>
        <w:rPr>
          <w:sz w:val="19"/>
        </w:rPr>
        <w:t>China, aber Versorgungsfrage (Kostenfreiheit und Quote) übertragbar auf Deutschland-Diskussionen zur Impffinanzierung</w:t>
      </w:r>
    </w:p>
    <w:p>
      <w:r>
        <w:rPr>
          <w:color w:val="5A7D3A"/>
          <w:sz w:val="18"/>
        </w:rPr>
        <w:t>https://pubmed.ncbi.nlm.nih.gov/42780378/</w:t>
      </w:r>
    </w:p>
    <w:p>
      <w:pPr>
        <w:pStyle w:val="Heading2"/>
      </w:pPr>
      <w:r>
        <w:t>Impfwissen und Eigenimpfung prägen Impfempfehlung durch Gesundheitspersonal</w:t>
      </w:r>
    </w:p>
    <w:p>
      <w:r>
        <w:rPr>
          <w:i/>
          <w:color w:val="666666"/>
          <w:sz w:val="18"/>
        </w:rPr>
        <w:t>Shi H et al.  ·  Front Public Health  ·  09.09.2026  ·  PMID 42780248</w:t>
      </w:r>
    </w:p>
    <w:p>
      <w:r>
        <w:t>Querschnittstudie zu Pfad zwischen Grippeimpfwissen, Eigenimpfung, zukünftiger Impfbereitschaft und Empfehlungsverhalten bei 4.238 Beschäftigten im Gesundheitswesen in Beijing.</w:t>
      </w:r>
    </w:p>
    <w:p>
      <w:r>
        <w:rPr>
          <w:b/>
        </w:rPr>
        <w:t xml:space="preserve">Ergebnis: </w:t>
      </w:r>
      <w:r>
        <w:t>22,1 % waren aktuell geimpft, 43,7 % wollten sich nächste Saison impfen, 82,0 % empfahlen Impfung Patienten. Impfwissen korrelierte mit Impfquote (β = 0,09, p &lt; 0,001); Eigenimpfung vorhersagend für zukünftige Impfbereitschaft (β = 0,47); zukünftige Bereitschaft stärkster Prädiktor für Empfehlung (β = 0,41, p &lt; 0,001).</w:t>
      </w:r>
    </w:p>
    <w:p>
      <w:r>
        <w:rPr>
          <w:b/>
          <w:sz w:val="19"/>
        </w:rPr>
        <w:t xml:space="preserve">Übertragbarkeit: </w:t>
      </w:r>
      <w:r>
        <w:rPr>
          <w:sz w:val="19"/>
        </w:rPr>
        <w:t>China, aber Pfadmodell (Wissen → Verhalten → Empfehlung) systemübergreifend relevant</w:t>
      </w:r>
    </w:p>
    <w:p>
      <w:r>
        <w:rPr>
          <w:color w:val="5A7D3A"/>
          <w:sz w:val="18"/>
        </w:rPr>
        <w:t>https://pubmed.ncbi.nlm.nih.gov/42780248/</w:t>
      </w:r>
    </w:p>
    <w:p>
      <w:pPr>
        <w:pStyle w:val="Heading2"/>
      </w:pPr>
      <w:r>
        <w:t>Impflücken bei Flüchtlingen und Migranten in Uganda: Systematische Analyse von Barrieren und Lösungen</w:t>
      </w:r>
    </w:p>
    <w:p>
      <w:r>
        <w:rPr>
          <w:i/>
          <w:color w:val="666666"/>
          <w:sz w:val="18"/>
        </w:rPr>
        <w:t>Nakachwa SM et al.  ·  Glob Public Health  ·  31.12.2026  ·  PMID 42776600</w:t>
      </w:r>
    </w:p>
    <w:p>
      <w:r>
        <w:t>Narrative Review zu Impfquoten, Barrieren und Maßnahmen bei Flüchtlingen und Migranten in Uganda bis September 2025.</w:t>
      </w:r>
    </w:p>
    <w:p>
      <w:r>
        <w:rPr>
          <w:b/>
        </w:rPr>
        <w:t xml:space="preserve">Ergebnis: </w:t>
      </w:r>
      <w:r>
        <w:t>Flüchtlings-Impfquoten unter nationalen Durchschnitten durch administrative Hürden, Engpässe, Entfernungen, Sprachhindernisse und Desinformation. Erfolgreiche Ansätze: Integration in nationale Systeme, vereinfachte Registrierung, mobile Angebote, Gemeindegesundheitspersonal, grenzübergreifende Datenkoordination.</w:t>
      </w:r>
    </w:p>
    <w:p>
      <w:r>
        <w:rPr>
          <w:b/>
          <w:sz w:val="19"/>
        </w:rPr>
        <w:t xml:space="preserve">Übertragbarkeit: </w:t>
      </w:r>
      <w:r>
        <w:rPr>
          <w:sz w:val="19"/>
        </w:rPr>
        <w:t>Uganda, aber Barrieren und Strategien (mobil, registrierungsarmut) für vulnerable Gruppen übertragbar</w:t>
      </w:r>
    </w:p>
    <w:p>
      <w:r>
        <w:rPr>
          <w:color w:val="5A7D3A"/>
          <w:sz w:val="18"/>
        </w:rPr>
        <w:t>https://pubmed.ncbi.nlm.nih.gov/42776600/</w:t>
      </w:r>
    </w:p>
    <w:p>
      <w:pPr>
        <w:pStyle w:val="Heading2"/>
      </w:pPr>
      <w:r>
        <w:t>Grippeimpfquote bei Fachpersonen in Guangzhou: Unterschiede nach Arbeitsstätte und Wissenstyp</w:t>
      </w:r>
    </w:p>
    <w:p>
      <w:r>
        <w:rPr>
          <w:i/>
          <w:color w:val="666666"/>
          <w:sz w:val="18"/>
        </w:rPr>
        <w:t>Lin D et al.  ·  Expert Rev Vaccines  ·  23.09.2026  ·  PMID 42775460</w:t>
      </w:r>
    </w:p>
    <w:p>
      <w:r>
        <w:t>Querschnittstudie unter 3.153 Gesundheitsfachleuten in Grundversorgung, Krankenhäusern und Schulen zur Grippeimpfquote und Empfehlungsverhalten.</w:t>
      </w:r>
    </w:p>
    <w:p>
      <w:r>
        <w:rPr>
          <w:b/>
        </w:rPr>
        <w:t xml:space="preserve">Ergebnis: </w:t>
      </w:r>
      <w:r>
        <w:t>46,2 % waren mindestens in einer der letzten vier Saisons geimpft, durchschnittliche saisonale Quote 28,2 %. Öffentlichkeitsgesundheit: OR 2,53, Schulgesundheit: OR 0,64 vs. Ärzte. Impfstoffwissen positiv assoziiert mit Impfung (OR 1,09) und Empfehlungsverhalten (OR 1,11).</w:t>
      </w:r>
    </w:p>
    <w:p>
      <w:r>
        <w:rPr>
          <w:b/>
          <w:sz w:val="19"/>
        </w:rPr>
        <w:t xml:space="preserve">Übertragbarkeit: </w:t>
      </w:r>
      <w:r>
        <w:rPr>
          <w:sz w:val="19"/>
        </w:rPr>
        <w:t>China, aber Versorgungsmuster (Quote nach Berufsgruppe) international vergleichbar</w:t>
      </w:r>
    </w:p>
    <w:p>
      <w:r>
        <w:rPr>
          <w:color w:val="5A7D3A"/>
          <w:sz w:val="18"/>
        </w:rPr>
        <w:t>https://pubmed.ncbi.nlm.nih.gov/42775460/</w:t>
      </w:r>
    </w:p>
    <w:p>
      <w:pPr>
        <w:pStyle w:val="Heading2"/>
      </w:pPr>
      <w:r>
        <w:t>HPV-Impfung und HPV-Screening kombiniert für vulnerable Frauen in Europa – Implementierungsprotokoll</w:t>
      </w:r>
    </w:p>
    <w:p>
      <w:r>
        <w:rPr>
          <w:i/>
          <w:color w:val="666666"/>
          <w:sz w:val="18"/>
        </w:rPr>
        <w:t>Mosquera I et al.  ·  Cancer Control  ·  02.09.2026  ·  PMID 42683830</w:t>
      </w:r>
    </w:p>
    <w:p>
      <w:r>
        <w:t>Implementierungsstudienprotokoll zur Kapazität von Gesundheitssystemen, HPV-Impfung und HPV-basiertes Screening kombiniert für vulnerable Gruppen (25–45 Jahre) in Spanien, Schweden, Dänemark, Rumänien und Frankreich anzubieten.</w:t>
      </w:r>
    </w:p>
    <w:p>
      <w:r>
        <w:rPr>
          <w:b/>
        </w:rPr>
        <w:t xml:space="preserve">Ergebnis: </w:t>
      </w:r>
      <w:r>
        <w:t>Protokoll umfasst Schreibtischreview, Vor-Ort-Prüfungen und Stakeholder-Interviews. Ziel: Systemkapazität messen und Strategien zur HPV-Schneller-Elimination in Europa tailoriert stärken. Studie läuft.</w:t>
      </w:r>
    </w:p>
    <w:p>
      <w:r>
        <w:rPr>
          <w:b/>
          <w:sz w:val="19"/>
        </w:rPr>
        <w:t xml:space="preserve">Übertragbarkeit: </w:t>
      </w:r>
      <w:r>
        <w:rPr>
          <w:sz w:val="19"/>
        </w:rPr>
        <w:t>Mehrere europäische Länder (DACH-nahes System), vergleichbare nationale Gesundheitssysteme</w:t>
      </w:r>
    </w:p>
    <w:p>
      <w:r>
        <w:rPr>
          <w:color w:val="5A7D3A"/>
          <w:sz w:val="18"/>
        </w:rPr>
        <w:t>https://pubmed.ncbi.nlm.nih.gov/42683830/</w:t>
      </w:r>
    </w:p>
    <w:p>
      <w:pPr>
        <w:pStyle w:val="Heading1"/>
      </w:pPr>
      <w:r>
        <w:t>Aufgenommen am 24.09.2026</w:t>
      </w:r>
    </w:p>
    <w:p>
      <w:pPr>
        <w:pStyle w:val="Heading2"/>
      </w:pPr>
      <w:r>
        <w:t>COVID-19-Impfung: Alter und Bildung bestimmen Annahme in Ostpolen stärker als Lebensstil</w:t>
      </w:r>
    </w:p>
    <w:p>
      <w:r>
        <w:rPr>
          <w:i/>
          <w:color w:val="666666"/>
          <w:sz w:val="18"/>
        </w:rPr>
        <w:t>Karczmarz S et al.  ·  Med Sci Monit  ·  23.09.2026  ·  PMID 42776929</w:t>
      </w:r>
    </w:p>
    <w:p>
      <w:r>
        <w:t>Querschnittsstudie an 458 Primärversorgungspatienten in Polen untersuchte, welche Faktoren mit vollständiger COVID-19-Impfung assoziiert sind.</w:t>
      </w:r>
    </w:p>
    <w:p>
      <w:r>
        <w:rPr>
          <w:b/>
        </w:rPr>
        <w:t xml:space="preserve">Ergebnis: </w:t>
      </w:r>
      <w:r>
        <w:t>Vollständige Impfung war assoziiert mit höherem Alter, höherer Bildung und Rentnerstatus; ländlicher Wohnort zeigte unerwartet höhere Impfquote als urban; Lifestyle-Profile zeigten keine konsistente unabhängige Assoziation mit Impfstatus.</w:t>
      </w:r>
    </w:p>
    <w:p>
      <w:r>
        <w:rPr>
          <w:b/>
          <w:sz w:val="19"/>
        </w:rPr>
        <w:t xml:space="preserve">Übertragbarkeit: </w:t>
      </w:r>
      <w:r>
        <w:rPr>
          <w:sz w:val="19"/>
        </w:rPr>
        <w:t>Polen, vergleichbares Versicherungssystem, dokumentiert Rollen von Zugang und Vertrauen</w:t>
      </w:r>
    </w:p>
    <w:p>
      <w:r>
        <w:rPr>
          <w:color w:val="5A7D3A"/>
          <w:sz w:val="18"/>
        </w:rPr>
        <w:t>https://pubmed.ncbi.nlm.nih.gov/42776929/</w:t>
      </w:r>
    </w:p>
    <w:p>
      <w:pPr>
        <w:pStyle w:val="Heading2"/>
      </w:pPr>
      <w:r>
        <w:t>Moderate bis hohe körperliche Aktivität verstärkt COVID-19-Antikörperreaktion unmittelbar nach Impfung</w:t>
      </w:r>
    </w:p>
    <w:p>
      <w:r>
        <w:rPr>
          <w:i/>
          <w:color w:val="666666"/>
          <w:sz w:val="18"/>
        </w:rPr>
        <w:t>Voulgaridi I et al.  ·  Front Public Health  ·  08.09.2026  ·  PMID 42774463</w:t>
      </w:r>
    </w:p>
    <w:p>
      <w:r>
        <w:t>Längsschnitt-Kohortenstudie mit 641 Erwachsenen untersuchte Assoziation zwischen Bewegungsaktivität und Anti-SARS-CoV-2-IgG/IgA-Antikörpern an den Tagen 21, 42, 90 und 180 nach COVID-19-Impfung.</w:t>
      </w:r>
    </w:p>
    <w:p>
      <w:r>
        <w:rPr>
          <w:b/>
        </w:rPr>
        <w:t xml:space="preserve">Ergebnis: </w:t>
      </w:r>
      <w:r>
        <w:t>IgG-Seropositividät an Tag 21 war höher bei moderater (92,6%) oder hoher (97,0%) Aktivität als bei niedriger (70,4%, p&lt;0,001); älteres Alter mit reduzierten IgG-Titern assoziiert (alle Zeitpunkte p&lt;0,001); Komorbidität mit niedrigeren Titern verknüpft.</w:t>
      </w:r>
    </w:p>
    <w:p>
      <w:r>
        <w:rPr>
          <w:b/>
          <w:sz w:val="19"/>
        </w:rPr>
        <w:t xml:space="preserve">Übertragbarkeit: </w:t>
      </w:r>
      <w:r>
        <w:rPr>
          <w:sz w:val="19"/>
        </w:rPr>
        <w:t>Griechenland, europäisches Gesundheitssystem, vergleichbare Impfprogramme</w:t>
      </w:r>
    </w:p>
    <w:p>
      <w:r>
        <w:rPr>
          <w:color w:val="5A7D3A"/>
          <w:sz w:val="18"/>
        </w:rPr>
        <w:t>https://pubmed.ncbi.nlm.nih.gov/42774463/</w:t>
      </w:r>
    </w:p>
    <w:p>
      <w:pPr>
        <w:pStyle w:val="Heading2"/>
      </w:pPr>
      <w:r>
        <w:t>Tdap-Sicherheit im VAERS-Register: Radiculitis bei Frauen erhöht, aber Schwangerschaft und Alter unbedenklich</w:t>
      </w:r>
    </w:p>
    <w:p>
      <w:r>
        <w:rPr>
          <w:i/>
          <w:color w:val="666666"/>
          <w:sz w:val="18"/>
        </w:rPr>
        <w:t>Song W et al.  ·  Front Cell Infect Microbiol  ·  08.09.2026  ·  PMID 42774241</w:t>
      </w:r>
    </w:p>
    <w:p>
      <w:r>
        <w:t>Post-Marketing-Surveillance von 20.128 VAERS-Meldungen zu Tdap (2015–2025) mit Disproportionalitätsanalyse nach Alter, Geschlecht und Schwangerschaftsstatus.</w:t>
      </w:r>
    </w:p>
    <w:p>
      <w:r>
        <w:rPr>
          <w:b/>
        </w:rPr>
        <w:t xml:space="preserve">Ergebnis: </w:t>
      </w:r>
      <w:r>
        <w:t>95,8% nicht-schwerwiegende Fälle; häufigste Signale: Injektionsstelle Erythem und Ödem; 70,3% Ereignisse innerhalb 1 Tag; bei Schwangeren (n=744): keine unerwarteten Sicherheitssignale; Adoleszenten: Opisthotonus erhöht (ROR=8,55); nicht-schwangere Frauen: Brachialradiculitis (ROR=14,42) und Bursa-Flüssigkeitsansammlung (ROR=21,22) erhöht.</w:t>
      </w:r>
    </w:p>
    <w:p>
      <w:r>
        <w:rPr>
          <w:b/>
          <w:sz w:val="19"/>
        </w:rPr>
        <w:t xml:space="preserve">Übertragbarkeit: </w:t>
      </w:r>
      <w:r>
        <w:rPr>
          <w:sz w:val="19"/>
        </w:rPr>
        <w:t>USA-VAERS-Daten, aber Pharmakovigilanz-Methode international verwendbar</w:t>
      </w:r>
    </w:p>
    <w:p>
      <w:r>
        <w:rPr>
          <w:color w:val="5A7D3A"/>
          <w:sz w:val="18"/>
        </w:rPr>
        <w:t>https://pubmed.ncbi.nlm.nih.gov/42774241/</w:t>
      </w:r>
    </w:p>
    <w:p>
      <w:pPr>
        <w:pStyle w:val="Heading2"/>
      </w:pPr>
      <w:r>
        <w:t>HPV16/18-Antikörper-Überwachung: Neutralisierungstest, cCLIA und IgG im Vergleich für Impfquoten-Monitoring</w:t>
      </w:r>
    </w:p>
    <w:p>
      <w:r>
        <w:rPr>
          <w:i/>
          <w:color w:val="666666"/>
          <w:sz w:val="18"/>
        </w:rPr>
        <w:t>Mao W et al.  ·  Front Immunol  ·  08.09.2026  ·  PMID 42774225</w:t>
      </w:r>
    </w:p>
    <w:p>
      <w:r>
        <w:t>Querschnitt- und Längsschnittstudie mit vollständig Geimpften und Ungeimpften verglich drei serologische Assays (Pseudovirionen-Neutralisierung, kompetitiver Chemilumineszenz-Immunoassay, indirekte IgG) für HPV16/18-Antikörper-Nachweis nach Vakzination.</w:t>
      </w:r>
    </w:p>
    <w:p>
      <w:r>
        <w:rPr>
          <w:b/>
        </w:rPr>
        <w:t xml:space="preserve">Ergebnis: </w:t>
      </w:r>
      <w:r>
        <w:t>Alle drei Assays reflektierten Impfantwort-Trends; cCLIA stabiler gegenüber Neutralisierungstest als IgG-Assay, besonders longitudinal und nach 2. Dosis; IgG zeigte niedrigere Stabilität für funktionale Klassifikation, aber konsistente Erfassung von Bevölkerungs-Reaktionen; persistente numerische Unterschiede bedeuten Assays nicht direkt austauschbar.</w:t>
      </w:r>
    </w:p>
    <w:p>
      <w:r>
        <w:rPr>
          <w:b/>
          <w:sz w:val="19"/>
        </w:rPr>
        <w:t xml:space="preserve">Übertragbarkeit: </w:t>
      </w:r>
      <w:r>
        <w:rPr>
          <w:sz w:val="19"/>
        </w:rPr>
        <w:t>China, aber Assay-Vergleich für HPV-Monitoring-Strategien europaweit relevant</w:t>
      </w:r>
    </w:p>
    <w:p>
      <w:r>
        <w:rPr>
          <w:color w:val="5A7D3A"/>
          <w:sz w:val="18"/>
        </w:rPr>
        <w:t>https://pubmed.ncbi.nlm.nih.gov/42774225/</w:t>
      </w:r>
    </w:p>
    <w:p>
      <w:pPr>
        <w:pStyle w:val="Heading2"/>
      </w:pPr>
      <w:r>
        <w:t>Hochdosis-Grippeimpfstoff für gebrechliche Ältere – Effektivität variiert nach Frailty-Risiko</w:t>
      </w:r>
    </w:p>
    <w:p>
      <w:r>
        <w:rPr>
          <w:i/>
          <w:color w:val="666666"/>
          <w:sz w:val="18"/>
        </w:rPr>
        <w:t>Espersen C et al.  ·  Lancet Healthy Longev  ·  17.09.2026  ·  PMID 42753782</w:t>
      </w:r>
    </w:p>
    <w:p>
      <w:r>
        <w:t>Prespecified Analyse der DANFLU-2-Studie mit 332.438 Personen ≥65 Jahren aus Dänemark verglich Hochdosis- vs. Standarddosis-Influenzavakzin nach Gebrechlichkeitsrisiko bezüglich Hospitalisierungen.</w:t>
      </w:r>
    </w:p>
    <w:p>
      <w:r>
        <w:rPr>
          <w:b/>
        </w:rPr>
        <w:t xml:space="preserve">Ergebnis: </w:t>
      </w:r>
      <w:r>
        <w:t>Bei niedriger Gebrechlichkeit: relative Vakzin-Effektivität (HD vs. SD) 0,2% (95% KI −10,8–10,2); bei mittlerer: 13,1% (−0,4–24,8); bei hoher: 19,9% (−10,3–42,1). Höhere Effektivitätsgewinne mit steigendem Gebrechlichkeitsrisiko, aber 95%-KIs überschreiten Null; Effekt-Modifikation nicht signifikant in vorgegebenen Kategorien.</w:t>
      </w:r>
    </w:p>
    <w:p>
      <w:r>
        <w:rPr>
          <w:b/>
          <w:sz w:val="19"/>
        </w:rPr>
        <w:t xml:space="preserve">Übertragbarkeit: </w:t>
      </w:r>
      <w:r>
        <w:rPr>
          <w:sz w:val="19"/>
        </w:rPr>
        <w:t>Dänemark, vergleichbares skandinavisches System mit Register und Krankenhausdaten</w:t>
      </w:r>
    </w:p>
    <w:p>
      <w:r>
        <w:rPr>
          <w:color w:val="5A7D3A"/>
          <w:sz w:val="18"/>
        </w:rPr>
        <w:t>https://pubmed.ncbi.nlm.nih.gov/42753782/</w:t>
      </w:r>
    </w:p>
    <w:p>
      <w:pPr>
        <w:pStyle w:val="Heading2"/>
      </w:pPr>
      <w:r>
        <w:t>Langzeitkomplikationen nach CAR-T-Zelltherapie: Infektionen und Sekundärmalignome überwiegen</w:t>
      </w:r>
    </w:p>
    <w:p>
      <w:r>
        <w:rPr>
          <w:i/>
          <w:color w:val="666666"/>
          <w:sz w:val="18"/>
        </w:rPr>
        <w:t>Eisenmann M et al.  ·  Curr Oncol  ·  01.08.2026  ·  PMID 42645366</w:t>
      </w:r>
    </w:p>
    <w:p>
      <w:r>
        <w:t>Scoping Review von 18 Primärstudien (2018 an) zu späten Nebenwirkungen (≥12 Monate nach Infusion) bei Patienten mit EMA-zugelassenen CAR-T-Produkten.</w:t>
      </w:r>
    </w:p>
    <w:p>
      <w:r>
        <w:rPr>
          <w:b/>
        </w:rPr>
        <w:t xml:space="preserve">Ergebnis: </w:t>
      </w:r>
      <w:r>
        <w:t>Spätkomplikationen konzentrierten sich auf Infektionen und Sekundärmalignome; Nicht-Rückfall-Mortalität in 7 Studien berichtet, Infektionen und Sekundärmalignome häufig als Todesursachen genannt; systematische Übersichtsarbeit ohne neue Ziffern, aber klare Kategorisierung der Evidenz.</w:t>
      </w:r>
    </w:p>
    <w:p>
      <w:r>
        <w:rPr>
          <w:b/>
          <w:sz w:val="19"/>
        </w:rPr>
        <w:t xml:space="preserve">Übertragbarkeit: </w:t>
      </w:r>
      <w:r>
        <w:rPr>
          <w:sz w:val="19"/>
        </w:rPr>
        <w:t>Europa, EMA-Daten, aber Übersicht ohne neue empirische Effekte – nur für Systemwissen</w:t>
      </w:r>
    </w:p>
    <w:p>
      <w:r>
        <w:rPr>
          <w:color w:val="5A7D3A"/>
          <w:sz w:val="18"/>
        </w:rPr>
        <w:t>https://pubmed.ncbi.nlm.nih.gov/42645366/</w:t>
      </w:r>
    </w:p>
    <w:p>
      <w:pPr>
        <w:pStyle w:val="Heading1"/>
      </w:pPr>
      <w:r>
        <w:t>Aufgenommen am 23.09.2026</w:t>
      </w:r>
    </w:p>
    <w:p>
      <w:pPr>
        <w:pStyle w:val="Heading2"/>
      </w:pPr>
      <w:r>
        <w:t>Impfkettenmanagement in koreanischen Gesundheitseinrichtungen: Defizite bei Temperaturüberwachung und Notstrom</w:t>
      </w:r>
    </w:p>
    <w:p>
      <w:r>
        <w:rPr>
          <w:i/>
          <w:color w:val="666666"/>
          <w:sz w:val="18"/>
        </w:rPr>
        <w:t>Kang CR et al.  ·  J Korean Med Sci  ·  21.09.2026  ·  PMID 42773072</w:t>
      </w:r>
    </w:p>
    <w:p>
      <w:r>
        <w:t>Nationale Querschnittserhebung zur Evaluierung der Impfkühllager-Praktiken in 53 südkoreanischen Immunisierungsanbietern (43 private Einrichtungen, 10 öffentliche Gesundheitszentren).</w:t>
      </w:r>
    </w:p>
    <w:p>
      <w:r>
        <w:rPr>
          <w:b/>
        </w:rPr>
        <w:t xml:space="preserve">Ergebnis: </w:t>
      </w:r>
      <w:r>
        <w:t>Alle Einrichtungen hatten dedizierte Impfkühlschränke (100 %), aber nur 73,6 % kontinuierliche Temperaturüberwachung auf allen Geräten; Alarmsysteme in 83,0 %; Notfallpläne in 52,8 %, regelmäßig getestet nur 40,9 %. Dokumentation und Entsorgung erfolgten regelkonform, aber Infrastruktur-Sicherheit ist lückenhaft.</w:t>
      </w:r>
    </w:p>
    <w:p>
      <w:r>
        <w:rPr>
          <w:b/>
          <w:sz w:val="19"/>
        </w:rPr>
        <w:t xml:space="preserve">Übertragbarkeit: </w:t>
      </w:r>
      <w:r>
        <w:rPr>
          <w:sz w:val="19"/>
        </w:rPr>
        <w:t>Südkorea, vergleichbare Infrastruktur-Herausforderungen, nicht direktes Deutschland-Modell</w:t>
      </w:r>
    </w:p>
    <w:p>
      <w:r>
        <w:rPr>
          <w:color w:val="5A7D3A"/>
          <w:sz w:val="18"/>
        </w:rPr>
        <w:t>https://pubmed.ncbi.nlm.nih.gov/42773072/</w:t>
      </w:r>
    </w:p>
    <w:p>
      <w:pPr>
        <w:pStyle w:val="Heading2"/>
      </w:pPr>
      <w:r>
        <w:t>COVID-19-Impfeffektivität: Test-negativ vs. Kohortenstudien liefern vergleichbare Ergebnisse</w:t>
      </w:r>
    </w:p>
    <w:p>
      <w:r>
        <w:rPr>
          <w:i/>
          <w:color w:val="666666"/>
          <w:sz w:val="18"/>
        </w:rPr>
        <w:t>Sukik L et al.  ·  Int J Epidemiol  ·  18.08.2026  ·  PMID 42772774</w:t>
      </w:r>
    </w:p>
    <w:p>
      <w:r>
        <w:t>Direkter Methodenvergleich: Test-negativ-Fall-Kontroll- vs. retrospektive Kohortenstudien zur COVID-19-Impfeffektivität in Katar mit identischer Population und Datenquelle.</w:t>
      </w:r>
    </w:p>
    <w:p>
      <w:r>
        <w:rPr>
          <w:b/>
        </w:rPr>
        <w:t xml:space="preserve">Ergebnis: </w:t>
      </w:r>
      <w:r>
        <w:t>BNT162b2-Effektivität gegen Infektion im Test-negativ-Design 71,0 % vs. Kohorten-Design 78,0 % (nach Korrektur für Testrate); gegen schwere COVID-19 96,3 % vs. 98,0 %. Beide Designs zeigten ähnliche Wirksamkeitsverluste. Methodische Unterschiede sind kleiner als erwartet.</w:t>
      </w:r>
    </w:p>
    <w:p>
      <w:r>
        <w:rPr>
          <w:b/>
          <w:sz w:val="19"/>
        </w:rPr>
        <w:t xml:space="preserve">Übertragbarkeit: </w:t>
      </w:r>
      <w:r>
        <w:rPr>
          <w:sz w:val="19"/>
        </w:rPr>
        <w:t>Katar (nicht Deutschland), aber Methodenvergleich für alle Impfstoff-Studien übertragbar</w:t>
      </w:r>
    </w:p>
    <w:p>
      <w:r>
        <w:rPr>
          <w:color w:val="5A7D3A"/>
          <w:sz w:val="18"/>
        </w:rPr>
        <w:t>https://pubmed.ncbi.nlm.nih.gov/42772774/</w:t>
      </w:r>
    </w:p>
    <w:p>
      <w:pPr>
        <w:pStyle w:val="Heading2"/>
      </w:pPr>
      <w:r>
        <w:t>WHO-Einfachdosis-Empfehlung für HPV-Impfung erhöhte Ländereinführungen um 22 weitere Länder</w:t>
      </w:r>
    </w:p>
    <w:p>
      <w:r>
        <w:rPr>
          <w:i/>
          <w:color w:val="666666"/>
          <w:sz w:val="18"/>
        </w:rPr>
        <w:t>Suh J et al.  ·  Expert Rev Vaccines  ·  22.09.2026  ·  PMID 42770688</w:t>
      </w:r>
    </w:p>
    <w:p>
      <w:r>
        <w:t>Analyse von Einflussfaktoren auf nationale HPV-Impfstoff-Einführungsraten in Ländern mit niedrigem und mittlerem Einkommen 2006–2025 mittels GLM und Changepoint-Analyse.</w:t>
      </w:r>
    </w:p>
    <w:p>
      <w:r>
        <w:rPr>
          <w:b/>
        </w:rPr>
        <w:t xml:space="preserve">Ergebnis: </w:t>
      </w:r>
      <w:r>
        <w:t>WHO-Einfachdosis-Empfehlung 2022 war der stärkste assoziierte Faktor; Gavi-Finanzierungserweiterung (2017–2025) auch bedeutsam. Modellprognosen: 22,46 zusätzliche nationale HPV-Impfstoff-Einführungen in LMIC allein durch die Einfachdosis-Empfehlung. Signifikanter Anstieg 2022.</w:t>
      </w:r>
    </w:p>
    <w:p>
      <w:r>
        <w:rPr>
          <w:b/>
          <w:sz w:val="19"/>
        </w:rPr>
        <w:t xml:space="preserve">Übertragbarkeit: </w:t>
      </w:r>
      <w:r>
        <w:rPr>
          <w:sz w:val="19"/>
        </w:rPr>
        <w:t>Globale Politikanalyse, zeigt Hebel für Impfprogramme weltweit, nicht Deutschland-spezifisch</w:t>
      </w:r>
    </w:p>
    <w:p>
      <w:r>
        <w:rPr>
          <w:color w:val="5A7D3A"/>
          <w:sz w:val="18"/>
        </w:rPr>
        <w:t>https://pubmed.ncbi.nlm.nih.gov/42770688/</w:t>
      </w:r>
    </w:p>
    <w:p>
      <w:pPr>
        <w:pStyle w:val="Heading2"/>
      </w:pPr>
      <w:r>
        <w:t>Impfablehnung in der Türkei: Eltern und Gesundheitspersonal berichten von Vertrauenskrise</w:t>
      </w:r>
    </w:p>
    <w:p>
      <w:r>
        <w:rPr>
          <w:i/>
          <w:color w:val="666666"/>
          <w:sz w:val="18"/>
        </w:rPr>
        <w:t>Sezer E et al.  ·  Front Public Health  ·  07.09.2026  ·  PMID 42769268</w:t>
      </w:r>
    </w:p>
    <w:p>
      <w:r>
        <w:t>Qualitative Studie mit 19 impfablehnenden Eltern und 21 Fachpersonen (Ärzte, Hebammen) zur Erkundung von Gründen und strukturellen Barrieren für Impfverweigerung in der Türkei 2017.</w:t>
      </w:r>
    </w:p>
    <w:p>
      <w:r>
        <w:rPr>
          <w:b/>
        </w:rPr>
        <w:t xml:space="preserve">Ergebnis: </w:t>
      </w:r>
      <w:r>
        <w:t>Vier zentrale ethische Spannungsfelder: (1) Lücke zwischen informierter Ablehnung und uninformierter Wahl durch Informationsasymmetrie; (2) Vertrauenskrise in Gesundheitsinstitutionen durch leistungsbasierte Bezahlung von Ärzten; (3) Konflikt zwischen religiöser und medizinischer Autorität; (4) angefochtene elterliche Autonomie in patriarchalen Strukturen. Leistungsbezahlte Ärzte dokumentieren lieber, als dass sie Gespräche führen.</w:t>
      </w:r>
    </w:p>
    <w:p>
      <w:r>
        <w:rPr>
          <w:b/>
          <w:sz w:val="19"/>
        </w:rPr>
        <w:t xml:space="preserve">Übertragbarkeit: </w:t>
      </w:r>
      <w:r>
        <w:rPr>
          <w:sz w:val="19"/>
        </w:rPr>
        <w:t>Türkei (LMIC), strukturelle Probleme aber in allen Systemen mit Leistungsvergütung relevant</w:t>
      </w:r>
    </w:p>
    <w:p>
      <w:r>
        <w:rPr>
          <w:color w:val="5A7D3A"/>
          <w:sz w:val="18"/>
        </w:rPr>
        <w:t>https://pubmed.ncbi.nlm.nih.gov/42769268/</w:t>
      </w:r>
    </w:p>
    <w:p>
      <w:pPr>
        <w:pStyle w:val="Heading2"/>
      </w:pPr>
      <w:r>
        <w:t>Adenovirus-Serotyp-Wechsel steigerte Ebola-Impfstoff-Immunantwort in Mäusen</w:t>
      </w:r>
    </w:p>
    <w:p>
      <w:r>
        <w:rPr>
          <w:i/>
          <w:color w:val="666666"/>
          <w:sz w:val="18"/>
        </w:rPr>
        <w:t>Wiggins J et al.  ·  J Med Virol  ·  Sept. 2026  ·  PMID 42765626</w:t>
      </w:r>
    </w:p>
    <w:p>
      <w:r>
        <w:t>Vergleichende Laborstu die mit verschiedenen Adenovirus-Vektoren und Immunisierungsrouten zur Optimierung der Ebolavirus-Glykoproteinin-Immunogenität.</w:t>
      </w:r>
    </w:p>
    <w:p>
      <w:r>
        <w:rPr>
          <w:b/>
        </w:rPr>
        <w:t xml:space="preserve">Ergebnis: </w:t>
      </w:r>
      <w:r>
        <w:t>Species-C-Vektoren (Ad5, Ad6) zeigten starke Antikörperreaktionen und schnelle Klassenumwandlung zu IgG im Vergleich zu Species B und D. Serotyp-Wechsel-Schemata erhöhten Antikörperniveaus und erzeugte robuste T-Zell-Reaktionen bei intramuskulärer Gabe. Intranasale Gabe induzierte nachweisbares IgA, aber keine messbaren T-Zell-Antworten – routenabhängige Immunkompartimentalisierung.</w:t>
      </w:r>
    </w:p>
    <w:p>
      <w:r>
        <w:rPr>
          <w:b/>
          <w:sz w:val="19"/>
        </w:rPr>
        <w:t xml:space="preserve">Übertragbarkeit: </w:t>
      </w:r>
      <w:r>
        <w:rPr>
          <w:sz w:val="19"/>
        </w:rPr>
        <w:t>Präklinische Mausstudien, Impfstoff-Entwicklungsphase, keine direkten Versorgungsdaten</w:t>
      </w:r>
    </w:p>
    <w:p>
      <w:r>
        <w:rPr>
          <w:color w:val="5A7D3A"/>
          <w:sz w:val="18"/>
        </w:rPr>
        <w:t>https://pubmed.ncbi.nlm.nih.gov/42765626/</w:t>
      </w:r>
    </w:p>
    <w:p>
      <w:pPr>
        <w:pStyle w:val="Heading2"/>
      </w:pPr>
      <w:r>
        <w:t>MMR-Impf-Anaphylaxie durch Schweineglatine: Fallbericht und praktische Empfehlungen</w:t>
      </w:r>
    </w:p>
    <w:p>
      <w:r>
        <w:rPr>
          <w:i/>
          <w:color w:val="666666"/>
          <w:sz w:val="18"/>
        </w:rPr>
        <w:t>Iordachescu M et al.  ·  Rev Med Liege  ·  Sept. 2026  ·  PMID 42751843</w:t>
      </w:r>
    </w:p>
    <w:p>
      <w:r>
        <w:t>Zwei pädiatrische Fallberichte von Anaphylaxie nach M-M-RVaxPro®-Impfung, zugeordnet der Schweineglatine (14,5 mg/Dosis) als Stabilisator.</w:t>
      </w:r>
    </w:p>
    <w:p>
      <w:r>
        <w:rPr>
          <w:b/>
        </w:rPr>
        <w:t xml:space="preserve">Ergebnis: </w:t>
      </w:r>
      <w:r>
        <w:t>Beide Patienten entwickelten schwere Reaktionen nach Auffrischung mit positiven Haut- und Bluttests für Gelatin; Allergien gegen Neomycin, Latex und Chlorhexidin ausgeschlossen. Empfehlungen: Vermeidung gelatinehaltiger Impfstoffe, Substitution mit gelatinefreien Alternativen (Priorix®), orale Herausforderungsprobe für Lebensmitteltoleranz, Epinephrin-Notfallset, Spitalüberwachung bei Mastzellstörungen.</w:t>
      </w:r>
    </w:p>
    <w:p>
      <w:r>
        <w:rPr>
          <w:b/>
          <w:sz w:val="19"/>
        </w:rPr>
        <w:t xml:space="preserve">Übertragbarkeit: </w:t>
      </w:r>
      <w:r>
        <w:rPr>
          <w:sz w:val="19"/>
        </w:rPr>
        <w:t>Belgien, europäische Fallberichte, Sicherheitserkenntnis für alle Mastzell-Erkrankungen</w:t>
      </w:r>
    </w:p>
    <w:p>
      <w:r>
        <w:rPr>
          <w:color w:val="5A7D3A"/>
          <w:sz w:val="18"/>
        </w:rPr>
        <w:t>https://pubmed.ncbi.nlm.nih.gov/42751843/</w:t>
      </w:r>
    </w:p>
    <w:p>
      <w:pPr>
        <w:pStyle w:val="Heading2"/>
      </w:pPr>
      <w:r>
        <w:t>RSV-Impfstoff verhinderte 70 % der Hospitalisierungen bei Erwachsenen</w:t>
      </w:r>
    </w:p>
    <w:p>
      <w:r>
        <w:rPr>
          <w:i/>
          <w:color w:val="666666"/>
          <w:sz w:val="18"/>
        </w:rPr>
        <w:t>Lassen MCH et al.  ·  NEJM Evid  ·  29.08.2026  ·  PMID 42666095</w:t>
      </w:r>
    </w:p>
    <w:p>
      <w:r>
        <w:t>Pragmatische randomisierte Studie zum Schutz der bivalenten RSV-Präfusion-F-Impfung vor RSV-Hospitalisierung in Dänemark und Spanien.</w:t>
      </w:r>
    </w:p>
    <w:p>
      <w:r>
        <w:rPr>
          <w:b/>
        </w:rPr>
        <w:t xml:space="preserve">Ergebnis: </w:t>
      </w:r>
      <w:r>
        <w:t>Von 513.358 randomisierten Teilnehmern lag die Impfeffektivität gegen RSV-Atemwegserkrankungen-Hospitalisierung bei 70,3 % (95 %-KI 49,7–83,2), gegen untere Atemwege bei 71,1 % (45,4–85,7). Schwere Nebenwirkungen traten in 2,0 % der Impfgruppe vs. 2,2 % der Kontrollgruppe auf – ein wirksamer und sicherer Impfstoff unter Alltagsbedingungen.</w:t>
      </w:r>
    </w:p>
    <w:p>
      <w:r>
        <w:rPr>
          <w:b/>
          <w:sz w:val="19"/>
        </w:rPr>
        <w:t xml:space="preserve">Übertragbarkeit: </w:t>
      </w:r>
      <w:r>
        <w:rPr>
          <w:sz w:val="19"/>
        </w:rPr>
        <w:t>Dänemark/Spanien, nationale Versicherungsdaten und Routineüberwachung, nicht USA-abhängig</w:t>
      </w:r>
    </w:p>
    <w:p>
      <w:r>
        <w:rPr>
          <w:color w:val="5A7D3A"/>
          <w:sz w:val="18"/>
        </w:rPr>
        <w:t>https://pubmed.ncbi.nlm.nih.gov/42666095/</w:t>
      </w:r>
    </w:p>
    <w:p>
      <w:pPr>
        <w:pStyle w:val="Heading1"/>
      </w:pPr>
      <w:r>
        <w:t>Aufgenommen am 22.09.2026</w:t>
      </w:r>
    </w:p>
    <w:p>
      <w:pPr>
        <w:pStyle w:val="Heading2"/>
      </w:pPr>
      <w:r>
        <w:t>Impfbelastung bei Kindern senken: Leitlinie 2026 zu Schmerz und Angst</w:t>
      </w:r>
    </w:p>
    <w:p>
      <w:r>
        <w:rPr>
          <w:i/>
          <w:color w:val="666666"/>
          <w:sz w:val="18"/>
        </w:rPr>
        <w:t>Taddio A et al.  ·  CMAJ  ·  20.09.2026  ·  PMID 42767684</w:t>
      </w:r>
    </w:p>
    <w:p>
      <w:r>
        <w:t>Systematische Übersichtsarbeiten zu 16 evidenzgestützten Empfehlungen gegen Impfangst und Schmerzen in fünf Domänen (Prozess, Technik, Körperlage, Medikament, Psychologie).</w:t>
      </w:r>
    </w:p>
    <w:p>
      <w:r>
        <w:rPr>
          <w:b/>
        </w:rPr>
        <w:t xml:space="preserve">Ergebnis: </w:t>
      </w:r>
      <w:r>
        <w:t>7 starke Empfehlungen mit moderater bis hoher Evidenz (z. B. mehrkomponentige Prozessinterventionen, orale Ernährung für Säuglinge); 9 bedingte Empfehlungen bei niedriger Evidenz. Empfehlungen zielgruppenspezifisch für Fachpersonen, Impflinge und Angehörige.</w:t>
      </w:r>
    </w:p>
    <w:p>
      <w:r>
        <w:rPr>
          <w:b/>
          <w:sz w:val="19"/>
        </w:rPr>
        <w:t xml:space="preserve">Übertragbarkeit: </w:t>
      </w:r>
      <w:r>
        <w:rPr>
          <w:sz w:val="19"/>
        </w:rPr>
        <w:t>Kanada, GRADE-Methodik, Impfpraxis in Hocheinkommensländern.</w:t>
      </w:r>
    </w:p>
    <w:p>
      <w:r>
        <w:rPr>
          <w:color w:val="5A7D3A"/>
          <w:sz w:val="18"/>
        </w:rPr>
        <w:t>https://pubmed.ncbi.nlm.nih.gov/42767684/</w:t>
      </w:r>
    </w:p>
    <w:p>
      <w:pPr>
        <w:pStyle w:val="Heading2"/>
      </w:pPr>
      <w:r>
        <w:t>HPV-Impfbereitschaft bei Frauen in Sierra Leone: hohe Akzeptanz trotz Wissenslücken</w:t>
      </w:r>
    </w:p>
    <w:p>
      <w:r>
        <w:rPr>
          <w:i/>
          <w:color w:val="666666"/>
          <w:sz w:val="18"/>
        </w:rPr>
        <w:t>Everman S et al.  ·  J Health Care Poor Underserved  ·  2026  ·  PMID 42766516</w:t>
      </w:r>
    </w:p>
    <w:p>
      <w:r>
        <w:t>Querschnittsstudie zur Akzeptanz der HPV-Impfung bei 189 Frauen in ländlichen und städtischen Gegenden Sierra Leones, untersucht Wissen über Gebärmutterhalskrebs und Impfverhalten.</w:t>
      </w:r>
    </w:p>
    <w:p>
      <w:r>
        <w:rPr>
          <w:b/>
        </w:rPr>
        <w:t xml:space="preserve">Ergebnis: </w:t>
      </w:r>
      <w:r>
        <w:t>Geringe Awareness für Gebärmutterhalskrebs und HPV-Impfung. Breite Willingness zur Impfung. Statistisch signifikante positive Assoziation zwischen formaler Bildung und Impfbereitschaft (p &lt; 0,01). Starke Präferenz für Schulmedizin.</w:t>
      </w:r>
    </w:p>
    <w:p>
      <w:r>
        <w:rPr>
          <w:b/>
          <w:sz w:val="19"/>
        </w:rPr>
        <w:t xml:space="preserve">Übertragbarkeit: </w:t>
      </w:r>
      <w:r>
        <w:rPr>
          <w:sz w:val="19"/>
        </w:rPr>
        <w:t>Wenig entwickelte Region, Impfakzeptanz ist Ausgangspunkt für Programmentwicklung.</w:t>
      </w:r>
    </w:p>
    <w:p>
      <w:r>
        <w:rPr>
          <w:color w:val="5A7D3A"/>
          <w:sz w:val="18"/>
        </w:rPr>
        <w:t>https://pubmed.ncbi.nlm.nih.gov/42766516/</w:t>
      </w:r>
    </w:p>
    <w:p>
      <w:pPr>
        <w:pStyle w:val="Heading2"/>
      </w:pPr>
      <w:r>
        <w:t>Saisonimpfung vor A(H5)-Impfung: marginal additivem Nutzen gegen pandemisches H5N1-Risiko</w:t>
      </w:r>
    </w:p>
    <w:p>
      <w:r>
        <w:rPr>
          <w:i/>
          <w:color w:val="666666"/>
          <w:sz w:val="18"/>
        </w:rPr>
        <w:t>Hatta M et al.  ·  Emerg Microbes Infect  ·  21.09.2026  ·  PMID 42765371</w:t>
      </w:r>
    </w:p>
    <w:p>
      <w:r>
        <w:t>Maus- und Frettchen-Modellstudie mit pandemischen H5N1-Viren (Klade 2.3.4.4b) zur Frage, ob saisonale Influenza-Impfung vor A(H5)-Impfung die Schutzwirkung verbessert.</w:t>
      </w:r>
    </w:p>
    <w:p>
      <w:r>
        <w:rPr>
          <w:b/>
        </w:rPr>
        <w:t xml:space="preserve">Ergebnis: </w:t>
      </w:r>
      <w:r>
        <w:t>Saisonale Impfung induzierte keine Antikörper gegen A(H5). Saisonale Impfung vor A(H5)-Impfung war in 1 von 3 Maus-Experimenten mit besseren Outcomes assoziiert, nicht aber in den anderen 2 Maus-Experimenten oder bei Frettchen. Begrenzte additive Vorteile.</w:t>
      </w:r>
    </w:p>
    <w:p>
      <w:r>
        <w:rPr>
          <w:b/>
          <w:sz w:val="19"/>
        </w:rPr>
        <w:t xml:space="preserve">Übertragbarkeit: </w:t>
      </w:r>
      <w:r>
        <w:rPr>
          <w:sz w:val="19"/>
        </w:rPr>
        <w:t>Präklinische Modelle, Pandemiebereitscha Deutschland für Ressourcenpriorisierung.</w:t>
      </w:r>
    </w:p>
    <w:p>
      <w:r>
        <w:rPr>
          <w:color w:val="5A7D3A"/>
          <w:sz w:val="18"/>
        </w:rPr>
        <w:t>https://pubmed.ncbi.nlm.nih.gov/42765371/</w:t>
      </w:r>
    </w:p>
    <w:p>
      <w:pPr>
        <w:pStyle w:val="Heading2"/>
      </w:pPr>
      <w:r>
        <w:t>Influenza- und Pneumokokken-Impfungen in Südafrika 2017–2021: COVID-19 beeinflusste Versorgungsmuster</w:t>
      </w:r>
    </w:p>
    <w:p>
      <w:r>
        <w:rPr>
          <w:i/>
          <w:color w:val="666666"/>
          <w:sz w:val="18"/>
        </w:rPr>
        <w:t>Truter I et al.  ·  Pharmacoepidemiol Drug Saf  ·  Okt. 2026  ·  PMID 42764173</w:t>
      </w:r>
    </w:p>
    <w:p>
      <w:r>
        <w:t>Longitudinale pharmakoepidemiologische Studie zu Abgabemengen von Influenza- und Pneumokokken-Impfstoffen in privaten Krankenversicherungsdaten Südafrikas (3,8 Mio. Versicherte).</w:t>
      </w:r>
    </w:p>
    <w:p>
      <w:r>
        <w:rPr>
          <w:b/>
        </w:rPr>
        <w:t xml:space="preserve">Ergebnis: </w:t>
      </w:r>
      <w:r>
        <w:t>Jährliche Abgabemuster unterschieden sich signifikant (p &lt; 0,01), Influenza-Impfung hauptsächlich März–Juni. Post-COVID-19 (2020–2021): signifikant mehr Influenza-Impfungen März–Juni (p &lt; 0,01), leichte Zunahme Pneumokokken-Impfungen (p &lt; 0,05). COVID-19-Impfung hatte insgesamt keinen signifikanten Effekt auf die Muster.</w:t>
      </w:r>
    </w:p>
    <w:p>
      <w:r>
        <w:rPr>
          <w:b/>
          <w:sz w:val="19"/>
        </w:rPr>
        <w:t xml:space="preserve">Übertragbarkeit: </w:t>
      </w:r>
      <w:r>
        <w:rPr>
          <w:sz w:val="19"/>
        </w:rPr>
        <w:t>Südafrika, Versicherungsdaten, Versorgungsrealität im Privatsektor.</w:t>
      </w:r>
    </w:p>
    <w:p>
      <w:r>
        <w:rPr>
          <w:color w:val="5A7D3A"/>
          <w:sz w:val="18"/>
        </w:rPr>
        <w:t>https://pubmed.ncbi.nlm.nih.gov/42764173/</w:t>
      </w:r>
    </w:p>
    <w:p>
      <w:pPr>
        <w:pStyle w:val="Heading2"/>
      </w:pPr>
      <w:r>
        <w:t>Influenza-Impfeffektivität bei Kindern in der Primärversorgung: 79 % Schutz vor laborbestätigter Erkrankung</w:t>
      </w:r>
    </w:p>
    <w:p>
      <w:r>
        <w:rPr>
          <w:i/>
          <w:color w:val="666666"/>
          <w:sz w:val="18"/>
        </w:rPr>
        <w:t>Barretta M et al.  ·  Clin Microbiol Infect  ·  11.07.2026  ·  PMID 42435855</w:t>
      </w:r>
    </w:p>
    <w:p>
      <w:r>
        <w:t>Multizenterstudie unter italienischen Kinderärzten zur Influenza-Impfeffektivität in der ambulanten Versorgung während der Saison 2024/2025.</w:t>
      </w:r>
    </w:p>
    <w:p>
      <w:r>
        <w:rPr>
          <w:b/>
        </w:rPr>
        <w:t xml:space="preserve">Ergebnis: </w:t>
      </w:r>
      <w:r>
        <w:t>79 % Reduktion von laborbestätigter Influenza bei geimpften vs. ungeimpften Kindern (95%-KI: 70–86 %). Kohorten-Analyse zeigte 76 % VE (95%-KI: 67–82 %). Effektivität konsistent für unterschiedliche Impfstofftypen und Testmethoden. Kein Schutz vor nicht-influenzabedingten Atemwegsinfekten.</w:t>
      </w:r>
    </w:p>
    <w:p>
      <w:r>
        <w:rPr>
          <w:b/>
          <w:sz w:val="19"/>
        </w:rPr>
        <w:t xml:space="preserve">Übertragbarkeit: </w:t>
      </w:r>
      <w:r>
        <w:rPr>
          <w:sz w:val="19"/>
        </w:rPr>
        <w:t>Italien, vergleichbare pädiatrische Versorgungsstrukturen, Praxisdaten.</w:t>
      </w:r>
    </w:p>
    <w:p>
      <w:r>
        <w:rPr>
          <w:color w:val="5A7D3A"/>
          <w:sz w:val="18"/>
        </w:rPr>
        <w:t>https://pubmed.ncbi.nlm.nih.gov/42435855/</w:t>
      </w:r>
    </w:p>
    <w:p>
      <w:pPr>
        <w:pStyle w:val="Heading1"/>
      </w:pPr>
      <w:r>
        <w:t>Aufgenommen am 21.09.2026</w:t>
      </w:r>
    </w:p>
    <w:p>
      <w:pPr>
        <w:pStyle w:val="Heading2"/>
      </w:pPr>
      <w:r>
        <w:t>Impfstoffsicherheit: Meningokokken-B und Routineimpfungen bei Säuglingen</w:t>
      </w:r>
    </w:p>
    <w:p>
      <w:r>
        <w:rPr>
          <w:i/>
          <w:color w:val="666666"/>
          <w:sz w:val="18"/>
        </w:rPr>
        <w:t>Nguyen T et al.  ·  Med J Aust  ·  Sept. 2026  ·  PMID 42764145</w:t>
      </w:r>
    </w:p>
    <w:p>
      <w:r>
        <w:t>Die Studie vergleicht Sicherheit und Reaktionen bei gleichzeitiger oder separater Verabreichung von Meningokokken-B-Impfstoff mit anderen Säuglingsimpfungen an 2-, 4-, 6- und 12 Monaten.</w:t>
      </w:r>
    </w:p>
    <w:p>
      <w:r>
        <w:rPr>
          <w:b/>
        </w:rPr>
        <w:t xml:space="preserve">Ergebnis: </w:t>
      </w:r>
      <w:r>
        <w:t>Bei 10.959 Säuglingen war die kumulative Rate unerwünschter Ereignisse nach gleichzeitiger Gabe bei 2 Monaten niedriger (29 % vs. 35 %, Risikodifferenz −6,7 %), bei 4, 6 und 12 Monaten vergleichbar. Ärztliche Konsultationen waren bei 12 Monaten unter gleichzeitiger Gabe seltener (4,1 % vs. 6,3 %). Separate Verabreichung reduziert nicht, kann aber die Reaktionslast erhöhen.</w:t>
      </w:r>
    </w:p>
    <w:p>
      <w:r>
        <w:rPr>
          <w:b/>
          <w:sz w:val="19"/>
        </w:rPr>
        <w:t xml:space="preserve">Übertragbarkeit: </w:t>
      </w:r>
      <w:r>
        <w:rPr>
          <w:sz w:val="19"/>
        </w:rPr>
        <w:t>Australien, vergleichbare Surveillance-Methodik über Online-Befragung anwendbar</w:t>
      </w:r>
    </w:p>
    <w:p>
      <w:r>
        <w:rPr>
          <w:color w:val="5A7D3A"/>
          <w:sz w:val="18"/>
        </w:rPr>
        <w:t>https://pubmed.ncbi.nlm.nih.gov/42764145/</w:t>
      </w:r>
    </w:p>
    <w:p>
      <w:pPr>
        <w:pStyle w:val="Heading2"/>
      </w:pPr>
      <w:r>
        <w:t>SARS-CoV-2 Langzeitschutz: MVA-Impfung erreicht mRNA-Niveau</w:t>
      </w:r>
    </w:p>
    <w:p>
      <w:r>
        <w:rPr>
          <w:i/>
          <w:color w:val="666666"/>
          <w:sz w:val="18"/>
        </w:rPr>
        <w:t>Pérez P et al.  ·  Front Immunol  ·  31.08.2026  ·  PMID 42741364</w:t>
      </w:r>
    </w:p>
    <w:p>
      <w:r>
        <w:t>Studie vergleicht Langzeitimmunität und Schutzwirkung nach homologer oder heterologer mRNA- und MVA-Impfung gegen XBB.1.5 in K18-hACE2-Mäusen über 9 Monate.</w:t>
      </w:r>
    </w:p>
    <w:p>
      <w:r>
        <w:rPr>
          <w:b/>
        </w:rPr>
        <w:t xml:space="preserve">Ergebnis: </w:t>
      </w:r>
      <w:r>
        <w:t>Alle Zwei-Dosen-Regimen reduzierten viral RNA und infektiöse Viruslast in oberen und unteren Atemwegen nach Challenge markant und vergleichbar. Bindungs-IgG blieb über 9 Monate hoch, neutralisierende Antikörper nahmen ab. mRNA/MVA-Heterologer Regimen zeigte Trend zu besserer CD8+-T-Zell-Persistenz. MVA als thermostabiler und kostengünstiger Kandidat bestätigt.</w:t>
      </w:r>
    </w:p>
    <w:p>
      <w:r>
        <w:rPr>
          <w:b/>
          <w:sz w:val="19"/>
        </w:rPr>
        <w:t xml:space="preserve">Übertragbarkeit: </w:t>
      </w:r>
      <w:r>
        <w:rPr>
          <w:sz w:val="19"/>
        </w:rPr>
        <w:t>Experimentell in Mäusen; Strategie für globale thermostabile Impfstoffversorgung relevant</w:t>
      </w:r>
    </w:p>
    <w:p>
      <w:r>
        <w:rPr>
          <w:color w:val="5A7D3A"/>
          <w:sz w:val="18"/>
        </w:rPr>
        <w:t>https://pubmed.ncbi.nlm.nih.gov/42741364/</w:t>
      </w:r>
    </w:p>
    <w:p>
      <w:pPr>
        <w:pStyle w:val="Heading2"/>
      </w:pPr>
      <w:r>
        <w:t>Digitale Impfdienste in Impfzentren: Strategien zur Effizienzsteigerung</w:t>
      </w:r>
    </w:p>
    <w:p>
      <w:r>
        <w:rPr>
          <w:i/>
          <w:color w:val="666666"/>
          <w:sz w:val="18"/>
        </w:rPr>
        <w:t>Song YF et al.  ·  Zhonghua Yu Fang Yi Xue Za Zhi  ·  06.09.2026  ·  PMID 42736157</w:t>
      </w:r>
    </w:p>
    <w:p>
      <w:r>
        <w:t>Chinesische Systemanalyse zu Strategien und Praktiken für digitale Services in Impfzentren, um Versorgungsqualität und Effizienz zu verbessern.</w:t>
      </w:r>
    </w:p>
    <w:p>
      <w:r>
        <w:rPr>
          <w:b/>
        </w:rPr>
        <w:t xml:space="preserve">Ergebnis: </w:t>
      </w:r>
      <w:r>
        <w:t>Artikel definiert digitale Impfdienste systematisch als Antwort auf steigende Impfstoffvielfalt, höhere Bevölkerungsmobilität und diversifizierte Impfbedarfe. Hauptkomponenten sind digitale Verwaltung, Planung und Patientenmanagement. Implementierungsempfehlungen zielen auf Verbesserung von Verwaltungseffizienz und Servicequalität.</w:t>
      </w:r>
    </w:p>
    <w:p>
      <w:r>
        <w:rPr>
          <w:b/>
          <w:sz w:val="19"/>
        </w:rPr>
        <w:t xml:space="preserve">Übertragbarkeit: </w:t>
      </w:r>
      <w:r>
        <w:rPr>
          <w:sz w:val="19"/>
        </w:rPr>
        <w:t>China; Systemansatz übertragbar auf Optimierung der Impflogistik in Gesundheitssystemen</w:t>
      </w:r>
    </w:p>
    <w:p>
      <w:r>
        <w:rPr>
          <w:color w:val="5A7D3A"/>
          <w:sz w:val="18"/>
        </w:rPr>
        <w:t>https://pubmed.ncbi.nlm.nih.gov/42736157/</w:t>
      </w:r>
    </w:p>
    <w:p>
      <w:pPr>
        <w:pStyle w:val="Heading2"/>
      </w:pPr>
      <w:r>
        <w:t>Dengue- und Chikungunya-Impfstoffe: Verfügbarkeit und Versorgungslücken</w:t>
      </w:r>
    </w:p>
    <w:p>
      <w:r>
        <w:rPr>
          <w:i/>
          <w:color w:val="666666"/>
          <w:sz w:val="18"/>
        </w:rPr>
        <w:t>Tee KK et al.  ·  Hum Vaccin Immunother  ·  10.09.2026  ·  PMID 42720969</w:t>
      </w:r>
    </w:p>
    <w:p>
      <w:r>
        <w:t>Analyse der Lücke zwischen Impfstoffverfügbarkeit nach regulativer Zulassung und tatsächlicher Aufnahme in nationale Impfprogramme in Ländern mit Übertragungsrisiko.</w:t>
      </w:r>
    </w:p>
    <w:p>
      <w:r>
        <w:rPr>
          <w:b/>
        </w:rPr>
        <w:t xml:space="preserve">Ergebnis: </w:t>
      </w:r>
      <w:r>
        <w:t>Dengue- und Chikungunya-Impfstoffe sind verfügbar, aber ihre Aufnahme in nationale Programme in vielen Hochrisiko-Ländern bleibt begrenzt oder ungleich verteilt. Die zentrale Herausforderung liegt nicht nur in der Verfügbarkeit, sondern in einem mehrschichtigen Zugangsdefizit: initiale Verfügbarkeit, anhaltende Bereitstellung und Anpassung an Übertragungsrisiko.</w:t>
      </w:r>
    </w:p>
    <w:p>
      <w:r>
        <w:rPr>
          <w:b/>
          <w:sz w:val="19"/>
        </w:rPr>
        <w:t xml:space="preserve">Übertragbarkeit: </w:t>
      </w:r>
      <w:r>
        <w:rPr>
          <w:sz w:val="19"/>
        </w:rPr>
        <w:t>Globale Perspektive; übertragbar auf Systemfähigkeit und Priorisierung in Gesundheitssystemen</w:t>
      </w:r>
    </w:p>
    <w:p>
      <w:r>
        <w:rPr>
          <w:color w:val="5A7D3A"/>
          <w:sz w:val="18"/>
        </w:rPr>
        <w:t>https://pubmed.ncbi.nlm.nih.gov/42720969/</w:t>
      </w:r>
    </w:p>
    <w:p>
      <w:pPr>
        <w:pStyle w:val="Heading2"/>
      </w:pPr>
      <w:r>
        <w:t>Impfstoff-Notfallreserven: Globales System entwickelt sich weiter</w:t>
      </w:r>
    </w:p>
    <w:p>
      <w:r>
        <w:rPr>
          <w:i/>
          <w:color w:val="666666"/>
          <w:sz w:val="18"/>
        </w:rPr>
        <w:t>Walldorf JA et al.  ·  Expert Rev Vaccines  ·  10.09.2026  ·  PMID 42717903</w:t>
      </w:r>
    </w:p>
    <w:p>
      <w:r>
        <w:t>Übersicht über die Entwicklung globaler Impfstoff-Stockpile-Strategien von 2014–2025 für Cholera, Gelbfieber, Polio, Meningokokken, COVID-19, Ebola und Mpox.</w:t>
      </w:r>
    </w:p>
    <w:p>
      <w:r>
        <w:rPr>
          <w:b/>
        </w:rPr>
        <w:t xml:space="preserve">Ergebnis: </w:t>
      </w:r>
      <w:r>
        <w:t>Globale Stockpile wurden für mehrere Impfstoffe etabliert. Die Strategie hat sich von reaktiv zu integriert entwickelt und verbindet Notfallreaktion mit Präventionsstrategie. Beschleunigte Impfstoffentwicklung erfordert effiziente und transparente Stockpile-Verwaltung für gerechte, bedarfsgerechte Verteilung.</w:t>
      </w:r>
    </w:p>
    <w:p>
      <w:r>
        <w:rPr>
          <w:b/>
          <w:sz w:val="19"/>
        </w:rPr>
        <w:t xml:space="preserve">Übertragbarkeit: </w:t>
      </w:r>
      <w:r>
        <w:rPr>
          <w:sz w:val="19"/>
        </w:rPr>
        <w:t>Governance und Versorgungslogistik; System betrifft Deutschland als Teilnehmer globaler Netzwerke</w:t>
      </w:r>
    </w:p>
    <w:p>
      <w:r>
        <w:rPr>
          <w:color w:val="5A7D3A"/>
          <w:sz w:val="18"/>
        </w:rPr>
        <w:t>https://pubmed.ncbi.nlm.nih.gov/42717903/</w:t>
      </w:r>
    </w:p>
    <w:p>
      <w:pPr>
        <w:pStyle w:val="Heading2"/>
      </w:pPr>
      <w:r>
        <w:t>BNT162b2-mRNA-Impfung: Plasmazytoide dendritische Zellen lenken Immunantwort</w:t>
      </w:r>
    </w:p>
    <w:p>
      <w:r>
        <w:rPr>
          <w:i/>
          <w:color w:val="666666"/>
          <w:sz w:val="18"/>
        </w:rPr>
        <w:t>Pizzichetti C et al.  ·  EBioMedicine  ·  21.08.2026  ·  PMID 42628376</w:t>
      </w:r>
    </w:p>
    <w:p>
      <w:r>
        <w:t>Vorklinische Mausstudie zur Rolle plasmatischer dendritischer Zellen (pDCs) bei humoralen und CD8+-T-Zell-Gedächtnisantworten nach BNT162b2-Impfung.</w:t>
      </w:r>
    </w:p>
    <w:p>
      <w:r>
        <w:rPr>
          <w:b/>
        </w:rPr>
        <w:t xml:space="preserve">Ergebnis: </w:t>
      </w:r>
      <w:r>
        <w:t>BNT162b2 wurde schnell zu drainierenden Lymphknoten transportiert, wo es hauptsächlich von Leukozyten aufgenommen wurde, die daraufhin Spike-Protein exprimierten. pDCs zeigten sich als Regulatoren entzündlicher und humoraler Immunantworten. Single-Cell-Transkriptomik offenbarte aktive Interaktionen zwischen pDCs und CD8+-T-Zellen; funktionelle Studien bestätigten, dass pDCs CD8+-T-Zell-Aktivierung und -Expansion fördern.</w:t>
      </w:r>
    </w:p>
    <w:p>
      <w:r>
        <w:rPr>
          <w:b/>
          <w:sz w:val="19"/>
        </w:rPr>
        <w:t xml:space="preserve">Übertragbarkeit: </w:t>
      </w:r>
      <w:r>
        <w:rPr>
          <w:sz w:val="19"/>
        </w:rPr>
        <w:t>Vorklinisch; Mechanismusverständnis der mRNA-Impfstoffwirksamkeit</w:t>
      </w:r>
    </w:p>
    <w:p>
      <w:r>
        <w:rPr>
          <w:color w:val="5A7D3A"/>
          <w:sz w:val="18"/>
        </w:rPr>
        <w:t>https://pubmed.ncbi.nlm.nih.gov/42628376/</w:t>
      </w:r>
    </w:p>
    <w:p>
      <w:pPr>
        <w:pStyle w:val="Heading1"/>
      </w:pPr>
      <w:r>
        <w:t>Aufgenommen am 20.09.2026</w:t>
      </w:r>
    </w:p>
    <w:p>
      <w:pPr>
        <w:pStyle w:val="Heading2"/>
      </w:pPr>
      <w:r>
        <w:t>COVID-19-Impfquote bei Lebertransplantierten: 84,9% mit stabiler psychosozialer Gesundheit</w:t>
      </w:r>
    </w:p>
    <w:p>
      <w:r>
        <w:rPr>
          <w:i/>
          <w:color w:val="666666"/>
          <w:sz w:val="18"/>
        </w:rPr>
        <w:t>Akbulut S et al.  ·  Front Public Health  ·  04.09.2026  ·  PMID 42761137</w:t>
      </w:r>
    </w:p>
    <w:p>
      <w:r>
        <w:t>Querschnittsstudie von 311 Lebertransplantierten in der Türkei zu Impfstatus, Impfakzeptanz, Hesitanz, Präventionsverhalten und psychosozialer Gesundheit.</w:t>
      </w:r>
    </w:p>
    <w:p>
      <w:r>
        <w:rPr>
          <w:b/>
        </w:rPr>
        <w:t xml:space="preserve">Ergebnis: </w:t>
      </w:r>
      <w:r>
        <w:t>84,9% Impfquote; Hauptgründe: Empfehlungen von Fachleuten (p=n.s.), wahrgenommene höhere Mortalität chronisch Kranker. Hesitanz wegen unzureichender Effektivitäts- und Sicherheitsdaten, Anti-Impf-Inhalte in sozialen Medien. Psychosoziales Wohlbefinden assoziiert mit Einkommen, Immunsuppression und Informationsquellen; Impfstatus nicht robust mit Risikoperzeption assoziiert.</w:t>
      </w:r>
    </w:p>
    <w:p>
      <w:r>
        <w:rPr>
          <w:b/>
          <w:sz w:val="19"/>
        </w:rPr>
        <w:t xml:space="preserve">Übertragbarkeit: </w:t>
      </w:r>
      <w:r>
        <w:rPr>
          <w:sz w:val="19"/>
        </w:rPr>
        <w:t>Türkei, aber Erkenntnisse zu Impfakzeptanz in Hochrisiko-Kohorten übertragbar</w:t>
      </w:r>
    </w:p>
    <w:p>
      <w:r>
        <w:rPr>
          <w:color w:val="5A7D3A"/>
          <w:sz w:val="18"/>
        </w:rPr>
        <w:t>https://pubmed.ncbi.nlm.nih.gov/42761137/</w:t>
      </w:r>
    </w:p>
    <w:p>
      <w:pPr>
        <w:pStyle w:val="Heading2"/>
      </w:pPr>
      <w:r>
        <w:t>HSV-1-Infektion nach Grippeimpfung: Kasuistik einer zeitlichen Assoziation</w:t>
      </w:r>
    </w:p>
    <w:p>
      <w:r>
        <w:rPr>
          <w:i/>
          <w:color w:val="666666"/>
          <w:sz w:val="18"/>
        </w:rPr>
        <w:t>Liu YH et al.  ·  Hum Vaccin Immunother  ·  18.09.2026  ·  PMID 42757534</w:t>
      </w:r>
    </w:p>
    <w:p>
      <w:r>
        <w:t>Fallbericht eines 28-Jährigen mit multifokaler HSV-1-Infektion sieben Tage nach Influenzaimpfung ohne bekannte Immunsuppression.</w:t>
      </w:r>
    </w:p>
    <w:p>
      <w:r>
        <w:rPr>
          <w:b/>
        </w:rPr>
        <w:t xml:space="preserve">Ergebnis: </w:t>
      </w:r>
      <w:r>
        <w:t>PCR bestätigte HSV-1-DNA in Läsionen; vollständige klinische Remission nach intravenösem Acyclovir. Kausalität kann nicht etabliert werden, zeitliche Nähe ist jedoch bemerkenswert; Differentialdiagnose sollte HSV-Infektionen nach Impfung einbeziehen, ohne Kausalität zu implizieren.</w:t>
      </w:r>
    </w:p>
    <w:p>
      <w:r>
        <w:rPr>
          <w:b/>
          <w:sz w:val="19"/>
        </w:rPr>
        <w:t xml:space="preserve">Übertragbarkeit: </w:t>
      </w:r>
      <w:r>
        <w:rPr>
          <w:sz w:val="19"/>
        </w:rPr>
        <w:t>Deutschland, klinische Einzelfallbeobachtung in Versorgungspraxis relevant</w:t>
      </w:r>
    </w:p>
    <w:p>
      <w:r>
        <w:rPr>
          <w:color w:val="5A7D3A"/>
          <w:sz w:val="18"/>
        </w:rPr>
        <w:t>https://pubmed.ncbi.nlm.nih.gov/42757534/</w:t>
      </w:r>
    </w:p>
    <w:p>
      <w:pPr>
        <w:pStyle w:val="Heading2"/>
      </w:pPr>
      <w:r>
        <w:t>Sabin-IPV in Erwachsenen: Sicherheitsprofil gleichwertig mit konventionellem Polio-Impfstoff</w:t>
      </w:r>
    </w:p>
    <w:p>
      <w:r>
        <w:rPr>
          <w:i/>
          <w:color w:val="666666"/>
          <w:sz w:val="18"/>
        </w:rPr>
        <w:t>Hussain M et al.  ·  Front Public Health  ·  03.09.2026  ·  PMID 42755970</w:t>
      </w:r>
    </w:p>
    <w:p>
      <w:r>
        <w:t>Systematische Übersicht und Meta-Analyse von vier RCTs (70–340 Teilnehmer) zum Vergleich der Sicherheit von Sabin-abgeleiteter inaktivierter Poliovirus-Impfung (sIPV) mit konventioneller IPV bei Erwachsenen als Auffrischung.</w:t>
      </w:r>
    </w:p>
    <w:p>
      <w:r>
        <w:rPr>
          <w:b/>
        </w:rPr>
        <w:t xml:space="preserve">Ergebnis: </w:t>
      </w:r>
      <w:r>
        <w:t>Kein statistisch signifikanter Unterschied in unerwünschten Ereignissen: Schmerz (RR 1,57; 95%-KI 0,98–2,50), Erythem (RR 1,54; 95%-KI 0,64–3,69), Fieber (RR 0,96; 95%-KI 0,39–2,33). Heterogenität I²=0%. Nebenwirkungen mild und transient, die meisten Studien berichteten keine ernstlichen unerwünschten Ereignisse. Evidenzsicherheit niedrig bis sehr niedrig wegen kleiner Stichproben.</w:t>
      </w:r>
    </w:p>
    <w:p>
      <w:r>
        <w:rPr>
          <w:b/>
          <w:sz w:val="19"/>
        </w:rPr>
        <w:t xml:space="preserve">Übertragbarkeit: </w:t>
      </w:r>
      <w:r>
        <w:rPr>
          <w:sz w:val="19"/>
        </w:rPr>
        <w:t>Evidenz aus RCTs, aber kleine Fallzahlen; sIPV-Zulassung in Deutschland prüfen</w:t>
      </w:r>
    </w:p>
    <w:p>
      <w:r>
        <w:rPr>
          <w:color w:val="5A7D3A"/>
          <w:sz w:val="18"/>
        </w:rPr>
        <w:t>https://pubmed.ncbi.nlm.nih.gov/42755970/</w:t>
      </w:r>
    </w:p>
    <w:p>
      <w:pPr>
        <w:pStyle w:val="Heading2"/>
      </w:pPr>
      <w:r>
        <w:t>mRNA-Impfung bei Post-COVID: Funktionelle Besserung unabhängig vom Impfstatus</w:t>
      </w:r>
    </w:p>
    <w:p>
      <w:r>
        <w:rPr>
          <w:i/>
          <w:color w:val="666666"/>
          <w:sz w:val="18"/>
        </w:rPr>
        <w:t>Pries P et al.  ·  Expert Rev Vaccines  ·  17.09.2026  ·  PMID 42755271</w:t>
      </w:r>
    </w:p>
    <w:p>
      <w:r>
        <w:t>Retrospektive Kohortenstudie zur Frage, ob mRNA-SARS-CoV-2-Impfungen bei Patienten mit Langzeit-COVID (PASC) Symptome verschlimmern oder die Genesung beeinträchtigen.</w:t>
      </w:r>
    </w:p>
    <w:p>
      <w:r>
        <w:rPr>
          <w:b/>
        </w:rPr>
        <w:t xml:space="preserve">Ergebnis: </w:t>
      </w:r>
      <w:r>
        <w:t>174 geimpfte und ungeimpfte PASC-Patienten zeigten nach 3–6 Monaten in beiden Gruppen signifikante Verbesserungen bei Müdigkeit und Leistungsfähigkeit; kein statistisch signifikanter Unterschied zwischen Gruppen. Die Studie findet keine Evidenz für eine Verschlechterung durch Impfung, kleinere Effekte sind aber nicht ausgeschlossen.</w:t>
      </w:r>
    </w:p>
    <w:p>
      <w:r>
        <w:rPr>
          <w:b/>
          <w:sz w:val="19"/>
        </w:rPr>
        <w:t xml:space="preserve">Übertragbarkeit: </w:t>
      </w:r>
      <w:r>
        <w:rPr>
          <w:sz w:val="19"/>
        </w:rPr>
        <w:t>Deutschland, vergleichbare Gesundheitssysteme, ambulante Langzeit-COVID-Versorgung</w:t>
      </w:r>
    </w:p>
    <w:p>
      <w:r>
        <w:rPr>
          <w:color w:val="5A7D3A"/>
          <w:sz w:val="18"/>
        </w:rPr>
        <w:t>https://pubmed.ncbi.nlm.nih.gov/42755271/</w:t>
      </w:r>
    </w:p>
    <w:p>
      <w:pPr>
        <w:pStyle w:val="Heading2"/>
      </w:pPr>
      <w:r>
        <w:t>BCG-Immuntherapie bei Typ-1-Diabetes: Glukosemetabolismus korrigiert, HbA1c-Reduktion 8 Jahre stabil</w:t>
      </w:r>
    </w:p>
    <w:p>
      <w:r>
        <w:rPr>
          <w:i/>
          <w:color w:val="666666"/>
          <w:sz w:val="18"/>
        </w:rPr>
        <w:t>Faustman DL et al.  ·  Cells  ·  03.09.2026  ·  PMID 42738899</w:t>
      </w:r>
    </w:p>
    <w:p>
      <w:r>
        <w:t>Übersichtsarbeit zu klinischen Studien und mechanistischen Arbeiten über multi-Dosis-BCG-Immuntherapie bei Typ-1-Diabetes (T1D) und latent autoimmune diabetes in adults (LADA) über 15 Jahre.</w:t>
      </w:r>
    </w:p>
    <w:p>
      <w:r>
        <w:rPr>
          <w:b/>
        </w:rPr>
        <w:t xml:space="preserve">Ergebnis: </w:t>
      </w:r>
      <w:r>
        <w:t>T1D: Multiple klinische Studien zeigen stabile, wiederholte Reduktionen des HbA1c zu nahezu normalen Werten (vs. Placebo) für mindestens 8 Jahre, ohne Wiederherstellung der Pankreasfunction. Mechanismus: BCG-induzierte Korrektur von aerober Glykolyse-Defekten in lymphoiden/myeloiden Zellen → erhöhter Glukoseaufnahme nachgewiesen durch Langzeit-PET/CT. LADA: Minimale oder fehlende klinische Verbesserung; aber BCG reduziert Entzündung und fördert regulatorische T-Zellen. Epigenetische Umgestaltung ohne Genotyp-Änderung.</w:t>
      </w:r>
    </w:p>
    <w:p>
      <w:r>
        <w:rPr>
          <w:b/>
          <w:sz w:val="19"/>
        </w:rPr>
        <w:t xml:space="preserve">Übertragbarkeit: </w:t>
      </w:r>
      <w:r>
        <w:rPr>
          <w:sz w:val="19"/>
        </w:rPr>
        <w:t>USA-Studien mit deutschen Kliniken; Diabetes-Versorgung übertragbar</w:t>
      </w:r>
    </w:p>
    <w:p>
      <w:r>
        <w:rPr>
          <w:color w:val="5A7D3A"/>
          <w:sz w:val="18"/>
        </w:rPr>
        <w:t>https://pubmed.ncbi.nlm.nih.gov/42738899/</w:t>
      </w:r>
    </w:p>
    <w:p>
      <w:pPr>
        <w:pStyle w:val="Heading2"/>
      </w:pPr>
      <w:r>
        <w:t>BCG-Impfung bei Kindern: Genetische Varianten in Entzündungsproteinen zeigen Interaktion mit Impfantwort</w:t>
      </w:r>
    </w:p>
    <w:p>
      <w:r>
        <w:rPr>
          <w:i/>
          <w:color w:val="666666"/>
          <w:sz w:val="18"/>
        </w:rPr>
        <w:t>Boahen CK et al.  ·  Biomed Pharmacother  ·  13.08.2026  ·  PMID 42594746</w:t>
      </w:r>
    </w:p>
    <w:p>
      <w:r>
        <w:t>Genom-weites pQTL-Mapping (Protein-Quantitative-Trait-Loci) von 65 zirkulierenden Entzündungsproteinen bei Monat 13 post-BCG-Impfung in dänischen Kindern zur Identifikation genetischer Varianten, die die Immunantwort beeinflussen.</w:t>
      </w:r>
    </w:p>
    <w:p>
      <w:r>
        <w:rPr>
          <w:b/>
        </w:rPr>
        <w:t xml:space="preserve">Ergebnis: </w:t>
      </w:r>
      <w:r>
        <w:t>11 unabhängige genomweit signifikante Loci identifiziert. Vier pQTL zeigten Evidenz für Genotyp-by-BCG-Interaktionen (rs10217747: CXCL11, rs13187850: CD6, rs56283092: LAP-TGF-β1, rs11708321: CDCP1) mit größeren Effektschätzungen in BCG-Gruppe. Diese Varianten wurden zuvor mit Entzündungs- und Autoimmun-Traits assoziiert. Befunde sind explorativ und hypothesengenerierend, erfordern weitere Validierung.</w:t>
      </w:r>
    </w:p>
    <w:p>
      <w:r>
        <w:rPr>
          <w:b/>
          <w:sz w:val="19"/>
        </w:rPr>
        <w:t xml:space="preserve">Übertragbarkeit: </w:t>
      </w:r>
      <w:r>
        <w:rPr>
          <w:sz w:val="19"/>
        </w:rPr>
        <w:t>Dänemark, Gesundheitssystem vergleichbar; nationale BCG-Impfquoten-Registry vorhanden</w:t>
      </w:r>
    </w:p>
    <w:p>
      <w:r>
        <w:rPr>
          <w:color w:val="5A7D3A"/>
          <w:sz w:val="18"/>
        </w:rPr>
        <w:t>https://pubmed.ncbi.nlm.nih.gov/42594746/</w:t>
      </w:r>
    </w:p>
    <w:p>
      <w:pPr>
        <w:pStyle w:val="Heading1"/>
      </w:pPr>
      <w:r>
        <w:t>Aufgenommen am 19.09.2026</w:t>
      </w:r>
    </w:p>
    <w:p>
      <w:pPr>
        <w:pStyle w:val="Heading2"/>
      </w:pPr>
      <w:r>
        <w:t>Maschinenlernen identifiziert Null-Dosis-Kinder in Subsahara-Afrika</w:t>
      </w:r>
    </w:p>
    <w:p>
      <w:r>
        <w:rPr>
          <w:i/>
          <w:color w:val="666666"/>
          <w:sz w:val="18"/>
        </w:rPr>
        <w:t>Endehabtu BF et al.  ·  BMJ Health Care Inform  ·  18.09.2026  ·  PMID 42759970</w:t>
      </w:r>
    </w:p>
    <w:p>
      <w:r>
        <w:t>Prädiktives Modellentwicklungs-Projekt mit Daten von 27 subsaharischen Ländern (Demographic Health Survey 2016–2024) zur Risikoidentifikation von Kindern ohne Impfung.</w:t>
      </w:r>
    </w:p>
    <w:p>
      <w:r>
        <w:rPr>
          <w:b/>
        </w:rPr>
        <w:t xml:space="preserve">Ergebnis: </w:t>
      </w:r>
      <w:r>
        <w:t>LightGBM-Modell zeigte beste Gesamtleistung: 80 % Genauigkeit, 91 % Sensitivität, AUROC 0,78. Wichtigste Prädiktoren: Entbindungsort, Geburtsvorkontakten, Mutter-Tetanus-Impfung, Haushaltsvermögen, mütterliche Bildung. Ermöglicht frühe Risikoidentifikation.</w:t>
      </w:r>
    </w:p>
    <w:p>
      <w:r>
        <w:rPr>
          <w:b/>
          <w:sz w:val="19"/>
        </w:rPr>
        <w:t xml:space="preserve">Übertragbarkeit: </w:t>
      </w:r>
      <w:r>
        <w:rPr>
          <w:sz w:val="19"/>
        </w:rPr>
        <w:t>Subsahara-Afrika, digitales Tooldesign auf Länder mit WHO DHSatz übertragbar.</w:t>
      </w:r>
    </w:p>
    <w:p>
      <w:r>
        <w:rPr>
          <w:color w:val="5A7D3A"/>
          <w:sz w:val="18"/>
        </w:rPr>
        <w:t>https://pubmed.ncbi.nlm.nih.gov/42759970/</w:t>
      </w:r>
    </w:p>
    <w:p>
      <w:pPr>
        <w:pStyle w:val="Heading2"/>
      </w:pPr>
      <w:r>
        <w:t>RSV-Impfeffektivität bei älteren Erwachsenen in den USA zeigt hohe Wirksamkeit</w:t>
      </w:r>
    </w:p>
    <w:p>
      <w:r>
        <w:rPr>
          <w:i/>
          <w:color w:val="666666"/>
          <w:sz w:val="18"/>
        </w:rPr>
        <w:t>Lu Y et al.  ·  JAMA Netw Open  ·  01.09.2026  ·  PMID 42758507</w:t>
      </w:r>
    </w:p>
    <w:p>
      <w:r>
        <w:t>Nationale Kohortenstudie zur klinischen Wirksamkeit zweier RSV-Impfstoffe bei Medicare-Patienten ab 65 Jahren in der ersten Saison nach Zulassung (August 2023 bis März 2024).</w:t>
      </w:r>
    </w:p>
    <w:p>
      <w:r>
        <w:rPr>
          <w:b/>
        </w:rPr>
        <w:t xml:space="preserve">Ergebnis: </w:t>
      </w:r>
      <w:r>
        <w:t>RSVPreF3+AS01 und RSVpreF hatten eine Effektivität von 81,8 % (95-%-KI 80,0–83,4 %) gegen RSV-bedingte Hospitalisierungen und 85,0 % gegen RSV-bedingte Todesfälle. Brand-spezifisch: RSVPreF3+AS01 79,9 %, RSVpreF 85,1 %. Bei immungeschwächten Personen 72,2 %. Wirksam über alle Altersgruppen ab 65 Jahren.</w:t>
      </w:r>
    </w:p>
    <w:p>
      <w:r>
        <w:rPr>
          <w:b/>
          <w:sz w:val="19"/>
        </w:rPr>
        <w:t xml:space="preserve">Übertragbarkeit: </w:t>
      </w:r>
      <w:r>
        <w:rPr>
          <w:sz w:val="19"/>
        </w:rPr>
        <w:t>Medicare-Daten, vergleichbare Dokumentationspflichten wie Deutschland.</w:t>
      </w:r>
    </w:p>
    <w:p>
      <w:r>
        <w:rPr>
          <w:color w:val="5A7D3A"/>
          <w:sz w:val="18"/>
        </w:rPr>
        <w:t>https://pubmed.ncbi.nlm.nih.gov/42758507/</w:t>
      </w:r>
    </w:p>
    <w:p>
      <w:pPr>
        <w:pStyle w:val="Heading2"/>
      </w:pPr>
      <w:r>
        <w:t>Impfbefürwortung durch Fachpersonal: Trainingseffekt bei Hebammen und Pflegekräften</w:t>
      </w:r>
    </w:p>
    <w:p>
      <w:r>
        <w:rPr>
          <w:i/>
          <w:color w:val="666666"/>
          <w:sz w:val="18"/>
        </w:rPr>
        <w:t>Tiryaki Ö  ·  Biomedica  ·  20.08.2026  ·  PMID 42757794</w:t>
      </w:r>
    </w:p>
    <w:p>
      <w:r>
        <w:t>Quasi-experimentelle Studie mit Vorher-Nachher-Messung zur Wirkung eines Impfaufklärungstrainings auf die Impfbefürwortung bei 249 Hebammen und Pflegekräften.</w:t>
      </w:r>
    </w:p>
    <w:p>
      <w:r>
        <w:rPr>
          <w:b/>
        </w:rPr>
        <w:t xml:space="preserve">Ergebnis: </w:t>
      </w:r>
      <w:r>
        <w:t>Vaccine Advocacy Scale für Kinderimpfungen stieg signifikant von 45,19 ± 2,85 vor auf 46,95 ± 1,99 Punkte nach dem Training (Wilcoxon p = 0,000). Effekt niedrig, aber statistisch robust; Ausgangsniveau bereits hoch.</w:t>
      </w:r>
    </w:p>
    <w:p>
      <w:r>
        <w:rPr>
          <w:b/>
          <w:sz w:val="19"/>
        </w:rPr>
        <w:t xml:space="preserve">Übertragbarkeit: </w:t>
      </w:r>
      <w:r>
        <w:rPr>
          <w:sz w:val="19"/>
        </w:rPr>
        <w:t>Türkisches Setting, Pflegekräfte-Schulung auf Deutschland übertragbar.</w:t>
      </w:r>
    </w:p>
    <w:p>
      <w:r>
        <w:rPr>
          <w:color w:val="5A7D3A"/>
          <w:sz w:val="18"/>
        </w:rPr>
        <w:t>https://pubmed.ncbi.nlm.nih.gov/42757794/</w:t>
      </w:r>
    </w:p>
    <w:p>
      <w:pPr>
        <w:pStyle w:val="Heading2"/>
      </w:pPr>
      <w:r>
        <w:t>RSVPreF3-Impfstoff bei älteren Chinesen immunogenetisch gleichwertig zu globaler Population</w:t>
      </w:r>
    </w:p>
    <w:p>
      <w:r>
        <w:rPr>
          <w:i/>
          <w:color w:val="666666"/>
          <w:sz w:val="18"/>
        </w:rPr>
        <w:t>Guo X et al.  ·  Front Immunol  ·  03.09.2026  ·  PMID 42756146</w:t>
      </w:r>
    </w:p>
    <w:p>
      <w:r>
        <w:t>Phase-3-Immunbrückungs-Studie zur Nichtunterlegenheit von RSVPreF3 bei ≥60-jährigen chinesischen Erwachsenen gegenüber internationaler Vergleichsgruppe (6 Länder).</w:t>
      </w:r>
    </w:p>
    <w:p>
      <w:r>
        <w:rPr>
          <w:b/>
        </w:rPr>
        <w:t xml:space="preserve">Ergebnis: </w:t>
      </w:r>
      <w:r>
        <w:t>Nichtunterlegenheitskriterien erfüllt: GMT-Verhältnisse für RSV-A/B 1,20/1,10 (akzeptabel ≤1,5), Seroresponse-Unterschiede 3,40 %/4,89 % (akzeptabel ≤10 %). RSV-A/B-Neutralisationstiter 5523/8073 ED60 (China), 6605/8286 (Ausland). Lokale Nebenwirkungen meist mild-moderat, Ernsthaftigkeit niedrig (0,2–0,3 % immune-vermittelt).</w:t>
      </w:r>
    </w:p>
    <w:p>
      <w:r>
        <w:rPr>
          <w:b/>
          <w:sz w:val="19"/>
        </w:rPr>
        <w:t xml:space="preserve">Übertragbarkeit: </w:t>
      </w:r>
      <w:r>
        <w:rPr>
          <w:sz w:val="19"/>
        </w:rPr>
        <w:t>China, aber Immunogenität-Ergebnis zur Globalität des Impfstoffs übertra gbar.</w:t>
      </w:r>
    </w:p>
    <w:p>
      <w:r>
        <w:rPr>
          <w:color w:val="5A7D3A"/>
          <w:sz w:val="18"/>
        </w:rPr>
        <w:t>https://pubmed.ncbi.nlm.nih.gov/42756146/</w:t>
      </w:r>
    </w:p>
    <w:p>
      <w:pPr>
        <w:pStyle w:val="Heading2"/>
      </w:pPr>
      <w:r>
        <w:t>Impfgerechtigkeit als Planungsprinzip: Lehren aus der COVID-19-Pandemie</w:t>
      </w:r>
    </w:p>
    <w:p>
      <w:r>
        <w:rPr>
          <w:i/>
          <w:color w:val="666666"/>
          <w:sz w:val="18"/>
        </w:rPr>
        <w:t>Ghafari M et al.  ·  Expert Rev Vaccines  ·  16.09.2026  ·  PMID 42750274</w:t>
      </w:r>
    </w:p>
    <w:p>
      <w:r>
        <w:t>Synthesearbeit von Literatur und Politikberichten zu globalen Impfstoff-Rollouts, insbesondere über Verteilungsszenarien, Beschaffung und dezentralisierte Herstellung.</w:t>
      </w:r>
    </w:p>
    <w:p>
      <w:r>
        <w:rPr>
          <w:b/>
        </w:rPr>
        <w:t xml:space="preserve">Ergebnis: </w:t>
      </w:r>
      <w:r>
        <w:t>COVID-19 zeigte: Schnelle Entwicklung ohne Gerechtigkeitsplanung schuf vermeidbare Schäden. Lösungen sind geografisch verteilte Herstellung, vorab vereinbarte epidemiologisch gesteuerte Zuteilung, transparente Datenaustausch und Neutralisierung kommerzieller Verzerrungen. Empfehlung: Institutionalisierte disaggregierte Berichterstattung und standardisierte Daten-Sharing.</w:t>
      </w:r>
    </w:p>
    <w:p>
      <w:r>
        <w:rPr>
          <w:b/>
          <w:sz w:val="19"/>
        </w:rPr>
        <w:t xml:space="preserve">Übertragbarkeit: </w:t>
      </w:r>
      <w:r>
        <w:rPr>
          <w:sz w:val="19"/>
        </w:rPr>
        <w:t>Europäisches und Schweizer System, Prinzipien auf DACH übertragbar.</w:t>
      </w:r>
    </w:p>
    <w:p>
      <w:r>
        <w:rPr>
          <w:color w:val="5A7D3A"/>
          <w:sz w:val="18"/>
        </w:rPr>
        <w:t>https://pubmed.ncbi.nlm.nih.gov/42750274/</w:t>
      </w:r>
    </w:p>
    <w:p>
      <w:pPr>
        <w:pStyle w:val="Heading2"/>
      </w:pPr>
      <w:r>
        <w:t>Inaktivierter Rotavirus-Impfstoff: Sicherheit und Immunogenität bei Kleinkindern</w:t>
      </w:r>
    </w:p>
    <w:p>
      <w:r>
        <w:rPr>
          <w:i/>
          <w:color w:val="666666"/>
          <w:sz w:val="18"/>
        </w:rPr>
        <w:t>Zhou Y et al.  ·  Nat Commun  ·  14.08.2026  ·  PMID 42733081</w:t>
      </w:r>
    </w:p>
    <w:p>
      <w:r>
        <w:t>Randomisierte, placebokontrollierte Phase-1-Studie zur Dosis-Eskalation von Rotavirus-Impfstoff bei 288 Kindern 2–71 Monate ohne vorherige Rotavirus-Impfung.</w:t>
      </w:r>
    </w:p>
    <w:p>
      <w:r>
        <w:rPr>
          <w:b/>
        </w:rPr>
        <w:t xml:space="preserve">Ergebnis: </w:t>
      </w:r>
      <w:r>
        <w:t>Keine impfstoffbezogenen SAEs; transiente Mild-bis-Mäßig-Fieber nur in Hochdosis-Säuglings-Gruppe (klinisch handhabbar). Neutralisierende Antikörper-GMT dose-abhängig erhöht. 3-Dosis-Säugling-Gruppe (320 EU): GMT 551,98 vs. 36,17 (Placebo), Serokonversionsrate 83,33 % vs. 10 %. 3-Dosis-Schema überlegen 2-Dosis.</w:t>
      </w:r>
    </w:p>
    <w:p>
      <w:r>
        <w:rPr>
          <w:b/>
          <w:sz w:val="19"/>
        </w:rPr>
        <w:t xml:space="preserve">Übertragbarkeit: </w:t>
      </w:r>
      <w:r>
        <w:rPr>
          <w:sz w:val="19"/>
        </w:rPr>
        <w:t>Chinesische Studie, Sicherheits- und Immunogenitätsdaten auf frühe Klinische Phasen übertragbar.</w:t>
      </w:r>
    </w:p>
    <w:p>
      <w:r>
        <w:rPr>
          <w:color w:val="5A7D3A"/>
          <w:sz w:val="18"/>
        </w:rPr>
        <w:t>https://pubmed.ncbi.nlm.nih.gov/42733081/</w:t>
      </w:r>
    </w:p>
    <w:p>
      <w:pPr>
        <w:pStyle w:val="Heading1"/>
      </w:pPr>
      <w:r>
        <w:t>Aufgenommen am 18.09.2026</w:t>
      </w:r>
    </w:p>
    <w:p>
      <w:pPr>
        <w:pStyle w:val="Heading2"/>
      </w:pPr>
      <w:r>
        <w:t>RSV-Hospitalisierungen vor Impfstoffeinführung: Altersgruppen und Datenlücken</w:t>
      </w:r>
    </w:p>
    <w:p>
      <w:r>
        <w:rPr>
          <w:i/>
          <w:color w:val="666666"/>
          <w:sz w:val="18"/>
        </w:rPr>
        <w:t>Imai-Boulter C et al.  ·  Med J Aust  ·  Sept. 2026  ·  PMID 42754405</w:t>
      </w:r>
    </w:p>
    <w:p>
      <w:r>
        <w:t>Retrospektive bevölkerungsbasierte Studie zur RSV-Krankheitslast in Australien vor Immunisierungsstart (2016–2019 Hospitalisierungen, 2023 Labor-Meldungen).</w:t>
      </w:r>
    </w:p>
    <w:p>
      <w:r>
        <w:rPr>
          <w:b/>
        </w:rPr>
        <w:t xml:space="preserve">Ergebnis: </w:t>
      </w:r>
      <w:r>
        <w:t>Hospitalisierungen bei &lt;3 Monaten alt: 4014/100000, bei ≥65 Jahren: 122/100000 (steigende Tendenz); 55 % der Bronchiolitiden mit ungeklärter Ursache; Labor-Meldungen höchst bei 6–11 Monaten (7778/100000). Zeigt Datenlücken bei Fallerfassung und Testfrequenz.</w:t>
      </w:r>
    </w:p>
    <w:p>
      <w:r>
        <w:rPr>
          <w:b/>
          <w:sz w:val="19"/>
        </w:rPr>
        <w:t xml:space="preserve">Übertragbarkeit: </w:t>
      </w:r>
      <w:r>
        <w:rPr>
          <w:sz w:val="19"/>
        </w:rPr>
        <w:t>Australien (Versorgungsdaten verfügbar); ähnliche Datenstrukturen in Deutschland schwächer (kein nationales Impfregister).</w:t>
      </w:r>
    </w:p>
    <w:p>
      <w:r>
        <w:rPr>
          <w:color w:val="5A7D3A"/>
          <w:sz w:val="18"/>
        </w:rPr>
        <w:t>https://pubmed.ncbi.nlm.nih.gov/42754405/</w:t>
      </w:r>
    </w:p>
    <w:p>
      <w:pPr>
        <w:pStyle w:val="Heading2"/>
      </w:pPr>
      <w:r>
        <w:t>MZB1-Spiegel sagen Langzeitschutz nach Hepatitis-B-Impfung voraus</w:t>
      </w:r>
    </w:p>
    <w:p>
      <w:r>
        <w:rPr>
          <w:i/>
          <w:color w:val="666666"/>
          <w:sz w:val="18"/>
        </w:rPr>
        <w:t>Huang ML et al.  ·  Front Immunol  ·  02.09.2026  ·  PMID 42751130</w:t>
      </w:r>
    </w:p>
    <w:p>
      <w:r>
        <w:t>Single-Cell-RNA-Seq plus nested case-control und Interventionsstudie zur Identifikation von B-Zell-Markern für stabilen Anti-HBs-Schutz.</w:t>
      </w:r>
    </w:p>
    <w:p>
      <w:r>
        <w:rPr>
          <w:b/>
        </w:rPr>
        <w:t xml:space="preserve">Ergebnis: </w:t>
      </w:r>
      <w:r>
        <w:t>MZB1 signifikant erhöht in B-Zellen von Langzeitschützer/innen (p=2,1e-12); Serum-MZB1 &gt;1000 mIU/ml nach 30 Jahren: 7,1±2,2 ng/ml vs. Anti-HBs-Negative: 0,96±0,1 ng/ml (p&lt;0,0001); MZB1 korreliert stark mit Anti-HBs-Titer (r=0,892). MZB1 schon nach 1. Dosis erhöht, VE besser bei hohen MZB1-Konzentrationen.</w:t>
      </w:r>
    </w:p>
    <w:p>
      <w:r>
        <w:rPr>
          <w:b/>
          <w:sz w:val="19"/>
        </w:rPr>
        <w:t xml:space="preserve">Übertragbarkeit: </w:t>
      </w:r>
      <w:r>
        <w:rPr>
          <w:sz w:val="19"/>
        </w:rPr>
        <w:t>China (Validierungskohorten mobil), Biomarker universal; kein nationales Vorteil, aber wissenschaftlich relevant.</w:t>
      </w:r>
    </w:p>
    <w:p>
      <w:r>
        <w:rPr>
          <w:color w:val="5A7D3A"/>
          <w:sz w:val="18"/>
        </w:rPr>
        <w:t>https://pubmed.ncbi.nlm.nih.gov/42751130/</w:t>
      </w:r>
    </w:p>
    <w:p>
      <w:pPr>
        <w:pStyle w:val="Heading2"/>
      </w:pPr>
      <w:r>
        <w:t>Wertaffirmation in Impfkampagnen: Small Effects auf Impfbereitschaft</w:t>
      </w:r>
    </w:p>
    <w:p>
      <w:r>
        <w:rPr>
          <w:i/>
          <w:color w:val="666666"/>
          <w:sz w:val="18"/>
        </w:rPr>
        <w:t>Wolsko C et al.  ·  PLoS One  ·  16.09.2026  ·  PMID 42748077</w:t>
      </w:r>
    </w:p>
    <w:p>
      <w:r>
        <w:t>Online-Befragung von 1170 Ungeimpften (USA, Frühjahr 2021) zu COVID-Impfbotschaften, die auf persönliche Werte ausgerichtet sind.</w:t>
      </w:r>
    </w:p>
    <w:p>
      <w:r>
        <w:rPr>
          <w:b/>
        </w:rPr>
        <w:t xml:space="preserve">Ergebnis: </w:t>
      </w:r>
      <w:r>
        <w:t>Botschaften, die Misstrauen in Regierung und Sorgen vor Freiheitsbeschränkung bestätigten, zeigten höhere Impfbereitschaft und mehr Vertrauen als Kontrolle; Effektgrößen klein, aber bedeutsam für Vaccine Hesitancy-Subgruppen.</w:t>
      </w:r>
    </w:p>
    <w:p>
      <w:r>
        <w:rPr>
          <w:b/>
          <w:sz w:val="19"/>
        </w:rPr>
        <w:t xml:space="preserve">Übertragbarkeit: </w:t>
      </w:r>
      <w:r>
        <w:rPr>
          <w:sz w:val="19"/>
        </w:rPr>
        <w:t>USA (Wertbetonung kulturabhängig); Kommunikationsstrategie prinzipiell übertragbar, aber Wertrahmen müssen regional angepasst werden.</w:t>
      </w:r>
    </w:p>
    <w:p>
      <w:r>
        <w:rPr>
          <w:color w:val="5A7D3A"/>
          <w:sz w:val="18"/>
        </w:rPr>
        <w:t>https://pubmed.ncbi.nlm.nih.gov/42748077/</w:t>
      </w:r>
    </w:p>
    <w:p>
      <w:pPr>
        <w:pStyle w:val="Heading2"/>
      </w:pPr>
      <w:r>
        <w:t>Impf-Fachkompetenz in Äthiopien schwach: nur 50 % erfüllen Mindeststandard</w:t>
      </w:r>
    </w:p>
    <w:p>
      <w:r>
        <w:rPr>
          <w:i/>
          <w:color w:val="666666"/>
          <w:sz w:val="18"/>
        </w:rPr>
        <w:t>Olani A et al.  ·  PLoS One  ·  15.09.2026  ·  PMID 42743175</w:t>
      </w:r>
    </w:p>
    <w:p>
      <w:r>
        <w:t>Observationale Studie mit Checklisten zur Impf-Fachkompetenz in 34 äthiopischen Gesundheitseinrichtungen.</w:t>
      </w:r>
    </w:p>
    <w:p>
      <w:r>
        <w:rPr>
          <w:b/>
        </w:rPr>
        <w:t xml:space="preserve">Ergebnis: </w:t>
      </w:r>
      <w:r>
        <w:t>340 Impfungen beobachtet; Gesamtkompetenz 50 % (Schwelle: 80 %); beste Leistung: Verabreichung (71 %), schlechteste: Dokumentation (22 %); Defizite in Infektionskontrolle und Patienten-Kommunikation. Lücke zwischen theoretischem Wissen und praktischer Umsetzung.</w:t>
      </w:r>
    </w:p>
    <w:p>
      <w:r>
        <w:rPr>
          <w:b/>
          <w:sz w:val="19"/>
        </w:rPr>
        <w:t xml:space="preserve">Übertragbarkeit: </w:t>
      </w:r>
      <w:r>
        <w:rPr>
          <w:sz w:val="19"/>
        </w:rPr>
        <w:t>Äthiopien (Niedrig-Ressourcen), begrenzte Übertragbarkeit; zeigt jedoch global relevante Schulungs- und Überwachungsdefizite.</w:t>
      </w:r>
    </w:p>
    <w:p>
      <w:r>
        <w:rPr>
          <w:color w:val="5A7D3A"/>
          <w:sz w:val="18"/>
        </w:rPr>
        <w:t>https://pubmed.ncbi.nlm.nih.gov/42743175/</w:t>
      </w:r>
    </w:p>
    <w:p>
      <w:pPr>
        <w:pStyle w:val="Heading2"/>
      </w:pPr>
      <w:r>
        <w:t>Ökologische Studien zu Impfeffekten könnten Versorgungsdaten für Deutschland liefern</w:t>
      </w:r>
    </w:p>
    <w:p>
      <w:r>
        <w:rPr>
          <w:i/>
          <w:color w:val="666666"/>
          <w:sz w:val="18"/>
        </w:rPr>
        <w:t>Nolting T et al.  ·  BMJ Open  ·  11.09.2026  ·  PMID 42731829</w:t>
      </w:r>
    </w:p>
    <w:p>
      <w:r>
        <w:t>Scoping Review, die ökologische Studien zu Impfeffektivität systematisieren soll, mit Fokus auf Deutschland.</w:t>
      </w:r>
    </w:p>
    <w:p>
      <w:r>
        <w:rPr>
          <w:b/>
        </w:rPr>
        <w:t xml:space="preserve">Ergebnis: </w:t>
      </w:r>
      <w:r>
        <w:t>Studienprotokoll ohne empirische Ergebnisse; zeigt einen Forschungsbedarf für vergleichende Analysen der Impfbeiträge zu Morbidität und Mortalität.</w:t>
      </w:r>
    </w:p>
    <w:p>
      <w:r>
        <w:rPr>
          <w:b/>
          <w:sz w:val="19"/>
        </w:rPr>
        <w:t xml:space="preserve">Übertragbarkeit: </w:t>
      </w:r>
      <w:r>
        <w:rPr>
          <w:sz w:val="19"/>
        </w:rPr>
        <w:t>Deutschland, zukünftige Datenquelle; Übertragbarkeit hängt von Verfügbarkeit von Routinedaten ab.</w:t>
      </w:r>
    </w:p>
    <w:p>
      <w:r>
        <w:rPr>
          <w:color w:val="5A7D3A"/>
          <w:sz w:val="18"/>
        </w:rPr>
        <w:t>https://pubmed.ncbi.nlm.nih.gov/42731829/</w:t>
      </w:r>
    </w:p>
    <w:p>
      <w:pPr>
        <w:pStyle w:val="Heading2"/>
      </w:pPr>
      <w:r>
        <w:t>Impfantwort bei Krebs und Immunsuppression: RESPONSE-Kohortenstudie</w:t>
      </w:r>
    </w:p>
    <w:p>
      <w:r>
        <w:rPr>
          <w:i/>
          <w:color w:val="666666"/>
          <w:sz w:val="18"/>
        </w:rPr>
        <w:t>Felipe Fumero E et al.  ·  JMIR Res Protoc  ·  23.07.2026  ·  PMID 42492070</w:t>
      </w:r>
    </w:p>
    <w:p>
      <w:r>
        <w:t>Prospektive Kohortenstudie zu humoralen und zellulären Reaktionen auf Atemwegs-Impfstoffe bei onkologischen Patienten, Rekrutierung seit März 2025 laufend.</w:t>
      </w:r>
    </w:p>
    <w:p>
      <w:r>
        <w:rPr>
          <w:b/>
        </w:rPr>
        <w:t xml:space="preserve">Ergebnis: </w:t>
      </w:r>
      <w:r>
        <w:t>Protokoll mit laufender Rekrutierung; Fokus auf frühe und späte Booster-Effekte. Finale Analysen ab Q3 2026 geplant; zielt auf T-Zell-Antworten, die bei dieser Gruppe zuverlässiger sind als Antikörper.</w:t>
      </w:r>
    </w:p>
    <w:p>
      <w:r>
        <w:rPr>
          <w:b/>
          <w:sz w:val="19"/>
        </w:rPr>
        <w:t xml:space="preserve">Übertragbarkeit: </w:t>
      </w:r>
      <w:r>
        <w:rPr>
          <w:sz w:val="19"/>
        </w:rPr>
        <w:t>Deutschland (Köln, Universitätsklinik), direkt übertragbar auf Versorgungsfragen bei Immunsuppression.</w:t>
      </w:r>
    </w:p>
    <w:p>
      <w:r>
        <w:rPr>
          <w:color w:val="5A7D3A"/>
          <w:sz w:val="18"/>
        </w:rPr>
        <w:t>https://pubmed.ncbi.nlm.nih.gov/42492070/</w:t>
      </w:r>
    </w:p>
    <w:p>
      <w:pPr>
        <w:pStyle w:val="Heading1"/>
      </w:pPr>
      <w:r>
        <w:t>Aufgenommen am 17.09.2026</w:t>
      </w:r>
    </w:p>
    <w:p>
      <w:pPr>
        <w:pStyle w:val="Heading2"/>
      </w:pPr>
      <w:r>
        <w:t>Gonorrhoe-Impfstoff: Modellierte Prävalenzreduktion in abgelegenem indigenem Australien</w:t>
      </w:r>
    </w:p>
    <w:p>
      <w:r>
        <w:rPr>
          <w:i/>
          <w:color w:val="666666"/>
          <w:sz w:val="18"/>
        </w:rPr>
        <w:t>Padeniya TN et al.  ·  Sex Health  ·  20.10.2026  ·  PMID 42749469</w:t>
      </w:r>
    </w:p>
    <w:p>
      <w:r>
        <w:t>Mathematisches Transmissionsmodell (individual-basiert) zur Analyse der Effektivität einer hypothetischen Gonorrhoe-Impfung in abgelegenen Gemeinden mit hoher Inzidenz bei 16–36-jährigen australischen Ureinwohnern.</w:t>
      </w:r>
    </w:p>
    <w:p>
      <w:r>
        <w:rPr>
          <w:b/>
        </w:rPr>
        <w:t xml:space="preserve">Ergebnis: </w:t>
      </w:r>
      <w:r>
        <w:t>Bei 5-Jahres-Nachverfolgung mit 40 % jährlicher Impfquote und Impfstoff mit 25–50 % Schutzwirksamkeit: relative Prävalenzreduktion 15–28 %. Bei 80 % Impfquote und 75 % Wirksamkeit: 95 % (5 Jahre) bis 98 % (10 Jahre) Reduktion. Auch mit partieller Wirksamkeit substantielle Prävalenzrückgänge möglich.</w:t>
      </w:r>
    </w:p>
    <w:p>
      <w:r>
        <w:rPr>
          <w:b/>
          <w:sz w:val="19"/>
        </w:rPr>
        <w:t xml:space="preserve">Übertragbarkeit: </w:t>
      </w:r>
      <w:r>
        <w:rPr>
          <w:sz w:val="19"/>
        </w:rPr>
        <w:t>Australien mit Registersystem und hoher Datenqualität, aber Bevölkerungszusammensetzung und epidemiologische Lage unterscheiden sich von Deutschland.</w:t>
      </w:r>
    </w:p>
    <w:p>
      <w:r>
        <w:rPr>
          <w:color w:val="5A7D3A"/>
          <w:sz w:val="18"/>
        </w:rPr>
        <w:t>https://pubmed.ncbi.nlm.nih.gov/42749469/</w:t>
      </w:r>
    </w:p>
    <w:p>
      <w:pPr>
        <w:pStyle w:val="Heading2"/>
      </w:pPr>
      <w:r>
        <w:t>Herpes-Zoster-Impfung: Wirksamkeit gegen Zoster, Ophthalmicus und postherpetische Neuralgie</w:t>
      </w:r>
    </w:p>
    <w:p>
      <w:r>
        <w:rPr>
          <w:i/>
          <w:color w:val="666666"/>
          <w:sz w:val="18"/>
        </w:rPr>
        <w:t>Heen E et al.  ·  Rev Med Virol  ·  Sept. 2026  ·  PMID 42748460</w:t>
      </w:r>
    </w:p>
    <w:p>
      <w:r>
        <w:t>Systematische Übersicht mit Metaanalyse von 18 Studien (3 RCT, 15 Beobachtungsstudien) zur Effektivität des Recombinant-Zoster-Impfstoffs (RZV) gegen Herpes zoster und Komplikationen in ≥50-Jährigen.</w:t>
      </w:r>
    </w:p>
    <w:p>
      <w:r>
        <w:rPr>
          <w:b/>
        </w:rPr>
        <w:t xml:space="preserve">Ergebnis: </w:t>
      </w:r>
      <w:r>
        <w:t>RZV zeigte in RCT 95 % Effektivität gegen Herpes zoster (hochgradig), substantielle Reduktion von Herpes-Zoster-Ophthalmicus (hochgradig), wahrscheinlich postherpetische Neuralgia (moderat). Durable Schutzwirkung mind. 11 Jahre nachgewiesen (niedrig bis moderat). Mögliche Assoziation mit reduziertem Demenzrisiko (niedrig, durch healthy-vaccinee-bias-Unsicherheit).</w:t>
      </w:r>
    </w:p>
    <w:p>
      <w:r>
        <w:rPr>
          <w:b/>
          <w:sz w:val="19"/>
        </w:rPr>
        <w:t xml:space="preserve">Übertragbarkeit: </w:t>
      </w:r>
      <w:r>
        <w:rPr>
          <w:sz w:val="19"/>
        </w:rPr>
        <w:t>Norwegen und Schweden, vergleichbare altersstrukturierte Bevölkerungen und Impfregister; Befunde direkt auf deutsches Zoster-Impfprogramm übertragbar.</w:t>
      </w:r>
    </w:p>
    <w:p>
      <w:r>
        <w:rPr>
          <w:color w:val="5A7D3A"/>
          <w:sz w:val="18"/>
        </w:rPr>
        <w:t>https://pubmed.ncbi.nlm.nih.gov/42748460/</w:t>
      </w:r>
    </w:p>
    <w:p>
      <w:pPr>
        <w:pStyle w:val="Heading2"/>
      </w:pPr>
      <w:r>
        <w:t>Kulturell angepasste HPV-Aufklärung und Impfintention in Saudi-Arabien</w:t>
      </w:r>
    </w:p>
    <w:p>
      <w:r>
        <w:rPr>
          <w:i/>
          <w:color w:val="666666"/>
          <w:sz w:val="18"/>
        </w:rPr>
        <w:t>Elsayed EA et al.  ·  JMIR Public Health Surveill  ·  16.09.2026  ·  PMID 42748422</w:t>
      </w:r>
    </w:p>
    <w:p>
      <w:r>
        <w:t>Quasi-experimentelle Studie (Prä-Post mit Kontrollgruppe, n=380) zur Wirkung einer 45-minütigen, an lokale Werte adaptierten Schulungsintervention auf HPV-Wissen, Gesundheitsbewusstsein und Impfbereitschaft.</w:t>
      </w:r>
    </w:p>
    <w:p>
      <w:r>
        <w:rPr>
          <w:b/>
        </w:rPr>
        <w:t xml:space="preserve">Ergebnis: </w:t>
      </w:r>
      <w:r>
        <w:t>In der Interventionsgruppe zeigte sich bei 3-Monats-Nachverfolgung gegenüber Kontrollen: Wissen (β=0,84, p&lt;0,001, d=0,45), Bewusstsein (β=0,88, p&lt;0,001, d=0,44), Einstellung (β=0,70, p&lt;0,001, d=0,38), Impfabsicht (β=0,86, p&lt;0,001, d=0,82, großer Effekt). Effekte über Altersgruppen, Bildung und Gesundheitskompetenz konsistent.</w:t>
      </w:r>
    </w:p>
    <w:p>
      <w:r>
        <w:rPr>
          <w:b/>
          <w:sz w:val="19"/>
        </w:rPr>
        <w:t xml:space="preserve">Übertragbarkeit: </w:t>
      </w:r>
      <w:r>
        <w:rPr>
          <w:sz w:val="19"/>
        </w:rPr>
        <w:t>Saudi-Arabien, begrenzt übertragbar, aber Modell für kulturell sensible Beratung in diversen deutschen Bevölkerungsgruppen.</w:t>
      </w:r>
    </w:p>
    <w:p>
      <w:r>
        <w:rPr>
          <w:color w:val="5A7D3A"/>
          <w:sz w:val="18"/>
        </w:rPr>
        <w:t>https://pubmed.ncbi.nlm.nih.gov/42748422/</w:t>
      </w:r>
    </w:p>
    <w:p>
      <w:pPr>
        <w:pStyle w:val="Heading2"/>
      </w:pPr>
      <w:r>
        <w:t>Personalisierte Neoantigen-Impfstoff-Therapie bei Kopf-Hals-Karzinom vermeidet Rezidive</w:t>
      </w:r>
    </w:p>
    <w:p>
      <w:r>
        <w:rPr>
          <w:i/>
          <w:color w:val="666666"/>
          <w:sz w:val="18"/>
        </w:rPr>
        <w:t>Ottensmeier C et al.  ·  Nat Commun  ·  17.08.2026  ·  PMID 42744798</w:t>
      </w:r>
    </w:p>
    <w:p>
      <w:r>
        <w:t>Randomisierte Phase-I-Studie (n=32) zur Adjuvans-Therapie mit TG4050, einem individualisierten viralen Neoantigen-Impfstoff mit bis zu 30 tumor-spezifischen Neoantigenen, nach Standard-Chemotherapie vs. abwartendem Vorgehen.</w:t>
      </w:r>
    </w:p>
    <w:p>
      <w:r>
        <w:rPr>
          <w:b/>
        </w:rPr>
        <w:t xml:space="preserve">Ergebnis: </w:t>
      </w:r>
      <w:r>
        <w:t>Unmittelbare TG4050-Gruppe: 0 von 16 Rezidive nach 30 Monaten Nachverfolgung; Kontrollgruppe: 3 von 16 Rezidive. T-Zell-Antworten gegen Neoantigen in 73,3 % detektiert (Median 3 Neoantigen pro Responder), persistent über 1 Jahr. Neoantigen-spezifische CD8+ T-Zellen zeigten Effektor- und geweberesidente Marker.</w:t>
      </w:r>
    </w:p>
    <w:p>
      <w:r>
        <w:rPr>
          <w:b/>
          <w:sz w:val="19"/>
        </w:rPr>
        <w:t xml:space="preserve">Übertragbarkeit: </w:t>
      </w:r>
      <w:r>
        <w:rPr>
          <w:sz w:val="19"/>
        </w:rPr>
        <w:t>Multinationale Studie (UK, Frankreich, Niederlande), übertragbar auf deutsches Klinikum mit entsprechender molekularer Tumorcharakterisierung.</w:t>
      </w:r>
    </w:p>
    <w:p>
      <w:r>
        <w:rPr>
          <w:color w:val="5A7D3A"/>
          <w:sz w:val="18"/>
        </w:rPr>
        <w:t>https://pubmed.ncbi.nlm.nih.gov/42744798/</w:t>
      </w:r>
    </w:p>
    <w:p>
      <w:pPr>
        <w:pStyle w:val="Heading2"/>
      </w:pPr>
      <w:r>
        <w:t>HPV-Impfung bei Erwachsenen 27–45 Jahren: Quote und Trends in USA</w:t>
      </w:r>
    </w:p>
    <w:p>
      <w:r>
        <w:rPr>
          <w:i/>
          <w:color w:val="666666"/>
          <w:sz w:val="18"/>
        </w:rPr>
        <w:t>Fisher-Borne M et al.  ·  Hum Vaccin Immunother  ·  10.09.2026  ·  PMID 42723147</w:t>
      </w:r>
    </w:p>
    <w:p>
      <w:r>
        <w:t>Retrospektive Auswertung kommerzieller Claims-Daten 2019–2023 zur HPV-Impfquote bei erwachsenen Frauen und Männern unter shared clinical decision-making.</w:t>
      </w:r>
    </w:p>
    <w:p>
      <w:r>
        <w:rPr>
          <w:b/>
        </w:rPr>
        <w:t xml:space="preserve">Ergebnis: </w:t>
      </w:r>
      <w:r>
        <w:t>Annual HPV-Impfinitiation stieg von 0,21 % (2019) auf 0,54 % (2023); kumulativ über 5 Jahre 0,84 % bei 3–4 Mio. jährlich ungeimpften Personen. Apotheken als Impfort nahmen zu, regionale Variation 0,23–1,56 %.</w:t>
      </w:r>
    </w:p>
    <w:p>
      <w:r>
        <w:rPr>
          <w:b/>
          <w:sz w:val="19"/>
        </w:rPr>
        <w:t xml:space="preserve">Übertragbarkeit: </w:t>
      </w:r>
      <w:r>
        <w:rPr>
          <w:sz w:val="19"/>
        </w:rPr>
        <w:t>USA mit grundlegend anderer Versicherungsstruktur; aber Befunde zur Rolle von Apotheken und regionaler Varianz relevant für Deutschland.</w:t>
      </w:r>
    </w:p>
    <w:p>
      <w:r>
        <w:rPr>
          <w:color w:val="5A7D3A"/>
          <w:sz w:val="18"/>
        </w:rPr>
        <w:t>https://pubmed.ncbi.nlm.nih.gov/42723147/</w:t>
      </w:r>
    </w:p>
    <w:p>
      <w:pPr>
        <w:pStyle w:val="Heading2"/>
      </w:pPr>
      <w:r>
        <w:t>Immunosuppression-Entzug und mRNA-Impfung bei Nierentransplantierten</w:t>
      </w:r>
    </w:p>
    <w:p>
      <w:r>
        <w:rPr>
          <w:i/>
          <w:color w:val="666666"/>
          <w:sz w:val="18"/>
        </w:rPr>
        <w:t>Goerlich N et al.  ·  Front Immunol  ·  17.08.2026  ·  PMID 42676352</w:t>
      </w:r>
    </w:p>
    <w:p>
      <w:r>
        <w:t>Hochdimensionale Analyse der Immunzellkomposition bei Nierentransplantierten unter temporärem Mycophenolsäure-Entzug während mRNA-1273-Impfung.</w:t>
      </w:r>
    </w:p>
    <w:p>
      <w:r>
        <w:rPr>
          <w:b/>
        </w:rPr>
        <w:t xml:space="preserve">Ergebnis: </w:t>
      </w:r>
      <w:r>
        <w:t>Mycophenolsäure-Entzug war assoziiert mit erhöhten CD4+/CD8+ T-Zell-Frequenzen (p=0,039 bzw. p=0,001) und verminderten Monozyten- und B-Zell-Frequenzen (p=0,014 bzw. p=0,023). Effekte variierten je nach Transplantationsdauer und Alter; kein einzelner Marker war prädiktiv für Serokonversion.</w:t>
      </w:r>
    </w:p>
    <w:p>
      <w:r>
        <w:rPr>
          <w:b/>
          <w:sz w:val="19"/>
        </w:rPr>
        <w:t xml:space="preserve">Übertragbarkeit: </w:t>
      </w:r>
      <w:r>
        <w:rPr>
          <w:sz w:val="19"/>
        </w:rPr>
        <w:t>Deutsche Klinikstudie, direkt übertragbar auf deutsches Transplantationssystem mit vergleichbarer Immunsuppression.</w:t>
      </w:r>
    </w:p>
    <w:p>
      <w:r>
        <w:rPr>
          <w:color w:val="5A7D3A"/>
          <w:sz w:val="18"/>
        </w:rPr>
        <w:t>https://pubmed.ncbi.nlm.nih.gov/42676352/</w:t>
      </w:r>
    </w:p>
    <w:p>
      <w:pPr>
        <w:pStyle w:val="Heading2"/>
      </w:pPr>
      <w:r>
        <w:t>IL-33 und sST2 nach Tdap-Booster-Impfung bei finnischen Kindern</w:t>
      </w:r>
    </w:p>
    <w:p>
      <w:r>
        <w:rPr>
          <w:i/>
          <w:color w:val="666666"/>
          <w:sz w:val="18"/>
        </w:rPr>
        <w:t>Anabe D et al.  ·  Cytokine  ·  13.08.2026  ·  PMID 42594457</w:t>
      </w:r>
    </w:p>
    <w:p>
      <w:r>
        <w:t>Longitudinale Untersuchung von Interleukin-33 und löslichem ST2 in Serum vor und nach Tdap-IPV-Booster-Impfung in unterschiedlichen Altersgruppen (7–70 Jahre).</w:t>
      </w:r>
    </w:p>
    <w:p>
      <w:r>
        <w:rPr>
          <w:b/>
        </w:rPr>
        <w:t xml:space="preserve">Ergebnis: </w:t>
      </w:r>
      <w:r>
        <w:t>IL-33 in 70 % der Fälle nicht nachweisbar. Serum-sST2 zeigte signifikanten Anstieg über 365 Tage (p&lt;0,001), mit höherem Ausgangswert bei jüngeren Altersgruppen. Keine Assoziation zwischen IL-33/sST2 und Impfantwort oder Zytokinen.</w:t>
      </w:r>
    </w:p>
    <w:p>
      <w:r>
        <w:rPr>
          <w:b/>
          <w:sz w:val="19"/>
        </w:rPr>
        <w:t xml:space="preserve">Übertragbarkeit: </w:t>
      </w:r>
      <w:r>
        <w:rPr>
          <w:sz w:val="19"/>
        </w:rPr>
        <w:t>Finnland, vergleichbares skandinavisches Gesundheitssystem und Register; etablierte Referenzwerte für präklinische Marker.</w:t>
      </w:r>
    </w:p>
    <w:p>
      <w:r>
        <w:rPr>
          <w:color w:val="5A7D3A"/>
          <w:sz w:val="18"/>
        </w:rPr>
        <w:t>https://pubmed.ncbi.nlm.nih.gov/42594457/</w:t>
      </w:r>
    </w:p>
    <w:p>
      <w:pPr>
        <w:pStyle w:val="Heading1"/>
      </w:pPr>
      <w:r>
        <w:t>Aufgenommen am 16.09.2026</w:t>
      </w:r>
    </w:p>
    <w:p>
      <w:pPr>
        <w:pStyle w:val="Heading2"/>
      </w:pPr>
      <w:r>
        <w:t>Digitale Assistenten für HPV-Impfung und Gebärmutterhalskrebs-Screening – was funktioniert?</w:t>
      </w:r>
    </w:p>
    <w:p>
      <w:r>
        <w:rPr>
          <w:i/>
          <w:color w:val="666666"/>
          <w:sz w:val="18"/>
        </w:rPr>
        <w:t>Umbetzhanova A et al.  ·  Front Public Health  ·  31.08.2026  ·  PMID 42741336</w:t>
      </w:r>
    </w:p>
    <w:p>
      <w:r>
        <w:t>Systematische Übersicht von 14 Studien (2016–2026) zur Frage, ob interaktive digitale Tools (Chatbots, Apps, Serious Games) HPV-Impfung und Gebärmutterhals-Screening erhöhen.</w:t>
      </w:r>
    </w:p>
    <w:p>
      <w:r>
        <w:rPr>
          <w:b/>
        </w:rPr>
        <w:t xml:space="preserve">Ergebnis: </w:t>
      </w:r>
      <w:r>
        <w:t>Chatbots zeigten vielversprechende Kurzzeit-Effekte auf Termin-Buchung (moderate Evidenz), aber hohe Abbruch-Quoten bei Mehrfach-Dosen. Theorie-basierte Apps erhöhten Zytologie-Inanspruchnahme kurzfristig (moderate Evidenz). Ein Serious Game korrelierte mit höheren CIN2+-Erkennungsraten, aber Confounding war schwerwiegend. Insgesamt: moderate Kurzzeit-Effekte, aber unzureichende Evidenz für Dauer.</w:t>
      </w:r>
    </w:p>
    <w:p>
      <w:r>
        <w:rPr>
          <w:b/>
          <w:sz w:val="19"/>
        </w:rPr>
        <w:t xml:space="preserve">Übertragbarkeit: </w:t>
      </w:r>
      <w:r>
        <w:rPr>
          <w:sz w:val="19"/>
        </w:rPr>
        <w:t>Mehrländer-Übersicht, digitale Hürden international ähnlich</w:t>
      </w:r>
    </w:p>
    <w:p>
      <w:r>
        <w:rPr>
          <w:color w:val="5A7D3A"/>
          <w:sz w:val="18"/>
        </w:rPr>
        <w:t>https://pubmed.ncbi.nlm.nih.gov/42741336/</w:t>
      </w:r>
    </w:p>
    <w:p>
      <w:pPr>
        <w:pStyle w:val="Heading2"/>
      </w:pPr>
      <w:r>
        <w:t>Impfen in Schulen: Was Schulkrankenpfleger in Colorado als Barrieren berichten</w:t>
      </w:r>
    </w:p>
    <w:p>
      <w:r>
        <w:rPr>
          <w:i/>
          <w:color w:val="666666"/>
          <w:sz w:val="18"/>
        </w:rPr>
        <w:t>Nienstedt L et al.  ·  J Sch Health  ·  Okt. 2026  ·  PMID 42740714</w:t>
      </w:r>
    </w:p>
    <w:p>
      <w:r>
        <w:t>Querschnittsbefragung von 368 Schulkrankenpflegern in Colorado 2024, ob und wie sie schulgebundene Impfaktionen (SAVEs) umsetzten.</w:t>
      </w:r>
    </w:p>
    <w:p>
      <w:r>
        <w:rPr>
          <w:b/>
        </w:rPr>
        <w:t xml:space="preserve">Ergebnis: </w:t>
      </w:r>
      <w:r>
        <w:t>Schulen ohne SAVEs nannten Mangel an Leitlinien (Top-3-Barriere), fehlende Personalzeit und mangelnde externe Partnerschaften als Haupthindernisse. In ländlichen Schulen rangierte Impf-Politisierung unter Top-Barrieren; in Schulen mit niedrigem Einkommen und Gymnasien war Zeitdruck dominant. Schulen mit SAVEs betont externe Partnerschaften und elterliches Vertrauen als Erfolsfaktoren.</w:t>
      </w:r>
    </w:p>
    <w:p>
      <w:r>
        <w:rPr>
          <w:b/>
          <w:sz w:val="19"/>
        </w:rPr>
        <w:t xml:space="preserve">Übertragbarkeit: </w:t>
      </w:r>
      <w:r>
        <w:rPr>
          <w:sz w:val="19"/>
        </w:rPr>
        <w:t>USA - nur Zugangswegs-Hürden übertragbar, nicht System</w:t>
      </w:r>
    </w:p>
    <w:p>
      <w:r>
        <w:rPr>
          <w:color w:val="5A7D3A"/>
          <w:sz w:val="18"/>
        </w:rPr>
        <w:t>https://pubmed.ncbi.nlm.nih.gov/42740714/</w:t>
      </w:r>
    </w:p>
    <w:p>
      <w:pPr>
        <w:pStyle w:val="Heading2"/>
      </w:pPr>
      <w:r>
        <w:t>Grippeschutz bei Älteren: Bildung und Umgebung beeinflussen Impfquote</w:t>
      </w:r>
    </w:p>
    <w:p>
      <w:r>
        <w:rPr>
          <w:i/>
          <w:color w:val="666666"/>
          <w:sz w:val="18"/>
        </w:rPr>
        <w:t>Zhang C et al.  ·  Zhonghua Yu Fang Yi Xue Za Zhi  ·  06.09.2026  ·  PMID 42736149</w:t>
      </w:r>
    </w:p>
    <w:p>
      <w:r>
        <w:t>Befragung von 700 Personen ≥60 Jahren in Shaanxi (China) 2025 zu Einflussfaktoren auf Grippeimpfung.</w:t>
      </w:r>
    </w:p>
    <w:p>
      <w:r>
        <w:rPr>
          <w:b/>
        </w:rPr>
        <w:t xml:space="preserve">Ergebnis: </w:t>
      </w:r>
      <w:r>
        <w:t>49,7% geimpft, 50,3% ungeimpft. Schutzfaktoren: Hochschulbildung (OR 2,77), Stadtwohnung (OR 1,94), hohes Infektionsrisiko-Bewusstsein (OR 4,89), Glaube an Impfnutzen (OR 10,96), Familie/Freunde mit Impfgeschichte (OR 5,07). Bildung und soziales Umfeld sind stärkste Prädiktoren – nicht Zugang allein.</w:t>
      </w:r>
    </w:p>
    <w:p>
      <w:r>
        <w:rPr>
          <w:b/>
          <w:sz w:val="19"/>
        </w:rPr>
        <w:t xml:space="preserve">Übertragbarkeit: </w:t>
      </w:r>
      <w:r>
        <w:rPr>
          <w:sz w:val="19"/>
        </w:rPr>
        <w:t>China - Befund zu Risiko-Wahrnehmung und Vertrauen transnational relevant</w:t>
      </w:r>
    </w:p>
    <w:p>
      <w:r>
        <w:rPr>
          <w:color w:val="5A7D3A"/>
          <w:sz w:val="18"/>
        </w:rPr>
        <w:t>https://pubmed.ncbi.nlm.nih.gov/42736149/</w:t>
      </w:r>
    </w:p>
    <w:p>
      <w:pPr>
        <w:pStyle w:val="Heading2"/>
      </w:pPr>
      <w:r>
        <w:t>RSV-Impfung in der Schwangerschaft und Frühgeburtsrisiko: Metaanalyse</w:t>
      </w:r>
    </w:p>
    <w:p>
      <w:r>
        <w:rPr>
          <w:i/>
          <w:color w:val="666666"/>
          <w:sz w:val="18"/>
        </w:rPr>
        <w:t>Leskinen N et al.  ·  Immun Inflamm Dis  ·  Sept. 2026  ·  PMID 42712161</w:t>
      </w:r>
    </w:p>
    <w:p>
      <w:r>
        <w:t>Metaanalyse von 7 Studien (3 RCTs, 4 Beobachtungsstudien; insgesamt ~17.000 Geburten) zur Frage, ob mütterliche RSV-PreF-Impfung Frühgeburten oder NICU-Aufnahmen erhöht.</w:t>
      </w:r>
    </w:p>
    <w:p>
      <w:r>
        <w:rPr>
          <w:b/>
        </w:rPr>
        <w:t xml:space="preserve">Ergebnis: </w:t>
      </w:r>
      <w:r>
        <w:t>RCTs zeigten erhöhtes Frühgeburtsrisiko (RR 1,26, 95%-KI 1,08–1,46); Beobachtungsstudien nicht (RR 0,78, 95%-KI 0,46–1,32). Gepoolte Analyse: kein Gesamteffekt (RR 0,96, 95%-KI 0,68–1,38). NICU-Aufnahme nicht erhöht (RR 0,74). Evidenzsicherheit niedrig bis sehr niedrig; Überwachung empfohlen.</w:t>
      </w:r>
    </w:p>
    <w:p>
      <w:r>
        <w:rPr>
          <w:b/>
          <w:sz w:val="19"/>
        </w:rPr>
        <w:t xml:space="preserve">Übertragbarkeit: </w:t>
      </w:r>
      <w:r>
        <w:rPr>
          <w:sz w:val="19"/>
        </w:rPr>
        <w:t>Mehrländer-Studie, übertragbar auf europaähnliche Settings</w:t>
      </w:r>
    </w:p>
    <w:p>
      <w:r>
        <w:rPr>
          <w:color w:val="5A7D3A"/>
          <w:sz w:val="18"/>
        </w:rPr>
        <w:t>https://pubmed.ncbi.nlm.nih.gov/42712161/</w:t>
      </w:r>
    </w:p>
    <w:p>
      <w:pPr>
        <w:pStyle w:val="Heading2"/>
      </w:pPr>
      <w:r>
        <w:t>Auffrischimpfung gegen JN.1-Variante aktiviert neue B-Zell-Subpopulationen</w:t>
      </w:r>
    </w:p>
    <w:p>
      <w:r>
        <w:rPr>
          <w:i/>
          <w:color w:val="666666"/>
          <w:sz w:val="18"/>
        </w:rPr>
        <w:t>Stankov MV et al.  ·  Nat Commun  ·  24.07.2026  ·  PMID 42498786</w:t>
      </w:r>
    </w:p>
    <w:p>
      <w:r>
        <w:t>Deutsche Längsschnittstudie (n=42, überwiegend mehrfach Geimpfte und Infizierte) untersuchte, wie JN.1-adaptierte mRNA-Booster die Antikörper- und B-Zell-Antwort verändern.</w:t>
      </w:r>
    </w:p>
    <w:p>
      <w:r>
        <w:rPr>
          <w:b/>
        </w:rPr>
        <w:t xml:space="preserve">Ergebnis: </w:t>
      </w:r>
      <w:r>
        <w:t>IgG-Bindung und Neutralisierungstiter gegen JN.1 stiegen; Antigen-spezifische Memory-B-Zellen zeigten durch Mutationen (somatic hypermutation) verbesserte JN.1-Bindung, ohne dass neue naive B-Zellen massiv rekrutiert wurden. Effekt: Reifung vorbestehender Memory-B-Zellen statt Neuausrichtung.</w:t>
      </w:r>
    </w:p>
    <w:p>
      <w:r>
        <w:rPr>
          <w:b/>
          <w:sz w:val="19"/>
        </w:rPr>
        <w:t xml:space="preserve">Übertragbarkeit: </w:t>
      </w:r>
      <w:r>
        <w:rPr>
          <w:sz w:val="19"/>
        </w:rPr>
        <w:t>Deutschland, vergleichbare Impfstrategie und Dokumentation</w:t>
      </w:r>
    </w:p>
    <w:p>
      <w:r>
        <w:rPr>
          <w:color w:val="5A7D3A"/>
          <w:sz w:val="18"/>
        </w:rPr>
        <w:t>https://pubmed.ncbi.nlm.nih.gov/42498786/</w:t>
      </w:r>
    </w:p>
    <w:p>
      <w:pPr>
        <w:pStyle w:val="Heading2"/>
      </w:pPr>
      <w:r>
        <w:t>CAR-T-Therapien in Europa: Axicabtagene vs. Tisagenlecleucel bei großzelligem Lymphom</w:t>
      </w:r>
    </w:p>
    <w:p>
      <w:r>
        <w:rPr>
          <w:i/>
          <w:color w:val="666666"/>
          <w:sz w:val="18"/>
        </w:rPr>
        <w:t>Li H et al.  ·  PeerJ  ·  06.07.2026  ·  PMID 42428526</w:t>
      </w:r>
    </w:p>
    <w:p>
      <w:r>
        <w:t>Systematische Übersicht von 8 europäischen Kohortenstudien mit 2.178 Patienten verglich Wirksamkeit und Toxizität zweier CAR-T-Produkte gegen diffuses großzelliges B-Zell-Lymphom.</w:t>
      </w:r>
    </w:p>
    <w:p>
      <w:r>
        <w:rPr>
          <w:b/>
        </w:rPr>
        <w:t xml:space="preserve">Ergebnis: </w:t>
      </w:r>
      <w:r>
        <w:t>Axicabtagene zeigte höhere 3-Monats-Ansprechquoten (signifikant, p nicht genannt), aber niedrigere 12-Monats-progressionsfreie Überlebensraten; höhere Raten für Zytokinfreibsetzungssyndrom und neurotoxisches Syndrom (ICANS) alle Grade sowie Grade ≥3 ICANS, häufigere Tocilizumab-Gabe. Unter europäischen Alltagsbedingungen zeigt sich ein Wirksamkeits-Toxizitäts-Trade-off.</w:t>
      </w:r>
    </w:p>
    <w:p>
      <w:r>
        <w:rPr>
          <w:b/>
          <w:sz w:val="19"/>
        </w:rPr>
        <w:t xml:space="preserve">Übertragbarkeit: </w:t>
      </w:r>
      <w:r>
        <w:rPr>
          <w:sz w:val="19"/>
        </w:rPr>
        <w:t>Europa - acht Kohorten, vergleichbares Versicherungssystem</w:t>
      </w:r>
    </w:p>
    <w:p>
      <w:r>
        <w:rPr>
          <w:color w:val="5A7D3A"/>
          <w:sz w:val="18"/>
        </w:rPr>
        <w:t>https://pubmed.ncbi.nlm.nih.gov/42428526/</w:t>
      </w:r>
    </w:p>
    <w:p>
      <w:pPr>
        <w:pStyle w:val="Heading1"/>
      </w:pPr>
      <w:r>
        <w:t>Aufgenommen am 15.09.2026</w:t>
      </w:r>
    </w:p>
    <w:p>
      <w:pPr>
        <w:pStyle w:val="Heading2"/>
      </w:pPr>
      <w:r>
        <w:t>COVID-19-Pandemie verbesserte Wissen und Einstellung zur Polioimpfung in Pakistan</w:t>
      </w:r>
    </w:p>
    <w:p>
      <w:r>
        <w:rPr>
          <w:i/>
          <w:color w:val="666666"/>
          <w:sz w:val="18"/>
        </w:rPr>
        <w:t>Ullah A et al.  ·  East Mediterr Health J  ·  03.09.2026  ·  PMID 42734198</w:t>
      </w:r>
    </w:p>
    <w:p>
      <w:r>
        <w:t>Querschnittsstudie mit 308 Eltern von Kindern unter fünf Jahren in Nord-Waziristan, Pakistan (Januar bis April 2025) zum Wissensstand über Polioimpfung vor und nach COVID-19.</w:t>
      </w:r>
    </w:p>
    <w:p>
      <w:r>
        <w:rPr>
          <w:b/>
        </w:rPr>
        <w:t xml:space="preserve">Ergebnis: </w:t>
      </w:r>
      <w:r>
        <w:t>Mittlere Wissenspunktzahl stieg von 6,2±2,3 (vor COVID-19) auf 8,3±2,1 (nach COVID-19; p&lt;0,0001). Gutes Wissen (Punktzahl ≥9) nahm von 36,3 % auf 58,7 % zu, Fehlvorstellungen sanken von 64,9 % auf 35,1 %. Empfehlungen von Fachpersonal (85 %), Social-Media-Kampagnen (76 %) und Verfechter religiöser Führer (55 %) trugen zur Verbesserung bei.</w:t>
      </w:r>
    </w:p>
    <w:p>
      <w:r>
        <w:rPr>
          <w:b/>
          <w:sz w:val="19"/>
        </w:rPr>
        <w:t xml:space="preserve">Übertragbarkeit: </w:t>
      </w:r>
      <w:r>
        <w:rPr>
          <w:sz w:val="19"/>
        </w:rPr>
        <w:t>Pakistan – Impfakzeptanz-Befunde, aber anderes Gesundheitssystem</w:t>
      </w:r>
    </w:p>
    <w:p>
      <w:r>
        <w:rPr>
          <w:color w:val="5A7D3A"/>
          <w:sz w:val="18"/>
        </w:rPr>
        <w:t>https://pubmed.ncbi.nlm.nih.gov/42734198/</w:t>
      </w:r>
    </w:p>
    <w:p>
      <w:pPr>
        <w:pStyle w:val="Heading2"/>
      </w:pPr>
      <w:r>
        <w:t>Herpes Zoster-Impfstoff LZ901 schützt 91,6 Prozent der Geimpften vor Erkrankung</w:t>
      </w:r>
    </w:p>
    <w:p>
      <w:r>
        <w:rPr>
          <w:i/>
          <w:color w:val="666666"/>
          <w:sz w:val="18"/>
        </w:rPr>
        <w:t>Jin P et al.  ·  Nat Commun  ·  07.08.2026  ·  PMID 42733065</w:t>
      </w:r>
    </w:p>
    <w:p>
      <w:r>
        <w:t>Randomisierte, placebokontrollierte Phase-3-Studie zur Wirksamkeit und Sicherheit des Herpes-Zoster-Impfstoffs LZ901 (rekombinante gE-Fc-Fusionprotein) bei 26 018 Erwachsenen ab 40 Jahren über 12 Monate.</w:t>
      </w:r>
    </w:p>
    <w:p>
      <w:r>
        <w:rPr>
          <w:b/>
        </w:rPr>
        <w:t xml:space="preserve">Ergebnis: </w:t>
      </w:r>
      <w:r>
        <w:t>Impfeffektivität gegen Herpes Zoster 91,6 % (95%-KI 86,3–95,3; p&lt;0,001); bei 40–69 Jahren 93,9 %, bei ≥70 Jahren 66,9 %. Gegen Post-Zoster-Neuralgie 95,9 % (95%-KI 63,9–99,9). Injektionsstellen- und systemische Reaktionen erhöht, Grad-3-Reaktionen selten (0,3 % vs. 0,4 % Placebo), keine schwerwiegenden unerwünschten Ereignisse.</w:t>
      </w:r>
    </w:p>
    <w:p>
      <w:r>
        <w:rPr>
          <w:b/>
          <w:sz w:val="19"/>
        </w:rPr>
        <w:t xml:space="preserve">Übertragbarkeit: </w:t>
      </w:r>
      <w:r>
        <w:rPr>
          <w:sz w:val="19"/>
        </w:rPr>
        <w:t>China, vergleichbare epidemiologische Zielgruppe und klinische Endpunkte</w:t>
      </w:r>
    </w:p>
    <w:p>
      <w:r>
        <w:rPr>
          <w:color w:val="5A7D3A"/>
          <w:sz w:val="18"/>
        </w:rPr>
        <w:t>https://pubmed.ncbi.nlm.nih.gov/42733065/</w:t>
      </w:r>
    </w:p>
    <w:p>
      <w:pPr>
        <w:pStyle w:val="Heading2"/>
      </w:pPr>
      <w:r>
        <w:t>Mobile-App zur HPV-Impfberatung erhöhte Impfrate bei Kindern auf 48 Prozent</w:t>
      </w:r>
    </w:p>
    <w:p>
      <w:r>
        <w:rPr>
          <w:i/>
          <w:color w:val="666666"/>
          <w:sz w:val="18"/>
        </w:rPr>
        <w:t>Cunningham-Erves J et al.  ·  JMIR Cancer  ·  09.09.2026  ·  PMID 42715554</w:t>
      </w:r>
    </w:p>
    <w:p>
      <w:r>
        <w:t>Pilot-RCT (Juni–September 2023) in zwei Stadtkliniken Tennessee mit 57 Eltern von Kindern 9–17 Jahren. HPVVaxFacts-App vermittelt tailorierte Impfaufklärung vor Klinikbesuch versus Ernährungsedukation (Aufmerksamkeitskontrolle).</w:t>
      </w:r>
    </w:p>
    <w:p>
      <w:r>
        <w:rPr>
          <w:b/>
        </w:rPr>
        <w:t xml:space="preserve">Ergebnis: </w:t>
      </w:r>
      <w:r>
        <w:t>HPV-Impfeinleitung Interventionsgruppe 48 %, Kontrollgruppe 17 % (Differenz 0,24; 95%-KI 0,03–0,46; p=0,01). Wissensgewinne und Besorgnis-Reduktion in der App-Gruppe größer, aber nicht statistisch signifikant (p=0,13 und p=0,14). 81 % der Eltern nutzten die App, Mehrheit fand Protokoll und App akzeptabel.</w:t>
      </w:r>
    </w:p>
    <w:p>
      <w:r>
        <w:rPr>
          <w:b/>
          <w:sz w:val="19"/>
        </w:rPr>
        <w:t xml:space="preserve">Übertragbarkeit: </w:t>
      </w:r>
      <w:r>
        <w:rPr>
          <w:sz w:val="19"/>
        </w:rPr>
        <w:t>USA – Impfakzeptanz-Intervention, transferierbar nur für Designprinzipien</w:t>
      </w:r>
    </w:p>
    <w:p>
      <w:r>
        <w:rPr>
          <w:color w:val="5A7D3A"/>
          <w:sz w:val="18"/>
        </w:rPr>
        <w:t>https://pubmed.ncbi.nlm.nih.gov/42715554/</w:t>
      </w:r>
    </w:p>
    <w:p>
      <w:pPr>
        <w:pStyle w:val="Heading2"/>
      </w:pPr>
      <w:r>
        <w:t>Verständnis der Herpes-Zoster-Erkrankung steigert Impfquote bei älteren Erwachsenen in China</w:t>
      </w:r>
    </w:p>
    <w:p>
      <w:r>
        <w:rPr>
          <w:i/>
          <w:color w:val="666666"/>
          <w:sz w:val="18"/>
        </w:rPr>
        <w:t>Cao H et al.  ·  Hum Vaccin Immunother  ·  08.09.2026  ·  PMID 42708543</w:t>
      </w:r>
    </w:p>
    <w:p>
      <w:r>
        <w:t>Querschnittsstudie mit 1556 Bürgern ab 60 Jahren aus Shenzhen, China (August–Oktober 2024) zu psychosozialen und familiären Faktoren der Herpes-Zoster-Impfakzeptanz.</w:t>
      </w:r>
    </w:p>
    <w:p>
      <w:r>
        <w:rPr>
          <w:b/>
        </w:rPr>
        <w:t xml:space="preserve">Ergebnis: </w:t>
      </w:r>
      <w:r>
        <w:t>8,0 % der Teilnehmer waren geimpft. Besseres Verständnis (Kohärenz) war mit höherer Impfquote assoziiert (AOR 1,15; 95%-KI 1,07–1,24). Impfmüdigkeit korrelierte mit niedrigerer Quote (AOR 0,79; 95%-KI 0,62–0,99). Stark modifizierbare psychosoziale Faktoren identifiziert.</w:t>
      </w:r>
    </w:p>
    <w:p>
      <w:r>
        <w:rPr>
          <w:b/>
          <w:sz w:val="19"/>
        </w:rPr>
        <w:t xml:space="preserve">Übertragbarkeit: </w:t>
      </w:r>
      <w:r>
        <w:rPr>
          <w:sz w:val="19"/>
        </w:rPr>
        <w:t>China – Versorgungskontext anderer, Impfskepsis-Mechanismen aber übertragbar</w:t>
      </w:r>
    </w:p>
    <w:p>
      <w:r>
        <w:rPr>
          <w:color w:val="5A7D3A"/>
          <w:sz w:val="18"/>
        </w:rPr>
        <w:t>https://pubmed.ncbi.nlm.nih.gov/42708543/</w:t>
      </w:r>
    </w:p>
    <w:p>
      <w:pPr>
        <w:pStyle w:val="Heading2"/>
      </w:pPr>
      <w:r>
        <w:t>Altersabhängige Immunabläufe erklären unterschiedliche Influenza-Impfwirksamkeit über Lebensalter</w:t>
      </w:r>
    </w:p>
    <w:p>
      <w:r>
        <w:rPr>
          <w:i/>
          <w:color w:val="666666"/>
          <w:sz w:val="18"/>
        </w:rPr>
        <w:t>Liu J et al.  ·  Front Immunol  ·  24.08.2026  ·  PMID 42707705</w:t>
      </w:r>
    </w:p>
    <w:p>
      <w:r>
        <w:t>Narrativer Review zu Einflussfaktoren des Alters auf Influenza-Impfeffektivität und zu lebensalter-spezifischen Immunmechanismen von der Entwicklung über Reifung bis zur Immunoseneszenz.</w:t>
      </w:r>
    </w:p>
    <w:p>
      <w:r>
        <w:rPr>
          <w:b/>
        </w:rPr>
        <w:t xml:space="preserve">Ergebnis: </w:t>
      </w:r>
      <w:r>
        <w:t>Influenza-Impfeffektivität zeigt erhebliche altersabhängige Heterogenität. Immun-Remodellierung über die Lebensspanne prägt Vakzin-Reaktionen. Review schlägt altersgerechte Impfstoff-Optimierungsstrategie vor: spezifische Formulierungen für Kinder, Erwachsene und ältere Menschen statt ‚one-dose-fits-all'-Modell. Theoretische Grundlage für Präzisions-Impfparadigma gelegt.</w:t>
      </w:r>
    </w:p>
    <w:p>
      <w:r>
        <w:rPr>
          <w:b/>
          <w:sz w:val="19"/>
        </w:rPr>
        <w:t xml:space="preserve">Übertragbarkeit: </w:t>
      </w:r>
      <w:r>
        <w:rPr>
          <w:sz w:val="19"/>
        </w:rPr>
        <w:t>China (Institut), aber Immunologie-Mechanismen universal</w:t>
      </w:r>
    </w:p>
    <w:p>
      <w:r>
        <w:rPr>
          <w:color w:val="5A7D3A"/>
          <w:sz w:val="18"/>
        </w:rPr>
        <w:t>https://pubmed.ncbi.nlm.nih.gov/42707705/</w:t>
      </w:r>
    </w:p>
    <w:p>
      <w:pPr>
        <w:pStyle w:val="Heading2"/>
      </w:pPr>
      <w:r>
        <w:t>23-valente Pneumokokken-Polysaccharidimpfung senkte ambulante Pneumonie um knapp 20 Prozent</w:t>
      </w:r>
    </w:p>
    <w:p>
      <w:r>
        <w:rPr>
          <w:i/>
          <w:color w:val="666666"/>
          <w:sz w:val="18"/>
        </w:rPr>
        <w:t>Vernooij FS et al.  ·  Epidemiol Infect  ·  23.07.2026  ·  PMID 42487216</w:t>
      </w:r>
    </w:p>
    <w:p>
      <w:r>
        <w:t>Regression-Discontinuity-Analyse der Wirkung der PPV23-Impfung auf nicht-invasive Pneumokokken-Pneumonie bei Erwachsenen über 60 Jahren in den Niederlanden zwischen 2016 und 2023.</w:t>
      </w:r>
    </w:p>
    <w:p>
      <w:r>
        <w:rPr>
          <w:b/>
        </w:rPr>
        <w:t xml:space="preserve">Ergebnis: </w:t>
      </w:r>
      <w:r>
        <w:t>Gesamtwirksamkeit 19,7 % (95%-KI 8,5–29,7). Die Schutzwirkung nahm über die Zeit seit Impfberechtigung ab, blieb aber auch nach drei Jahren deutlich vorhanden. Daten aus 14 Laboren mit geschätzter Abdeckung von 34,9 % der niederländischen Bevölkerung.</w:t>
      </w:r>
    </w:p>
    <w:p>
      <w:r>
        <w:rPr>
          <w:b/>
          <w:sz w:val="19"/>
        </w:rPr>
        <w:t xml:space="preserve">Übertragbarkeit: </w:t>
      </w:r>
      <w:r>
        <w:rPr>
          <w:sz w:val="19"/>
        </w:rPr>
        <w:t>Niederlande, vergleichbares Versicherungssystem und Laborregister</w:t>
      </w:r>
    </w:p>
    <w:p>
      <w:r>
        <w:rPr>
          <w:color w:val="5A7D3A"/>
          <w:sz w:val="18"/>
        </w:rPr>
        <w:t>https://pubmed.ncbi.nlm.nih.gov/42487216/</w:t>
      </w:r>
    </w:p>
    <w:p>
      <w:pPr>
        <w:pStyle w:val="Heading1"/>
      </w:pPr>
      <w:r>
        <w:t>Aufgenommen am 14.09.2026</w:t>
      </w:r>
    </w:p>
    <w:p>
      <w:pPr>
        <w:pStyle w:val="Heading2"/>
      </w:pPr>
      <w:r>
        <w:t>Impfkampagnen-Monitoring: Abweichungen zwischen Felderhebungen und Nachbarschafts-Umfragen</w:t>
      </w:r>
    </w:p>
    <w:p>
      <w:r>
        <w:rPr>
          <w:i/>
          <w:color w:val="666666"/>
          <w:sz w:val="18"/>
        </w:rPr>
        <w:t>Thakkar N  ·  Gates Open Res  ·  01.09.2026  ·  PMID 42732098</w:t>
      </w:r>
    </w:p>
    <w:p>
      <w:r>
        <w:t>Analyse von Impfteam-Tallies (tägliche Dokumentation Geimpfter) versus Post-Campaign Coverage Surveys (PCCS) in Kano-Kampagne 2023 (Masern, Nigeria) unter Verwendung von Capture-Recapture-Methoden.</w:t>
      </w:r>
    </w:p>
    <w:p>
      <w:r>
        <w:rPr>
          <w:b/>
        </w:rPr>
        <w:t xml:space="preserve">Ergebnis: </w:t>
      </w:r>
      <w:r>
        <w:t>Erhebliche Diskrepanzen zwischen Tally-basierten Recapture-Schätzungen und PCCS-Daten. Tally-Daten ermöglichen präzise, quasi-zeitgleiche Monitoring und hohe räumliche Auflösung. Verschiedene Verzerrungsmodelle erklären Abweichungen: Doppelzählungen, fehlende Dokumentation, Non-Response in PCCS. Tally-Sheets als unkonventionelle, aber nachvollziehbare Populationsstichprobe zur Echtzeitbewertung von Implementierungsqualität.</w:t>
      </w:r>
    </w:p>
    <w:p>
      <w:r>
        <w:rPr>
          <w:b/>
          <w:sz w:val="19"/>
        </w:rPr>
        <w:t xml:space="preserve">Übertragbarkeit: </w:t>
      </w:r>
      <w:r>
        <w:rPr>
          <w:sz w:val="19"/>
        </w:rPr>
        <w:t>Nigeria/Subsahara-Kontext, Methodik auf deutsche Kampagnen-Evaluation anwendbar, insbes. zur Echtzeit-Qualitätskontrolle.</w:t>
      </w:r>
    </w:p>
    <w:p>
      <w:r>
        <w:rPr>
          <w:color w:val="5A7D3A"/>
          <w:sz w:val="18"/>
        </w:rPr>
        <w:t>https://pubmed.ncbi.nlm.nih.gov/42732098/</w:t>
      </w:r>
    </w:p>
    <w:p>
      <w:pPr>
        <w:pStyle w:val="Heading2"/>
      </w:pPr>
      <w:r>
        <w:t>Verzögerte Impfungen: Globale Systeme erfassen Catch-up-Dosen unzureichend</w:t>
      </w:r>
    </w:p>
    <w:p>
      <w:r>
        <w:rPr>
          <w:i/>
          <w:color w:val="666666"/>
          <w:sz w:val="18"/>
        </w:rPr>
        <w:t>Danovaro-Holliday MC et al.  ·  Gates Open Res  ·  01.09.2026  ·  PMID 42732096</w:t>
      </w:r>
    </w:p>
    <w:p>
      <w:r>
        <w:t>Analyse von WHO/UNICEF-Daten aus 194 Ländern (2016–2022) zur Fähigkeit von Immunisierungssystemen, verzögerte (Catch-up-)Impfdosen zu dokumentieren und zu monitoren.</w:t>
      </w:r>
    </w:p>
    <w:p>
      <w:r>
        <w:rPr>
          <w:b/>
        </w:rPr>
        <w:t xml:space="preserve">Ergebnis: </w:t>
      </w:r>
      <w:r>
        <w:t>Nur 55,5–64,4 % der Länder verfügten über Systeme zur Erfassung verzögerter Dosen; in Amerika (AMR) 77,1–82,9 %. Median-Anteil verzögerter MCV1-Dosen: 4,4 %. Catch-up-Aktivitäten würden gemeldete Impfquoten um ca. 4 Prozentpunkte erhöhen. Erhebliche regionale Unterschiede je nach Einkommensstatus und Gavi-Teilnahme.</w:t>
      </w:r>
    </w:p>
    <w:p>
      <w:r>
        <w:rPr>
          <w:b/>
          <w:sz w:val="19"/>
        </w:rPr>
        <w:t xml:space="preserve">Übertragbarkeit: </w:t>
      </w:r>
      <w:r>
        <w:rPr>
          <w:sz w:val="19"/>
        </w:rPr>
        <w:t>Globale Systemanalyse, zeigt Schwächen in deutscher Impfdokumentation (Deutschland hat kein zentrales Impfregister).</w:t>
      </w:r>
    </w:p>
    <w:p>
      <w:r>
        <w:rPr>
          <w:color w:val="5A7D3A"/>
          <w:sz w:val="18"/>
        </w:rPr>
        <w:t>https://pubmed.ncbi.nlm.nih.gov/42732096/</w:t>
      </w:r>
    </w:p>
    <w:p>
      <w:pPr>
        <w:pStyle w:val="Heading2"/>
      </w:pPr>
      <w:r>
        <w:t>Masern als Messlatte: Warum Eradikation Impfsysteme stärkt</w:t>
      </w:r>
    </w:p>
    <w:p>
      <w:r>
        <w:rPr>
          <w:i/>
          <w:color w:val="666666"/>
          <w:sz w:val="18"/>
        </w:rPr>
        <w:t>Durrheim DN et al.  ·  Hum Vaccin Immunother  ·  12.09.2026  ·  PMID 42730634</w:t>
      </w:r>
    </w:p>
    <w:p>
      <w:r>
        <w:t>Perspektive zur strategischen Bedeutung von Masern-Eradikation als Katalysator für Aufbau stabiler Impfprogramme und Gesundheitssysteme, besonders im Kontext steigender Ausbrüche.</w:t>
      </w:r>
    </w:p>
    <w:p>
      <w:r>
        <w:rPr>
          <w:b/>
        </w:rPr>
        <w:t xml:space="preserve">Ergebnis: </w:t>
      </w:r>
      <w:r>
        <w:t>Masern-Eradikation erfordert und katalysiert Fähigkeiten, die auch grundlegend für resiliente Systeme sind: hohe Routineimpfquoten, sensitive Surveillance, qualitätsgesicherte Labornetzwerke, schnelle Ausbruchreaktion, Gemeinschaftsbeteiligung. Aktuelle Ausbrüche signalisieren Systemfragilitäten und bieten Gelegenheit zur Stärkung von Impfgerechtigkeit.</w:t>
      </w:r>
    </w:p>
    <w:p>
      <w:r>
        <w:rPr>
          <w:b/>
          <w:sz w:val="19"/>
        </w:rPr>
        <w:t xml:space="preserve">Übertragbarkeit: </w:t>
      </w:r>
      <w:r>
        <w:rPr>
          <w:sz w:val="19"/>
        </w:rPr>
        <w:t>Conceptual framework zur Systemstärkung, international anwendbar, besonders relevant für Länder mit Ausbrüchen.</w:t>
      </w:r>
    </w:p>
    <w:p>
      <w:r>
        <w:rPr>
          <w:color w:val="5A7D3A"/>
          <w:sz w:val="18"/>
        </w:rPr>
        <w:t>https://pubmed.ncbi.nlm.nih.gov/42730634/</w:t>
      </w:r>
    </w:p>
    <w:p>
      <w:pPr>
        <w:pStyle w:val="Heading2"/>
      </w:pPr>
      <w:r>
        <w:t>Sierra Leone: Von Impfstoff-Verfügbarkeit zur Bevölkerungsschutzung – Deployment Readiness</w:t>
      </w:r>
    </w:p>
    <w:p>
      <w:r>
        <w:rPr>
          <w:i/>
          <w:color w:val="666666"/>
          <w:sz w:val="18"/>
        </w:rPr>
        <w:t>Ikoona EN et al.  ·  Ann Glob Health  ·  07.09.2026  ·  PMID 42730077</w:t>
      </w:r>
    </w:p>
    <w:p>
      <w:r>
        <w:t>Vergleichende Analyse von Impfkampagnen-Implementierung in Sierra Leone (COVID-19 2021, Ebola 2024, Mpox 2025) zur Identifikation kritischer Faktoren zwischen Zulassung und Vakzinierungsbeginn.</w:t>
      </w:r>
    </w:p>
    <w:p>
      <w:r>
        <w:rPr>
          <w:b/>
        </w:rPr>
        <w:t xml:space="preserve">Ergebnis: </w:t>
      </w:r>
      <w:r>
        <w:t>COVID-19: 45 Tage von EMA-Zulassung bis Impfstart; 73,2–86,7 % Deckung in Zielgruppe. Ebola: 1.851 Tage bis Impfstart trotz globales Stockpile seit 2021. Mpox: 106 Tage nach Ausbruchbestätigung, 186.053 Personen erreicht. &gt;84 % der COVID-Dosen über Surge-Kampagnen. Produktverfügbarkeit allein unzureichend; nationale Aktivierung, Finanzierung und Anbindung an globale Vorgaben entscheidend.</w:t>
      </w:r>
    </w:p>
    <w:p>
      <w:r>
        <w:rPr>
          <w:b/>
          <w:sz w:val="19"/>
        </w:rPr>
        <w:t xml:space="preserve">Übertragbarkeit: </w:t>
      </w:r>
      <w:r>
        <w:rPr>
          <w:sz w:val="19"/>
        </w:rPr>
        <w:t>Niedrig-/mitteleinkommiges Land (WHO-EMRO), Implementierungs-Framework transferierbar auf deutsche Krise-Impf-Vorbereitung.</w:t>
      </w:r>
    </w:p>
    <w:p>
      <w:r>
        <w:rPr>
          <w:color w:val="5A7D3A"/>
          <w:sz w:val="18"/>
        </w:rPr>
        <w:t>https://pubmed.ncbi.nlm.nih.gov/42730077/</w:t>
      </w:r>
    </w:p>
    <w:p>
      <w:pPr>
        <w:pStyle w:val="Heading2"/>
      </w:pPr>
      <w:r>
        <w:t>Norovirus-Impfung in England: Kostenwirksam durch Vermeidung von Nierenschäden</w:t>
      </w:r>
    </w:p>
    <w:p>
      <w:r>
        <w:rPr>
          <w:i/>
          <w:color w:val="666666"/>
          <w:sz w:val="18"/>
        </w:rPr>
        <w:t>Bolt H et al.  ·  Epidemics  ·  28.07.2026  ·  PMID 42537313</w:t>
      </w:r>
    </w:p>
    <w:p>
      <w:r>
        <w:t>Modellierung der gesundheitsökonomischen Effekte einer Norovirus-Impfung in England, die Akutnierenschäden als Spätfolge berücksichtigt.</w:t>
      </w:r>
    </w:p>
    <w:p>
      <w:r>
        <w:rPr>
          <w:b/>
        </w:rPr>
        <w:t xml:space="preserve">Ergebnis: </w:t>
      </w:r>
      <w:r>
        <w:t>Kombinierte Impfstrategie für Kinder und Ältere reduzierte symptomatische Infektionen um 64–66 %. Mit akuten Nierenschäden war eine Impfstoffeffektivität von 35 % noch kosteneffektiv (Schwellenwert: £ 20.000 pro QALY). Ohne Berücksichtigung der Nierenschäden war keine Strategie kosteneffektiv.</w:t>
      </w:r>
    </w:p>
    <w:p>
      <w:r>
        <w:rPr>
          <w:b/>
          <w:sz w:val="19"/>
        </w:rPr>
        <w:t xml:space="preserve">Übertragbarkeit: </w:t>
      </w:r>
      <w:r>
        <w:rPr>
          <w:sz w:val="19"/>
        </w:rPr>
        <w:t>Englisches Versorgungssystem, vergleichbar mit deutschen Health Economics-Evaluationen.</w:t>
      </w:r>
    </w:p>
    <w:p>
      <w:r>
        <w:rPr>
          <w:color w:val="5A7D3A"/>
          <w:sz w:val="18"/>
        </w:rPr>
        <w:t>https://pubmed.ncbi.nlm.nih.gov/42537313/</w:t>
      </w:r>
    </w:p>
    <w:p>
      <w:pPr>
        <w:pStyle w:val="Heading2"/>
      </w:pPr>
      <w:r>
        <w:t>Viruslast-Dynamik und Varianten: Was Frankreichs Routinetests über Impfschutz verraten</w:t>
      </w:r>
    </w:p>
    <w:p>
      <w:r>
        <w:rPr>
          <w:i/>
          <w:color w:val="666666"/>
          <w:sz w:val="18"/>
        </w:rPr>
        <w:t>Beaulieu M et al.  ·  PLoS Comput Biol  ·  27.07.2026  ·  PMID 42507756</w:t>
      </w:r>
    </w:p>
    <w:p>
      <w:r>
        <w:t>Analysen von 322.218 PCR-Tests aus Frankreich 2021–2022 zur Erfassung der Viraldy­namik unter verschiedenen Varianten und Impfstatus bei symptomatic infection.</w:t>
      </w:r>
    </w:p>
    <w:p>
      <w:r>
        <w:rPr>
          <w:b/>
        </w:rPr>
        <w:t xml:space="preserve">Ergebnis: </w:t>
      </w:r>
      <w:r>
        <w:t>Alter ≥ 65 Jahre: längere Clearance-Zeit um 2–6 Tage. Geimpfte Personen: 2–4 Tage kürzere Clearance. Omicron: um 2–3 Ct niedrigere Peakviruslast und um 1–2 Tage kürzere Clearance als Delta. Gemeinschafts-PCR-Testdaten ermöglichen robuste Virusdynamik-Schätzungen.</w:t>
      </w:r>
    </w:p>
    <w:p>
      <w:r>
        <w:rPr>
          <w:b/>
          <w:sz w:val="19"/>
        </w:rPr>
        <w:t xml:space="preserve">Übertragbarkeit: </w:t>
      </w:r>
      <w:r>
        <w:rPr>
          <w:sz w:val="19"/>
        </w:rPr>
        <w:t>Frankreich, ähnliche Surveillance-Infrastruktur wie Deutschland, Methode auf deutsche Testdaten übertragbar.</w:t>
      </w:r>
    </w:p>
    <w:p>
      <w:r>
        <w:rPr>
          <w:color w:val="5A7D3A"/>
          <w:sz w:val="18"/>
        </w:rPr>
        <w:t>https://pubmed.ncbi.nlm.nih.gov/42507756/</w:t>
      </w:r>
    </w:p>
    <w:p>
      <w:pPr>
        <w:pStyle w:val="Heading1"/>
      </w:pPr>
      <w:r>
        <w:t>Aufgenommen am 13.09.2026</w:t>
      </w:r>
    </w:p>
    <w:p>
      <w:pPr>
        <w:pStyle w:val="Heading2"/>
      </w:pPr>
      <w:r>
        <w:t>Impflücken in Peru: Wissen und Angst beeinflussen Impfvollständigkeit bei Kindern</w:t>
      </w:r>
    </w:p>
    <w:p>
      <w:r>
        <w:rPr>
          <w:i/>
          <w:color w:val="666666"/>
          <w:sz w:val="18"/>
        </w:rPr>
        <w:t>Castro-Fuentes MN et al.  ·  Front Public Health  ·  26.08.2026  ·  PMID 42718735</w:t>
      </w:r>
    </w:p>
    <w:p>
      <w:r>
        <w:t>Querschnittsstudie bei 123 Familien in Sunampe, Peru: Assoziationen zwischen Impflücken bei Kindern unter fünf Jahren und mütterlichen Wahrnehmungen, Wissen und Angst.</w:t>
      </w:r>
    </w:p>
    <w:p>
      <w:r>
        <w:rPr>
          <w:b/>
        </w:rPr>
        <w:t xml:space="preserve">Ergebnis: </w:t>
      </w:r>
      <w:r>
        <w:t>Impfverweigerung (≥3 verpasste Schlüsseldosen bis 6 Monate): signifikante Prädiktoren waren Mangel an Wissen über Impfalter (OR: 10,96; p &lt; 0,001) und Nichtbesuch von Impfberatungssitzungen (OR: 3,32; p = 0,026). Angst vor Nebenwirkungen (99,2 % der Mütter berichteten sie) war nicht signifikant (Hinweis auf Antwortverzerrung). Modell: AUC = 0,852. Todesfälle unter 5 Jahren (2017–2022): 10 Fälle, davon 6 pneumokokkal-assoziierten.</w:t>
      </w:r>
    </w:p>
    <w:p>
      <w:r>
        <w:rPr>
          <w:b/>
          <w:sz w:val="19"/>
        </w:rPr>
        <w:t xml:space="preserve">Übertragbarkeit: </w:t>
      </w:r>
      <w:r>
        <w:rPr>
          <w:sz w:val="19"/>
        </w:rPr>
        <w:t>Peru – Befund zu Wissenslücken und Impfpfaden in untermotivierter Bevölkerung auf Deutschland nicht direkt übertragbar, aber qualitativ relevant für Migrationsgruppen</w:t>
      </w:r>
    </w:p>
    <w:p>
      <w:r>
        <w:rPr>
          <w:color w:val="5A7D3A"/>
          <w:sz w:val="18"/>
        </w:rPr>
        <w:t>https://pubmed.ncbi.nlm.nih.gov/42718735/</w:t>
      </w:r>
    </w:p>
    <w:p>
      <w:pPr>
        <w:pStyle w:val="Heading2"/>
      </w:pPr>
      <w:r>
        <w:t>Pneumokokkencolonisierung bei Kindern in Brasilien: Begrenzte Abdeckung durch PCV10</w:t>
      </w:r>
    </w:p>
    <w:p>
      <w:r>
        <w:rPr>
          <w:i/>
          <w:color w:val="666666"/>
          <w:sz w:val="18"/>
        </w:rPr>
        <w:t>Sousa IO et al.  ·  PLoS One  ·  09.09.2026  ·  PMID 42715187</w:t>
      </w:r>
    </w:p>
    <w:p>
      <w:r>
        <w:t>Querschnittstudie bei 400 Kindern (2–5 Jahre) in Salvador, Brasilien: Nasopharyngale Besiedlung mit Streptococcus pneumoniae und Serotypverteilung nach PCV10-GSK-Impfung im brasilianischen Routineprogramm.</w:t>
      </w:r>
    </w:p>
    <w:p>
      <w:r>
        <w:rPr>
          <w:b/>
        </w:rPr>
        <w:t xml:space="preserve">Ergebnis: </w:t>
      </w:r>
      <w:r>
        <w:t>Gesamtbesiedlungsrate: 39,5 %. Häufigste Serotypen: 6C (17,9 %), 19A (13,0 %), 11A (9,3 %). PCV10-GSK deckt nur 3,2 % der Serotypen ab; PCV20 würde 39,5 % abdecken. Penicillinresistenz in 21,8 % der Isolate, am höchsten bei 19A (71,4 %). Befund zeigt Impflücke bei nicht-PCV10-Serotypen trotz Impfung.</w:t>
      </w:r>
    </w:p>
    <w:p>
      <w:r>
        <w:rPr>
          <w:b/>
          <w:sz w:val="19"/>
        </w:rPr>
        <w:t xml:space="preserve">Übertragbarkeit: </w:t>
      </w:r>
      <w:r>
        <w:rPr>
          <w:sz w:val="19"/>
        </w:rPr>
        <w:t>Brasilien – Befund zur Serotyp-Abdeckung und Resistenzentwicklung unter Feldimpfung ist grundlegend übertragbar</w:t>
      </w:r>
    </w:p>
    <w:p>
      <w:r>
        <w:rPr>
          <w:color w:val="5A7D3A"/>
          <w:sz w:val="18"/>
        </w:rPr>
        <w:t>https://pubmed.ncbi.nlm.nih.gov/42715187/</w:t>
      </w:r>
    </w:p>
    <w:p>
      <w:pPr>
        <w:pStyle w:val="Heading2"/>
      </w:pPr>
      <w:r>
        <w:t>Pneumococcale Impfung (PCV21) verhindert invasive Erkrankungen bei Erwachsenen in Spanien</w:t>
      </w:r>
    </w:p>
    <w:p>
      <w:r>
        <w:rPr>
          <w:i/>
          <w:color w:val="666666"/>
          <w:sz w:val="18"/>
        </w:rPr>
        <w:t>Simuzingili M et al.  ·  Vaccine  ·  03.10.2026  ·  PMID 42669238</w:t>
      </w:r>
    </w:p>
    <w:p>
      <w:r>
        <w:t>Gesundheitsökonomische Modellstudie in Spanien: Der 21-valente pneumokokkale Konjugatimpfstoff (PCV21) wurde mit PCV20 verglichen hinsichtlich verhinderte IPD-Fälle und vermiedene Kosten.</w:t>
      </w:r>
    </w:p>
    <w:p>
      <w:r>
        <w:rPr>
          <w:b/>
        </w:rPr>
        <w:t xml:space="preserve">Ergebnis: </w:t>
      </w:r>
      <w:r>
        <w:t>Bei 45–64-jährigen: PCV21 verhindert 178 IPD-Fälle mehr und 20 Todesfälle mehr als PCV20; spart 0,7 Mio. EUR (10% Mehrersparnis). Bei ≥65-Jährigen: 2019 IPD-Fälle und 435 Todesfälle mehr verhindert; spart 257 Mio. EUR (25% Mehrersparnis). Beide Altersgruppen: PCV21 war in allen Szenarien kostenwirksam.</w:t>
      </w:r>
    </w:p>
    <w:p>
      <w:r>
        <w:rPr>
          <w:b/>
          <w:sz w:val="19"/>
        </w:rPr>
        <w:t xml:space="preserve">Übertragbarkeit: </w:t>
      </w:r>
      <w:r>
        <w:rPr>
          <w:sz w:val="19"/>
        </w:rPr>
        <w:t>Spanien, vergleichbares Versicherungssystem und Epidemiologie wie Deutschland</w:t>
      </w:r>
    </w:p>
    <w:p>
      <w:r>
        <w:rPr>
          <w:color w:val="5A7D3A"/>
          <w:sz w:val="18"/>
        </w:rPr>
        <w:t>https://pubmed.ncbi.nlm.nih.gov/42669238/</w:t>
      </w:r>
    </w:p>
    <w:p>
      <w:pPr>
        <w:pStyle w:val="Heading2"/>
      </w:pPr>
      <w:r>
        <w:t>RSV-Impfung für Neugeborene in Japan: Saisonale vs. ganzjährige Strategie</w:t>
      </w:r>
    </w:p>
    <w:p>
      <w:r>
        <w:rPr>
          <w:i/>
          <w:color w:val="666666"/>
          <w:sz w:val="18"/>
        </w:rPr>
        <w:t>Monoi A et al.  ·  Vaccine  ·  03.10.2026  ·  PMID 42648051</w:t>
      </w:r>
    </w:p>
    <w:p>
      <w:r>
        <w:t>Modellstudie: Vergleich saisonaler und ganzjähriger RSV-Immunisierung von Neugeborenen zur Prävention von Krankenhausaufenthalten.</w:t>
      </w:r>
    </w:p>
    <w:p>
      <w:r>
        <w:rPr>
          <w:b/>
        </w:rPr>
        <w:t xml:space="preserve">Ergebnis: </w:t>
      </w:r>
      <w:r>
        <w:t>Ganzjährige RSVpreF-Impfung: 46 % Reduktion der RSV-Hospitalisierungen (95% UR: 31–65%). Ganzjährig Nirsevimab: 58 % Reduktion (95% UR: 39–79%). Saisonale Programme: bei zeitgerechter Durchführung 56–61 % Reduktion. Effekt stark abhängig von Saisonalitätsprädiktion und logistischen Kapazitäten.</w:t>
      </w:r>
    </w:p>
    <w:p>
      <w:r>
        <w:rPr>
          <w:b/>
          <w:sz w:val="19"/>
        </w:rPr>
        <w:t xml:space="preserve">Übertragbarkeit: </w:t>
      </w:r>
      <w:r>
        <w:rPr>
          <w:sz w:val="19"/>
        </w:rPr>
        <w:t>Japan, anderer Kontext – Befund zur Saisonalität und Impfstoffhaltbarkeit aber grundsätzlich übertragbar</w:t>
      </w:r>
    </w:p>
    <w:p>
      <w:r>
        <w:rPr>
          <w:color w:val="5A7D3A"/>
          <w:sz w:val="18"/>
        </w:rPr>
        <w:t>https://pubmed.ncbi.nlm.nih.gov/42648051/</w:t>
      </w:r>
    </w:p>
    <w:p>
      <w:pPr>
        <w:pStyle w:val="Heading2"/>
      </w:pPr>
      <w:r>
        <w:t>Pneumokokken-Impfung bei Erwachsenen mit Diabetes: Verzögerte Aufnahme in Versorgung</w:t>
      </w:r>
    </w:p>
    <w:p>
      <w:r>
        <w:rPr>
          <w:i/>
          <w:color w:val="666666"/>
          <w:sz w:val="18"/>
        </w:rPr>
        <w:t>Lenzi J et al.  ·  Vaccine  ·  03.10.2026  ·  PMID 42612465</w:t>
      </w:r>
    </w:p>
    <w:p>
      <w:r>
        <w:t>Populationsbasierte Kohortenstudie in Romagna (Italien) mit administrativen Daten: Zeitliche Muster und verpasste Impfgelegenheiten der Pneumokokken-Impfung bei Diabetikern über sieben Jahre.</w:t>
      </w:r>
    </w:p>
    <w:p>
      <w:r>
        <w:rPr>
          <w:b/>
        </w:rPr>
        <w:t xml:space="preserve">Ergebnis: </w:t>
      </w:r>
      <w:r>
        <w:t>Durchimpfungsquote stieg von 7,2 % (Jan. 2017) auf 28,0 % (Juni 2024), blieb aber deutlich unter 30 %. In der Inzidenzkohorte: 4,4 % Impfung nach 1 Jahr, 12,6 % nach 3 Jahren, 34,8 % nach 7 Jahren – kein markanter Anstieg unmittelbar nach Diagnose. Fremdländerisches Herkunftsland assoziiiert mit deutlich niedrigerer Aufnahme (OR: 0,52). Muster deutet auf mangelnde Integration in Diabetes-Versorgungspfade hin.</w:t>
      </w:r>
    </w:p>
    <w:p>
      <w:r>
        <w:rPr>
          <w:b/>
          <w:sz w:val="19"/>
        </w:rPr>
        <w:t xml:space="preserve">Übertragbarkeit: </w:t>
      </w:r>
      <w:r>
        <w:rPr>
          <w:sz w:val="19"/>
        </w:rPr>
        <w:t>Italien, ähnliches Versicherungssystem; Befund zu Versorgungsintegration auf Deutschland übertragbar</w:t>
      </w:r>
    </w:p>
    <w:p>
      <w:r>
        <w:rPr>
          <w:color w:val="5A7D3A"/>
          <w:sz w:val="18"/>
        </w:rPr>
        <w:t>https://pubmed.ncbi.nlm.nih.gov/42612465/</w:t>
      </w:r>
    </w:p>
    <w:p>
      <w:pPr>
        <w:pStyle w:val="Heading2"/>
      </w:pPr>
      <w:r>
        <w:t>Sicherheit der Lebendimpfstoff-Influenzaimpfung in England: Acht Jahre Pharmakovigilanz</w:t>
      </w:r>
    </w:p>
    <w:p>
      <w:r>
        <w:rPr>
          <w:i/>
          <w:color w:val="666666"/>
          <w:sz w:val="18"/>
        </w:rPr>
        <w:t>Dhanda S et al.  ·  Vaccine  ·  03.10.2026  ·  PMID 42607627</w:t>
      </w:r>
    </w:p>
    <w:p>
      <w:r>
        <w:t>Verbesserte passive Sicherheitsüberwachung (EPSS) des intranasalen Lebendimpfstoffs Fluenz® Tetra bei Kindern über acht Grippesaisons in England, mit Sicherheitsberichtskarten in 38–49 Praxen und 25–50 Schulen pro Saison.</w:t>
      </w:r>
    </w:p>
    <w:p>
      <w:r>
        <w:rPr>
          <w:b/>
        </w:rPr>
        <w:t xml:space="preserve">Ergebnis: </w:t>
      </w:r>
      <w:r>
        <w:t>8753–17.922 Sicherheitsberichtskarten ausgegeben jährlich. Rücklaufquoten: 2015/2016: 1,9 %, sinkend auf 2022/2023: 0,4 %. Rhinorrhö am häufigsten gemeldet (0,1–0,6 %). Schwerwiegende unerwünschte Ereignisse selten. Befund unterstützt positives Nutzen-Risiko-Profil über alle acht Saisons.</w:t>
      </w:r>
    </w:p>
    <w:p>
      <w:r>
        <w:rPr>
          <w:b/>
          <w:sz w:val="19"/>
        </w:rPr>
        <w:t xml:space="preserve">Übertragbarkeit: </w:t>
      </w:r>
      <w:r>
        <w:rPr>
          <w:sz w:val="19"/>
        </w:rPr>
        <w:t>Großbritannien, vergleichbare Versorgungsinfrastruktur und Pharmakovigilanz-Standards</w:t>
      </w:r>
    </w:p>
    <w:p>
      <w:r>
        <w:rPr>
          <w:color w:val="5A7D3A"/>
          <w:sz w:val="18"/>
        </w:rPr>
        <w:t>https://pubmed.ncbi.nlm.nih.gov/42607627/</w:t>
      </w:r>
    </w:p>
    <w:p>
      <w:pPr>
        <w:pStyle w:val="Heading1"/>
      </w:pPr>
      <w:r>
        <w:t>Aufgenommen am 12.09.2026</w:t>
      </w:r>
    </w:p>
    <w:p>
      <w:pPr>
        <w:pStyle w:val="Heading2"/>
      </w:pPr>
      <w:r>
        <w:t>COVID-19-Sterblichkeit nach Einkommen: Vorbefunde schlagen Impfung um Faktor 3–5</w:t>
      </w:r>
    </w:p>
    <w:p>
      <w:r>
        <w:rPr>
          <w:i/>
          <w:color w:val="666666"/>
          <w:sz w:val="18"/>
        </w:rPr>
        <w:t>Milkovska E et al.  ·  Int J Epidemiol  ·  18.08.2026  ·  PMID 42727089</w:t>
      </w:r>
    </w:p>
    <w:p>
      <w:r>
        <w:t>Analyse niederländischer Administrativdaten (n = 6.619.699) zur Frage, inwieweit unterschiedliche Vorerkrankungen und Impfquoten die Sterblichkeitsungleichheit nach Einkommen im Jahr 2021 erklären.</w:t>
      </w:r>
    </w:p>
    <w:p>
      <w:r>
        <w:rPr>
          <w:b/>
        </w:rPr>
        <w:t xml:space="preserve">Ergebnis: </w:t>
      </w:r>
      <w:r>
        <w:t>Ärmstes Einkommensfünftel starb 3-mal häufiger an COVID-19 als reichstes. Unterschiede in Vorerkrankungen erklärten 46–67 % der Ungleichheit, Unterschiede in Impfquoten nur 14–19 %. Soziale Determinanten der Gesundheit waren das Haupttreiber.</w:t>
      </w:r>
    </w:p>
    <w:p>
      <w:r>
        <w:rPr>
          <w:b/>
          <w:sz w:val="19"/>
        </w:rPr>
        <w:t xml:space="preserve">Übertragbarkeit: </w:t>
      </w:r>
      <w:r>
        <w:rPr>
          <w:sz w:val="19"/>
        </w:rPr>
        <w:t>Niederländische Administrativdaten mit vergleichbarem Versicherungssystem zu Deutschland</w:t>
      </w:r>
    </w:p>
    <w:p>
      <w:r>
        <w:rPr>
          <w:color w:val="5A7D3A"/>
          <w:sz w:val="18"/>
        </w:rPr>
        <w:t>https://pubmed.ncbi.nlm.nih.gov/42727089/</w:t>
      </w:r>
    </w:p>
    <w:p>
      <w:pPr>
        <w:pStyle w:val="Heading2"/>
      </w:pPr>
      <w:r>
        <w:t>Mütterliche RSV-Impfung reduziert Bronchiolitis-Krankenhauseinweisungen bei Säuglingen um 62 %</w:t>
      </w:r>
    </w:p>
    <w:p>
      <w:r>
        <w:rPr>
          <w:i/>
          <w:color w:val="666666"/>
          <w:sz w:val="18"/>
        </w:rPr>
        <w:t>Broad J et al.  ·  Euro Surveill  ·  Sept. 2026  ·  PMID 42725370</w:t>
      </w:r>
    </w:p>
    <w:p>
      <w:r>
        <w:t>Zeitreihenanalyse zu Auswirkungen der mütterlichen RSV-Impfung auf Hospitalisierungen von Säuglingen unter 3 Monaten in England von September 2024 bis März 2026.</w:t>
      </w:r>
    </w:p>
    <w:p>
      <w:r>
        <w:rPr>
          <w:b/>
        </w:rPr>
        <w:t xml:space="preserve">Ergebnis: </w:t>
      </w:r>
      <w:r>
        <w:t>RSV-Bronchiolitis-Krankenhauseinweisungen sanken um 62,6 % (IRR 0,374; 95%-KI: 0,344–0,407), Bronchiolitis insgesamt um 39,3 %. Bei Impfquote von 55,1 % reduzierten sich Aufnahmen auf Intensivstationen um 41,0 %. Ein bedeutender Schutzeffekt unter realen Versorgungsbedingungen.</w:t>
      </w:r>
    </w:p>
    <w:p>
      <w:r>
        <w:rPr>
          <w:b/>
          <w:sz w:val="19"/>
        </w:rPr>
        <w:t xml:space="preserve">Übertragbarkeit: </w:t>
      </w:r>
      <w:r>
        <w:rPr>
          <w:sz w:val="19"/>
        </w:rPr>
        <w:t>England mit Impfregister; Datenverfügbarkeit ähnlich wie in Skandinavien, nicht Deutschland</w:t>
      </w:r>
    </w:p>
    <w:p>
      <w:r>
        <w:rPr>
          <w:color w:val="5A7D3A"/>
          <w:sz w:val="18"/>
        </w:rPr>
        <w:t>https://pubmed.ncbi.nlm.nih.gov/42725370/</w:t>
      </w:r>
    </w:p>
    <w:p>
      <w:pPr>
        <w:pStyle w:val="Heading2"/>
      </w:pPr>
      <w:r>
        <w:t>Impfskepsis in Pakistan: Datenschutzmethoden zeigen Underreporting bei sensiblen Fragen</w:t>
      </w:r>
    </w:p>
    <w:p>
      <w:r>
        <w:rPr>
          <w:i/>
          <w:color w:val="666666"/>
          <w:sz w:val="18"/>
        </w:rPr>
        <w:t>Shahid MI et al.  ·  Front Public Health  ·  27.08.2026  ·  PMID 42723770</w:t>
      </w:r>
    </w:p>
    <w:p>
      <w:r>
        <w:t>Querschnittsstudie mit 1.200 Teilnehmern in Punjab, Pakistan (Juni–August 2021), die Underreporting von COVID-19-Fällen und Impfskepsis mit privacy-wahrenden randomisierten Antworttechniken misst.</w:t>
      </w:r>
    </w:p>
    <w:p>
      <w:r>
        <w:rPr>
          <w:b/>
        </w:rPr>
        <w:t xml:space="preserve">Ergebnis: </w:t>
      </w:r>
      <w:r>
        <w:t>Direkt berichtete COVID-19-Fälle (städtisch 10,5 %, ländlich 13,7 %) lagen unter datenschutzgeschützten Schätzungen (städtisch 15,3–17,4 %, ländlich 16,7–19,5 %). Impfskepsis-Underreporting kleiner (26,3 % vs. 27,2–27,4 %). PRE &gt;100, bessere Effizienz als Benchmark-Modelle. Privacy-Methoden reduzieren Verzerrung bei sensiblen Outcomes.</w:t>
      </w:r>
    </w:p>
    <w:p>
      <w:r>
        <w:rPr>
          <w:b/>
          <w:sz w:val="19"/>
        </w:rPr>
        <w:t xml:space="preserve">Übertragbarkeit: </w:t>
      </w:r>
      <w:r>
        <w:rPr>
          <w:sz w:val="19"/>
        </w:rPr>
        <w:t>Pakistan, Niedrig-Ressourcen-Setting; Methode zur Verbesserung der Surveillancequalität in Ländern mit schwacher Dokumentation</w:t>
      </w:r>
    </w:p>
    <w:p>
      <w:r>
        <w:rPr>
          <w:color w:val="5A7D3A"/>
          <w:sz w:val="18"/>
        </w:rPr>
        <w:t>https://pubmed.ncbi.nlm.nih.gov/42723770/</w:t>
      </w:r>
    </w:p>
    <w:p>
      <w:pPr>
        <w:pStyle w:val="Heading2"/>
      </w:pPr>
      <w:r>
        <w:t>PCV21-Pneumokokken-Impfung für Risikopatienten 18–64 Jahre in der Schweiz kosteneffektiv</w:t>
      </w:r>
    </w:p>
    <w:p>
      <w:r>
        <w:rPr>
          <w:i/>
          <w:color w:val="666666"/>
          <w:sz w:val="18"/>
        </w:rPr>
        <w:t>Simuzingili M et al.  ·  J Med Econ  ·  10.09.2026  ·  PMID 42723339</w:t>
      </w:r>
    </w:p>
    <w:p>
      <w:r>
        <w:t>Markov-Modell zur Kosten-Effektivität einer PCV21-Impfung für Hochrisiko- und Risiko-Patienten (18–64 Jahre) in der Schweiz mit lebenslanger Perspektive.</w:t>
      </w:r>
    </w:p>
    <w:p>
      <w:r>
        <w:rPr>
          <w:b/>
        </w:rPr>
        <w:t xml:space="preserve">Ergebnis: </w:t>
      </w:r>
      <w:r>
        <w:t>Bei 60-prozentiger Impfquote wurden 518 Fälle invasiver Pneumokokkenerkrankung, 224 Todesfälle und 2.578 ambulant behandelte Pneumonien verhindert. Impfkosten (CHF 39,0 Mio.) überwogen Einsparungen (CHF 21,4 Mio.) um Netto-CHF 17,6 Mio. ICER: CHF 7.665/QALY (kosteneffektiv ab CHF 18.000/QALY-Schwelle). In Sensitivitätsanalyse 100 % Wahrscheinlichkeit Kosteneffektivität.</w:t>
      </w:r>
    </w:p>
    <w:p>
      <w:r>
        <w:rPr>
          <w:b/>
          <w:sz w:val="19"/>
        </w:rPr>
        <w:t xml:space="preserve">Übertragbarkeit: </w:t>
      </w:r>
      <w:r>
        <w:rPr>
          <w:sz w:val="19"/>
        </w:rPr>
        <w:t>Schweizer Gesundheitssystem; Kosten- und Nutzenstruktur ähnlich dem deutschen</w:t>
      </w:r>
    </w:p>
    <w:p>
      <w:r>
        <w:rPr>
          <w:color w:val="5A7D3A"/>
          <w:sz w:val="18"/>
        </w:rPr>
        <w:t>https://pubmed.ncbi.nlm.nih.gov/42723339/</w:t>
      </w:r>
    </w:p>
    <w:p>
      <w:pPr>
        <w:pStyle w:val="Heading2"/>
      </w:pPr>
      <w:r>
        <w:t>RSVpreF-Impfung in Frankreich: Empfohlene Strategie verhindert 7.620 Hospitalisierungen, kostengünstig</w:t>
      </w:r>
    </w:p>
    <w:p>
      <w:r>
        <w:rPr>
          <w:i/>
          <w:color w:val="666666"/>
          <w:sz w:val="18"/>
        </w:rPr>
        <w:t>Fahfouhi Y et al.  ·  Vaccine  ·  03.10.2026  ·  PMID 42628195</w:t>
      </w:r>
    </w:p>
    <w:p>
      <w:r>
        <w:t>Markov-Modell zur Gesundheits- und Kostenfolgen von vier nationalen RSVpreF-Impfstrategien für schwangere Frauen in Frankreich unter Verwendung von Daten zu 627.499 Geburten pro Jahr.</w:t>
      </w:r>
    </w:p>
    <w:p>
      <w:r>
        <w:rPr>
          <w:b/>
        </w:rPr>
        <w:t xml:space="preserve">Ergebnis: </w:t>
      </w:r>
      <w:r>
        <w:t>Ohne Impfung: 38.625 RSV-Hospitalisierungen pro Jahr (Kosten €120,0 Mio.). Empfohlene Strategie (Sept.–Jan.) verhinderte 7.620 Hospitalisierungen (−19,7 %), Kosten €126,4 Mio., €844/Hospitalisierung verhindert, NNV 21. Erweiterte Strategie (Mai–Jan.) zusätzlich 4.111 Fälle vermieden (−13,3 % zusätzlich), erhöhte Gesamtkosten auf €134,4 Mio. (+6,3 %).</w:t>
      </w:r>
    </w:p>
    <w:p>
      <w:r>
        <w:rPr>
          <w:b/>
          <w:sz w:val="19"/>
        </w:rPr>
        <w:t xml:space="preserve">Übertragbarkeit: </w:t>
      </w:r>
      <w:r>
        <w:rPr>
          <w:sz w:val="19"/>
        </w:rPr>
        <w:t>Frankreich, europäisches Versicherungssystem; Nationale Impfkalender und Gesundheitsvergütung vergleichbar</w:t>
      </w:r>
    </w:p>
    <w:p>
      <w:r>
        <w:rPr>
          <w:color w:val="5A7D3A"/>
          <w:sz w:val="18"/>
        </w:rPr>
        <w:t>https://pubmed.ncbi.nlm.nih.gov/42628195/</w:t>
      </w:r>
    </w:p>
    <w:p>
      <w:pPr>
        <w:pStyle w:val="Heading2"/>
      </w:pPr>
      <w:r>
        <w:t>HPV-Impfquote in Europa: 55–60 % im Jahr 5, Schulprogramme und Arztdichte entscheidend</w:t>
      </w:r>
    </w:p>
    <w:p>
      <w:r>
        <w:rPr>
          <w:i/>
          <w:color w:val="666666"/>
          <w:sz w:val="18"/>
        </w:rPr>
        <w:t>Pavia G et al.  ·  Vaccine  ·  03.10.2026  ·  PMID 42623713</w:t>
      </w:r>
    </w:p>
    <w:p>
      <w:r>
        <w:t>Längsschnittstudie über Impfquoten bei 15-jährigen Mädchen in 43 europäischen Ländern 2010–2023, mit Analyse von Prädiktoren und Assoziation mit Google-Suchvolumen.</w:t>
      </w:r>
    </w:p>
    <w:p>
      <w:r>
        <w:rPr>
          <w:b/>
        </w:rPr>
        <w:t xml:space="preserve">Ergebnis: </w:t>
      </w:r>
      <w:r>
        <w:t>Impfquote stieg nach Aufnahme ins nationale Programm auf ~40 % im Jahr 2 , stabilisierte sich bei 55–60 % im Jahr 5. Über 60 % in den meisten Ländern erreicht. Schulprogramme boten schnellere Kurven. Ärztedichte und niedrige öffentliche Skepsis waren signifikante Prädiktoren. WHO-Ziel von 90 % verfehlt.</w:t>
      </w:r>
    </w:p>
    <w:p>
      <w:r>
        <w:rPr>
          <w:b/>
          <w:sz w:val="19"/>
        </w:rPr>
        <w:t xml:space="preserve">Übertragbarkeit: </w:t>
      </w:r>
      <w:r>
        <w:rPr>
          <w:sz w:val="19"/>
        </w:rPr>
        <w:t>Europäische Länder, vergleichbare Systeme; Datenqualität variiert stark (kein deutsches Impfregister)</w:t>
      </w:r>
    </w:p>
    <w:p>
      <w:r>
        <w:rPr>
          <w:color w:val="5A7D3A"/>
          <w:sz w:val="18"/>
        </w:rPr>
        <w:t>https://pubmed.ncbi.nlm.nih.gov/42623713/</w:t>
      </w:r>
    </w:p>
    <w:p>
      <w:pPr>
        <w:pStyle w:val="Heading2"/>
      </w:pPr>
      <w:r>
        <w:t>Diphtherie in der Schweiz 1877–2022: Impfprogramme brachen Epidemie-Wellen</w:t>
      </w:r>
    </w:p>
    <w:p>
      <w:r>
        <w:rPr>
          <w:i/>
          <w:color w:val="666666"/>
          <w:sz w:val="18"/>
        </w:rPr>
        <w:t>Tuor SM et al.  ·  Vaccine  ·  03.10.2026  ·  PMID 42623711</w:t>
      </w:r>
    </w:p>
    <w:p>
      <w:r>
        <w:t>Historische Zeitreihenanalyse der Diphtherie-Morbidität und -Mortalität in der Schweiz über 145 Jahre, mit Bayesianischen Modellen zur Quantifizierung des Impfeffekts ab 1933.</w:t>
      </w:r>
    </w:p>
    <w:p>
      <w:r>
        <w:rPr>
          <w:b/>
        </w:rPr>
        <w:t xml:space="preserve">Ergebnis: </w:t>
      </w:r>
      <w:r>
        <w:t>Von 35.271 Diphtherietodesfällen (1877–2022) starben 99,5 % vor flächendeckender Impfung. Nach Einführung zwingender Impfung in Genf (1933) lagen Inzidenz und Mortalität konsistent unter gemodellten Gegenszenarios. Nach landesweiter Empfehlung (1943) sank Diphtherie schnell in allen Kantonen, aber früher und stärker in Kantonen mit Impfpflicht.</w:t>
      </w:r>
    </w:p>
    <w:p>
      <w:r>
        <w:rPr>
          <w:b/>
          <w:sz w:val="19"/>
        </w:rPr>
        <w:t xml:space="preserve">Übertragbarkeit: </w:t>
      </w:r>
      <w:r>
        <w:rPr>
          <w:sz w:val="19"/>
        </w:rPr>
        <w:t>Schweizer Klinik- und Todesursachendaten; DACH-System mit Dokumentationspflicht vergleichbar</w:t>
      </w:r>
    </w:p>
    <w:p>
      <w:r>
        <w:rPr>
          <w:color w:val="5A7D3A"/>
          <w:sz w:val="18"/>
        </w:rPr>
        <w:t>https://pubmed.ncbi.nlm.nih.gov/42623711/</w:t>
      </w:r>
    </w:p>
    <w:p>
      <w:pPr>
        <w:pStyle w:val="Heading1"/>
      </w:pPr>
      <w:r>
        <w:t>Aufgenommen am 11.09.2026</w:t>
      </w:r>
    </w:p>
    <w:p>
      <w:pPr>
        <w:pStyle w:val="Heading2"/>
      </w:pPr>
      <w:r>
        <w:t>Hebammensicht auf Impfskepsis und Impfverweigerung: Faktoren und Strategien</w:t>
      </w:r>
    </w:p>
    <w:p>
      <w:r>
        <w:rPr>
          <w:i/>
          <w:color w:val="666666"/>
          <w:sz w:val="18"/>
        </w:rPr>
        <w:t>Çatalgöl Ş et al.  ·  Rev Esc Enferm USP  ·  07.09.2026  ·  PMID 42721439</w:t>
      </w:r>
    </w:p>
    <w:p>
      <w:r>
        <w:t>Deskriptive Querschnittsstudie mit 81 Hebammen in türkischen Familien-Gesundheitszentren zu Faktoren der Impfskepsis und empfohlenen Lösungsstrategien.</w:t>
      </w:r>
    </w:p>
    <w:p>
      <w:r>
        <w:rPr>
          <w:b/>
        </w:rPr>
        <w:t xml:space="preserve">Ergebnis: </w:t>
      </w:r>
      <w:r>
        <w:t>Meistgenannte Faktoren der Impfskepsis: Anti-Impf-Websites (90,1 %), Sorgen um Impfstoff-Inhaltsstoffe (70,4 %), Einfluss von Gemeinschaftsführern (66,7 %), religiöse Bedenken (65,4 %). Empfohlene Strategien: Fernsehen-Inhalte zur Impfung (70,4 %), öffentliche Ankündigungen (67,9 %), Informationen durch Gesundheitsarbeiter (58,0 %).</w:t>
      </w:r>
    </w:p>
    <w:p>
      <w:r>
        <w:rPr>
          <w:b/>
          <w:sz w:val="19"/>
        </w:rPr>
        <w:t xml:space="preserve">Übertragbarkeit: </w:t>
      </w:r>
      <w:r>
        <w:rPr>
          <w:sz w:val="19"/>
        </w:rPr>
        <w:t>Türkei, ähnliche Herausforderungen wie deutschsprachige Länder; Rolle von Hebammen in Versorgung relevant</w:t>
      </w:r>
    </w:p>
    <w:p>
      <w:r>
        <w:rPr>
          <w:color w:val="5A7D3A"/>
          <w:sz w:val="18"/>
        </w:rPr>
        <w:t>https://pubmed.ncbi.nlm.nih.gov/42721439/</w:t>
      </w:r>
    </w:p>
    <w:p>
      <w:pPr>
        <w:pStyle w:val="Heading2"/>
      </w:pPr>
      <w:r>
        <w:t>Phase-1-COVID-19-Vakzin-Studien: Flüssige Entscheidungsfindung unter wechselndem Pandemikontext</w:t>
      </w:r>
    </w:p>
    <w:p>
      <w:r>
        <w:rPr>
          <w:i/>
          <w:color w:val="666666"/>
          <w:sz w:val="18"/>
        </w:rPr>
        <w:t>Halperin DM et al.  ·  Hum Vaccin Immunother  ·  10.09.2026  ·  PMID 42721118</w:t>
      </w:r>
    </w:p>
    <w:p>
      <w:r>
        <w:t>Qualitative Studie zur Untersuchung von Faktoren, die Einschluss und Verbleib in Phase-1-COVID-19-Vakzin-Studien beeinflussen, mit semi-strukturierten Interviews bei Teilnehmern und Nicht-Teilnehmern.</w:t>
      </w:r>
    </w:p>
    <w:p>
      <w:r>
        <w:rPr>
          <w:b/>
        </w:rPr>
        <w:t xml:space="preserve">Ergebnis: </w:t>
      </w:r>
      <w:r>
        <w:t>Teilnahmeentscheidungen sind flüssig, nicht einmalig; Teilnehmer bewerteten Prioritäten kontinuierlich neu in Abhängigkeit von öffentlich zugelassenen Impfstoffen, Mandaten und COVID-19-Fallzahlen. Protokoll-Anpassung mit Erlaubnis zur PHAV-Gabe unterstützte Verbleib bis Studienende.</w:t>
      </w:r>
    </w:p>
    <w:p>
      <w:r>
        <w:rPr>
          <w:b/>
          <w:sz w:val="19"/>
        </w:rPr>
        <w:t xml:space="preserve">Übertragbarkeit: </w:t>
      </w:r>
      <w:r>
        <w:rPr>
          <w:sz w:val="19"/>
        </w:rPr>
        <w:t>Kanada, ähnliche Versorgungsstrukturen; qualitative Erkenntnisse auf Impfstoff-Vertrauen übertragbar</w:t>
      </w:r>
    </w:p>
    <w:p>
      <w:r>
        <w:rPr>
          <w:color w:val="5A7D3A"/>
          <w:sz w:val="18"/>
        </w:rPr>
        <w:t>https://pubmed.ncbi.nlm.nih.gov/42721118/</w:t>
      </w:r>
    </w:p>
    <w:p>
      <w:pPr>
        <w:pStyle w:val="Heading2"/>
      </w:pPr>
      <w:r>
        <w:t>Erweiterte HPV-Impfung in Polen: Gesundheitsgewinne und Kosteneffizienz</w:t>
      </w:r>
    </w:p>
    <w:p>
      <w:r>
        <w:rPr>
          <w:i/>
          <w:color w:val="666666"/>
          <w:sz w:val="18"/>
        </w:rPr>
        <w:t>Jaworski R et al.  ·  J Med Econ  ·  09.09.2026  ·  PMID 42717549</w:t>
      </w:r>
    </w:p>
    <w:p>
      <w:r>
        <w:t>Kosten-Nutzen-Analyse zur Erweiterung der HPV-Impfung auf Jungen und Mädchen im Alter 9–17 Jahren in Polen.</w:t>
      </w:r>
    </w:p>
    <w:p>
      <w:r>
        <w:rPr>
          <w:b/>
        </w:rPr>
        <w:t xml:space="preserve">Ergebnis: </w:t>
      </w:r>
      <w:r>
        <w:t>Erhöhung der Impfquoten von 20 % auf 60 % reduziert HPV-assoziierte Erkrankungen um 16 % und Todesfälle um 13 %; bei 90 % Abdeckung Reduktion um 33 % bzw. 27 %. Jeder investierte EUR 1,00 erbringt EUR 4,2 (Gesellschaft) bzw. EUR 2,2 (Fiskus) bei 60 % Abdeckung; EUR 4,6 bzw. EUR 2,4 bei 90 %.</w:t>
      </w:r>
    </w:p>
    <w:p>
      <w:r>
        <w:rPr>
          <w:b/>
          <w:sz w:val="19"/>
        </w:rPr>
        <w:t xml:space="preserve">Übertragbarkeit: </w:t>
      </w:r>
      <w:r>
        <w:rPr>
          <w:sz w:val="19"/>
        </w:rPr>
        <w:t>Polen, europäisches Sozialversicherungssystem, Impfkalender-Modellierung</w:t>
      </w:r>
    </w:p>
    <w:p>
      <w:r>
        <w:rPr>
          <w:color w:val="5A7D3A"/>
          <w:sz w:val="18"/>
        </w:rPr>
        <w:t>https://pubmed.ncbi.nlm.nih.gov/42717549/</w:t>
      </w:r>
    </w:p>
    <w:p>
      <w:pPr>
        <w:pStyle w:val="Heading2"/>
      </w:pPr>
      <w:r>
        <w:t>EV-A71-Impfung in Shanghai: 89,9 % Effektivität, Verschiebung zu Nicht-EV-A71-Serotypen</w:t>
      </w:r>
    </w:p>
    <w:p>
      <w:r>
        <w:rPr>
          <w:i/>
          <w:color w:val="666666"/>
          <w:sz w:val="18"/>
        </w:rPr>
        <w:t>Xu Z et al.  ·  Hum Vaccin Immunother  ·  09.09.2026  ·  PMID 42714139</w:t>
      </w:r>
    </w:p>
    <w:p>
      <w:r>
        <w:t>Test-Negative-Design-Studie zur Wirksamkeit der EV-A71-Impfung gegen Hand-Fuß-Mund-Krankheit in Shanghai 2009–2023, mit Vergleich prä- und post-Impfprogramm-Epidemiologie.</w:t>
      </w:r>
    </w:p>
    <w:p>
      <w:r>
        <w:rPr>
          <w:b/>
        </w:rPr>
        <w:t xml:space="preserve">Ergebnis: </w:t>
      </w:r>
      <w:r>
        <w:t>Gesamtwirksamkeit gegen EV-A71-assoziierte HFMD und Herpangina: 89,9 % (95%-KI: 74,5–96,0) für Zwei-Dosen-Serie, 67,9 % (95%-KI: 2,6–89,6) für Einzeldosis. Nach Impfprogramm-Einführung: Inzidenz-Reduktion 56,7 %, Schweregradreduktion 95,2 %, null Todesfälle (von 3 auf 0).</w:t>
      </w:r>
    </w:p>
    <w:p>
      <w:r>
        <w:rPr>
          <w:b/>
          <w:sz w:val="19"/>
        </w:rPr>
        <w:t xml:space="preserve">Übertragbarkeit: </w:t>
      </w:r>
      <w:r>
        <w:rPr>
          <w:sz w:val="19"/>
        </w:rPr>
        <w:t>China-Daten, aber Versorgungseffektivität in realer Welt gut dokumentiert; Serotyp-Shift hat globale Relevanz</w:t>
      </w:r>
    </w:p>
    <w:p>
      <w:r>
        <w:rPr>
          <w:color w:val="5A7D3A"/>
          <w:sz w:val="18"/>
        </w:rPr>
        <w:t>https://pubmed.ncbi.nlm.nih.gov/42714139/</w:t>
      </w:r>
    </w:p>
    <w:p>
      <w:pPr>
        <w:pStyle w:val="Heading2"/>
      </w:pPr>
      <w:r>
        <w:t>mRNA-Impfung verursacht reproduzierbare Transkript-Isoform-Verschiebungen</w:t>
      </w:r>
    </w:p>
    <w:p>
      <w:r>
        <w:rPr>
          <w:i/>
          <w:color w:val="666666"/>
          <w:sz w:val="18"/>
        </w:rPr>
        <w:t>Riemann L et al.  ·  Eur J Immunol  ·  Sept. 2026  ·  PMID 42670157</w:t>
      </w:r>
    </w:p>
    <w:p>
      <w:r>
        <w:t>Analyse longitudinaler RNA-Sequenzierungs-Daten zur Charakterisierung von Veränderungen in der Transkript-Isoform-Nutzung nach mRNA-Impfung.</w:t>
      </w:r>
    </w:p>
    <w:p>
      <w:r>
        <w:rPr>
          <w:b/>
        </w:rPr>
        <w:t xml:space="preserve">Ergebnis: </w:t>
      </w:r>
      <w:r>
        <w:t>mRNA-Impfung induziert schnelle und transiente Welle differentieller Transkript-Nutzung, die 24 h post-Impfung mit 131 veränderten Isoformen über 107 Gene gipfelt, vor Auflösung bis Tag 14. Muster reproduzierbar über mehrere Impfstoff-Kohorten (MVA-basiert, Influenza, Ebola).</w:t>
      </w:r>
    </w:p>
    <w:p>
      <w:r>
        <w:rPr>
          <w:b/>
          <w:sz w:val="19"/>
        </w:rPr>
        <w:t xml:space="preserve">Übertragbarkeit: </w:t>
      </w:r>
      <w:r>
        <w:rPr>
          <w:sz w:val="19"/>
        </w:rPr>
        <w:t>Grundlagenforschung ohne klinischen Endpunkt, nicht geeignet für Versorgungsanalyse</w:t>
      </w:r>
    </w:p>
    <w:p>
      <w:r>
        <w:rPr>
          <w:color w:val="5A7D3A"/>
          <w:sz w:val="18"/>
        </w:rPr>
        <w:t>https://pubmed.ncbi.nlm.nih.gov/42670157/</w:t>
      </w:r>
    </w:p>
    <w:p>
      <w:pPr>
        <w:pStyle w:val="Heading2"/>
      </w:pPr>
      <w:r>
        <w:t>Influenza- und Herpes-Zoster-Impfeffektivität bei Autoimmunerkrankungen: keine Unterschiede zu Gesunden</w:t>
      </w:r>
    </w:p>
    <w:p>
      <w:r>
        <w:rPr>
          <w:i/>
          <w:color w:val="666666"/>
          <w:sz w:val="18"/>
        </w:rPr>
        <w:t>Denz R et al.  ·  J Infect Public Health  ·  02.07.2026  ·  PMID 42398453</w:t>
      </w:r>
    </w:p>
    <w:p>
      <w:r>
        <w:t>Emulierte Zielstudien mit Anspruchsdaten einer großen deutschen Krankenkasse zur Vergleichbarkeit der Impfwirksamkeit zwischen Personen mit und ohne Autoimmunerkrankungen (MS, IBD, CIRD).</w:t>
      </w:r>
    </w:p>
    <w:p>
      <w:r>
        <w:rPr>
          <w:b/>
        </w:rPr>
        <w:t xml:space="preserve">Ergebnis: </w:t>
      </w:r>
      <w:r>
        <w:t>Herpes-Zoster-Wirksamkeit: 68,73 % (95%-KI: 55,75–77,91) bei AID, 60,30 % (55,59–64,52) ohne AID; Wirksamkeitsverhältnis 1,14 (0,93–1,30). Influenza-Wirksamkeit ohne relevante Unterschiede über vier Saisonen; alle Wirksamkeitsverhältnisse nahe 1.</w:t>
      </w:r>
    </w:p>
    <w:p>
      <w:r>
        <w:rPr>
          <w:b/>
          <w:sz w:val="19"/>
        </w:rPr>
        <w:t xml:space="preserve">Übertragbarkeit: </w:t>
      </w:r>
      <w:r>
        <w:rPr>
          <w:sz w:val="19"/>
        </w:rPr>
        <w:t>Deutsche Anspruchsdaten, vergleichbar mit Routine-Versorgung; MS, IBD, CIRD-Patienten relevant für Versorgung</w:t>
      </w:r>
    </w:p>
    <w:p>
      <w:r>
        <w:rPr>
          <w:color w:val="5A7D3A"/>
          <w:sz w:val="18"/>
        </w:rPr>
        <w:t>https://pubmed.ncbi.nlm.nih.gov/42398453/</w:t>
      </w:r>
    </w:p>
    <w:p>
      <w:pPr>
        <w:pStyle w:val="Heading1"/>
      </w:pPr>
      <w:r>
        <w:t>Aufgenommen am 10.09.2026</w:t>
      </w:r>
    </w:p>
    <w:p>
      <w:pPr>
        <w:pStyle w:val="Heading2"/>
      </w:pPr>
      <w:r>
        <w:t>RSV-Impfskepsis bei chinesischen Eltern: Informationssuche dominiert, nicht Vertrauen</w:t>
      </w:r>
    </w:p>
    <w:p>
      <w:r>
        <w:rPr>
          <w:i/>
          <w:color w:val="666666"/>
          <w:sz w:val="18"/>
        </w:rPr>
        <w:t>Zhu Y et al.  ·  Hum Vaccin Immunother  ·  31.12.2026  ·  PMID 42714313</w:t>
      </w:r>
    </w:p>
    <w:p>
      <w:r>
        <w:t>Querschnittstudie mit 4.422 Paaren (Schwangere und Partner) in acht chinesischen Provinzen zur Analyse psychologischer Vorstufen der Vaccine Hesitancy gegenüber RSV-Impfstoffen und RSV-Antikörpern.</w:t>
      </w:r>
    </w:p>
    <w:p>
      <w:r>
        <w:rPr>
          <w:b/>
        </w:rPr>
        <w:t xml:space="preserve">Ergebnis: </w:t>
      </w:r>
      <w:r>
        <w:t>Frauen zeigten marginal niedrigere 5C-Werte als Partner für mütterliche Impfung (45,88 vs. 46,25; Cohen's d = −0,06). Älteres Alter, ländlicher Wohnort und niedriges Einkommen waren unabhängig mit höherer Hesitancy assoziiert. 'Calculation' (aktive Informationssuche) scorte bei beiden Gruppen am höchsten.</w:t>
      </w:r>
    </w:p>
    <w:p>
      <w:r>
        <w:rPr>
          <w:b/>
          <w:sz w:val="19"/>
        </w:rPr>
        <w:t xml:space="preserve">Übertragbarkeit: </w:t>
      </w:r>
      <w:r>
        <w:rPr>
          <w:sz w:val="19"/>
        </w:rPr>
        <w:t>China-Studie; Psychologische Grundmuster der Vaccine Hesitancy international relevant.</w:t>
      </w:r>
    </w:p>
    <w:p>
      <w:r>
        <w:rPr>
          <w:color w:val="5A7D3A"/>
          <w:sz w:val="18"/>
        </w:rPr>
        <w:t>https://pubmed.ncbi.nlm.nih.gov/42714313/</w:t>
      </w:r>
    </w:p>
    <w:p>
      <w:pPr>
        <w:pStyle w:val="Heading2"/>
      </w:pPr>
      <w:r>
        <w:t>Gesundheitskommunikation gegen Impfskepsis bei Kinderimpfungen in Nigeria – Systematische Übersicht</w:t>
      </w:r>
    </w:p>
    <w:p>
      <w:r>
        <w:rPr>
          <w:i/>
          <w:color w:val="666666"/>
          <w:sz w:val="18"/>
        </w:rPr>
        <w:t>Ike TJ et al.  ·  Front Public Health  ·  25.08.2026  ·  PMID 42713528</w:t>
      </w:r>
    </w:p>
    <w:p>
      <w:r>
        <w:t>Systematische Übersicht mit thematischer Synthese von 12 Studien (2017–2026) zu Kommunikationsstrategien gegen elterliche Vaccine Hesitancy bei Kinderimpfungen in Nigeria.</w:t>
      </w:r>
    </w:p>
    <w:p>
      <w:r>
        <w:rPr>
          <w:b/>
        </w:rPr>
        <w:t xml:space="preserve">Ergebnis: </w:t>
      </w:r>
      <w:r>
        <w:t>Vier Strategietypen identifiziert: Medienkampagnen, staatlich gesponserte Kommunikation, Gemeinde-zentrierte Ansätze und telefonische Interventionen. Kulturelle Anpassung, Einbindung vertrauter Führungspersonen (religiöse/traditionelle Leader), Multi-Kanal-Ansatz und Responsivität auf strukturelle Barrieren und Informationsbedarf waren erfolgskritisch.</w:t>
      </w:r>
    </w:p>
    <w:p>
      <w:r>
        <w:rPr>
          <w:b/>
          <w:sz w:val="19"/>
        </w:rPr>
        <w:t xml:space="preserve">Übertragbarkeit: </w:t>
      </w:r>
      <w:r>
        <w:rPr>
          <w:sz w:val="19"/>
        </w:rPr>
        <w:t>Nigeria, niedriges Einkommen; Kommunikationsprinzipien zu Vaccine Hesitancy aber universal relevant.</w:t>
      </w:r>
    </w:p>
    <w:p>
      <w:r>
        <w:rPr>
          <w:color w:val="5A7D3A"/>
          <w:sz w:val="18"/>
        </w:rPr>
        <w:t>https://pubmed.ncbi.nlm.nih.gov/42713528/</w:t>
      </w:r>
    </w:p>
    <w:p>
      <w:pPr>
        <w:pStyle w:val="Heading2"/>
      </w:pPr>
      <w:r>
        <w:t>HPV-Impfquote 70% in Shenzhen: Psychologische Modelle verlieren Erklärungskraft, Kosten bleiben Barriere</w:t>
      </w:r>
    </w:p>
    <w:p>
      <w:r>
        <w:rPr>
          <w:i/>
          <w:color w:val="666666"/>
          <w:sz w:val="18"/>
        </w:rPr>
        <w:t>Liu Y et al.  ·  Front Public Health  ·  25.08.2026  ·  PMID 42712616</w:t>
      </w:r>
    </w:p>
    <w:p>
      <w:r>
        <w:t>Querschnittstudie mit 1.257 Frauen in Shenzhen zur Diskriminanzvalidität von Health Belief Model und 3C-Modell bei Restimpfverweigerung nach bereits 70% HPV-Impfquote.</w:t>
      </w:r>
    </w:p>
    <w:p>
      <w:r>
        <w:rPr>
          <w:b/>
        </w:rPr>
        <w:t xml:space="preserve">Ergebnis: </w:t>
      </w:r>
      <w:r>
        <w:t>Bei 70% Durchimpfung zeigten HBM und 3C-Skalen begrenzte Diskriminanzvalidität zwischen Geimpften und Ungeimpften (nur 2 von 10 Konstrukten signifikant, triviale Effektgrößen d=0,13). Hauptgründe für Nicht-Impfung: hohe Kosten (42,3%) und Sicherheitsbedenken (33,8%). Hukou moderierte wahrgenommene Barrieren suggestiv (nicht signifikant).</w:t>
      </w:r>
    </w:p>
    <w:p>
      <w:r>
        <w:rPr>
          <w:b/>
          <w:sz w:val="19"/>
        </w:rPr>
        <w:t xml:space="preserve">Übertragbarkeit: </w:t>
      </w:r>
      <w:r>
        <w:rPr>
          <w:sz w:val="19"/>
        </w:rPr>
        <w:t>China, hochquoten-Setting; zeigt, dass psychologische Standardmodelle bei Hochquoten an Grenzen stoßen.</w:t>
      </w:r>
    </w:p>
    <w:p>
      <w:r>
        <w:rPr>
          <w:color w:val="5A7D3A"/>
          <w:sz w:val="18"/>
        </w:rPr>
        <w:t>https://pubmed.ncbi.nlm.nih.gov/42712616/</w:t>
      </w:r>
    </w:p>
    <w:p>
      <w:pPr>
        <w:pStyle w:val="Heading2"/>
      </w:pPr>
      <w:r>
        <w:t>COVID-19-Impfung in Irland: Barrieren und Förderfaktoren im Implementierungsprozess</w:t>
      </w:r>
    </w:p>
    <w:p>
      <w:r>
        <w:rPr>
          <w:i/>
          <w:color w:val="666666"/>
          <w:sz w:val="18"/>
        </w:rPr>
        <w:t>Kandulu CC et al.  ·  Vaccine  ·  30.08.2026  ·  PMID 42407300</w:t>
      </w:r>
    </w:p>
    <w:p>
      <w:r>
        <w:t>Qualitative Studie mit 16 Stakeholdern zur Identifikation von Faktoren, die die Umsetzung des COVID-19-Impfprogramms in Irland auf nationaler, regionaler und lokaler Ebene beeinflussten.</w:t>
      </w:r>
    </w:p>
    <w:p>
      <w:r>
        <w:rPr>
          <w:b/>
        </w:rPr>
        <w:t xml:space="preserve">Ergebnis: </w:t>
      </w:r>
      <w:r>
        <w:t>Verzögerte oder sich ändernde Evidenz, Komplexität der Impfstoffe und Anpassung der Bereitstellungskonzepte (Skalierung auf Massenimpfzentren) waren kritische Faktoren. Ressourcenverfügbarkeit, organisatorische Infrastruktur, Policy-Rahmen, Kommunikation und Fachkompetenz waren entscheidend für die Umsetzung.</w:t>
      </w:r>
    </w:p>
    <w:p>
      <w:r>
        <w:rPr>
          <w:b/>
          <w:sz w:val="19"/>
        </w:rPr>
        <w:t xml:space="preserve">Übertragbarkeit: </w:t>
      </w:r>
      <w:r>
        <w:rPr>
          <w:sz w:val="19"/>
        </w:rPr>
        <w:t>Irland, vergleichbares europäisches Gesundheitssystem mit dezentraler Struktur.</w:t>
      </w:r>
    </w:p>
    <w:p>
      <w:r>
        <w:rPr>
          <w:color w:val="5A7D3A"/>
          <w:sz w:val="18"/>
        </w:rPr>
        <w:t>https://pubmed.ncbi.nlm.nih.gov/42407300/</w:t>
      </w:r>
    </w:p>
    <w:p>
      <w:pPr>
        <w:pStyle w:val="Heading2"/>
      </w:pPr>
      <w:r>
        <w:t>SARS-CoV-2-Auffrischimpfungen schützen Menschen mit Autoimmunerkrankungen vor schwerer COVID-19</w:t>
      </w:r>
    </w:p>
    <w:p>
      <w:r>
        <w:rPr>
          <w:i/>
          <w:color w:val="666666"/>
          <w:sz w:val="18"/>
        </w:rPr>
        <w:t>Kukreja NS et al.  ·  RMD Open  ·  03.07.2026  ·  PMID 42399080</w:t>
      </w:r>
    </w:p>
    <w:p>
      <w:r>
        <w:t>Nested Case-Control-Studie mit englischen Primärversorgungs- und Krankenhausdaten zu Schutzwirkung von COVID-19-Auffrischimpfungen bei erwachsenen Patienten mit immunmediierter Entzündungserkrankung (IMID).</w:t>
      </w:r>
    </w:p>
    <w:p>
      <w:r>
        <w:rPr>
          <w:b/>
        </w:rPr>
        <w:t xml:space="preserve">Ergebnis: </w:t>
      </w:r>
      <w:r>
        <w:t>Drei Auffrischimpfungen reduzierten Hospitalisierung/Tod um 80% (aOR 0,20; 95%-KI 0,15–0,28), zwei Dosen um 71% (aOR 0,29; 95%-KI 0,23–0,36), eine Dosis um 44% (aOR 0,56; 95%-KI 0,48–0,65). Schutz bestand innerhalb 365 Tage nach Impfung; Impfungen &gt;365 Tage alt zeigten keinen signifikanten Schutz.</w:t>
      </w:r>
    </w:p>
    <w:p>
      <w:r>
        <w:rPr>
          <w:b/>
          <w:sz w:val="19"/>
        </w:rPr>
        <w:t xml:space="preserve">Übertragbarkeit: </w:t>
      </w:r>
      <w:r>
        <w:rPr>
          <w:sz w:val="19"/>
        </w:rPr>
        <w:t>Englische primärärztliche Flächendaten mit Impfquoten und Krankenhausdokumentation, auf deutsches System übertragbar.</w:t>
      </w:r>
    </w:p>
    <w:p>
      <w:r>
        <w:rPr>
          <w:color w:val="5A7D3A"/>
          <w:sz w:val="18"/>
        </w:rPr>
        <w:t>https://pubmed.ncbi.nlm.nih.gov/42399080/</w:t>
      </w:r>
    </w:p>
    <w:p>
      <w:pPr>
        <w:pStyle w:val="Heading1"/>
      </w:pPr>
      <w:r>
        <w:t>Aufgenommen am 09.09.2026</w:t>
      </w:r>
    </w:p>
    <w:p>
      <w:pPr>
        <w:pStyle w:val="Heading2"/>
      </w:pPr>
      <w:r>
        <w:t>Eltern akzeptieren Meningokokken-B-Impfung für Säuglinge unter fachlicher Empfehlung</w:t>
      </w:r>
    </w:p>
    <w:p>
      <w:r>
        <w:rPr>
          <w:i/>
          <w:color w:val="666666"/>
          <w:sz w:val="18"/>
        </w:rPr>
        <w:t>Herrera-Restrepo O et al.  ·  Hum Vaccin Immunother  ·  08.09.2026  ·  PMID 42709765</w:t>
      </w:r>
    </w:p>
    <w:p>
      <w:r>
        <w:t>US-Online-Befragung von 1.051 Eltern mit Kindern ≤18 Monaten zu Impfbereitschaft gegen Meningokokken B.</w:t>
      </w:r>
    </w:p>
    <w:p>
      <w:r>
        <w:rPr>
          <w:b/>
        </w:rPr>
        <w:t xml:space="preserve">Ergebnis: </w:t>
      </w:r>
      <w:r>
        <w:t>73,4% Kinder vollständig geimpft. Von 266 mit unvollständiger Impfung: 59,8% besorgt um Nebenwirkungen. Ohne Fachempfehlung: 66,3% würden MenB-Impfung akzeptieren, mit Krankheitsinformation: 72,1%. Fachperson-Kommunikation war Schlüsselfaktor.</w:t>
      </w:r>
    </w:p>
    <w:p>
      <w:r>
        <w:rPr>
          <w:b/>
          <w:sz w:val="19"/>
        </w:rPr>
        <w:t xml:space="preserve">Übertragbarkeit: </w:t>
      </w:r>
      <w:r>
        <w:rPr>
          <w:sz w:val="19"/>
        </w:rPr>
        <w:t>USA-System, aber Bedeutung der Fachperson-Kommunikation universal anwendbar, nicht auf Registerdaten übertragbar.</w:t>
      </w:r>
    </w:p>
    <w:p>
      <w:r>
        <w:rPr>
          <w:color w:val="5A7D3A"/>
          <w:sz w:val="18"/>
        </w:rPr>
        <w:t>https://pubmed.ncbi.nlm.nih.gov/42709765/</w:t>
      </w:r>
    </w:p>
    <w:p>
      <w:pPr>
        <w:pStyle w:val="Heading2"/>
      </w:pPr>
      <w:r>
        <w:t>Pneumokokken-Impfung ab 50 Jahren hätte 520.000 Erkrankungsfälle verhindern können</w:t>
      </w:r>
    </w:p>
    <w:p>
      <w:r>
        <w:rPr>
          <w:i/>
          <w:color w:val="666666"/>
          <w:sz w:val="18"/>
        </w:rPr>
        <w:t>Sharomi O et al.  ·  Hum Vaccin Immunother  ·  08.09.2026  ·  PMID 42708971</w:t>
      </w:r>
    </w:p>
    <w:p>
      <w:r>
        <w:t>Modellrechnung zu epidemiologischen Effekten einer Senkung der Impfaltersgrenze für Erwachsene von 60 auf 50 Jahre in Deutschland mit V116 oder PCV20.</w:t>
      </w:r>
    </w:p>
    <w:p>
      <w:r>
        <w:rPr>
          <w:b/>
        </w:rPr>
        <w:t xml:space="preserve">Ergebnis: </w:t>
      </w:r>
      <w:r>
        <w:t>Bei Impfquote von 30%: V116 ab 50 Jahren führte zu 520.128 weniger Pneumokokkus-Erkrankungsfällen, PCV20 zu 325.694 weniger. IPD-Inzidenz im Jahr 10 mit V116 ab 50 Jahren: 20,5 pro 100.000 (vs. 22,1 ab 60 Jahren).</w:t>
      </w:r>
    </w:p>
    <w:p>
      <w:r>
        <w:rPr>
          <w:b/>
          <w:sz w:val="19"/>
        </w:rPr>
        <w:t xml:space="preserve">Übertragbarkeit: </w:t>
      </w:r>
      <w:r>
        <w:rPr>
          <w:sz w:val="19"/>
        </w:rPr>
        <w:t>Deutschland, Modellierung mit deutschen Serotyphaten und Epidemiologie, aber keine empirische Versorgungsdatenbasis.</w:t>
      </w:r>
    </w:p>
    <w:p>
      <w:r>
        <w:rPr>
          <w:color w:val="5A7D3A"/>
          <w:sz w:val="18"/>
        </w:rPr>
        <w:t>https://pubmed.ncbi.nlm.nih.gov/42708971/</w:t>
      </w:r>
    </w:p>
    <w:p>
      <w:pPr>
        <w:pStyle w:val="Heading2"/>
      </w:pPr>
      <w:r>
        <w:t>Mütter wählen Impfungen nach Sicherheit – Information und Vertrauen entscheidend</w:t>
      </w:r>
    </w:p>
    <w:p>
      <w:r>
        <w:rPr>
          <w:i/>
          <w:color w:val="666666"/>
          <w:sz w:val="18"/>
        </w:rPr>
        <w:t>Xing R et al.  ·  Front Public Health  ·  24.08.2026  ·  PMID 42707176</w:t>
      </w:r>
    </w:p>
    <w:p>
      <w:r>
        <w:t>Qualitative Studie mit 16 Müttern in China zu Entscheidungsfaktoren bei selbstgezahlten Kinderimpfungen.</w:t>
      </w:r>
    </w:p>
    <w:p>
      <w:r>
        <w:rPr>
          <w:b/>
        </w:rPr>
        <w:t xml:space="preserve">Ergebnis: </w:t>
      </w:r>
      <w:r>
        <w:t>Sicherheit war Voraussetzung vor Nutzenabwägung. Mütter navigierten asymmetrische Informationen, balancierten Vertrauen in Fachpersonen mit unabhängiger Verifikation. Kosten wirkten als Filter oder Priorisierungsmechanismus. Kommunikationsqualität mit Anbieter:innen prägte Vertrauensaufbau; unzureichende Beratung erhöhte Unsicherheit.</w:t>
      </w:r>
    </w:p>
    <w:p>
      <w:r>
        <w:rPr>
          <w:b/>
          <w:sz w:val="19"/>
        </w:rPr>
        <w:t xml:space="preserve">Übertragbarkeit: </w:t>
      </w:r>
      <w:r>
        <w:rPr>
          <w:sz w:val="19"/>
        </w:rPr>
        <w:t>China, aber Entscheidungsprozesse universal; Qualitätskriterien für Beratung auf deutsches System übertragbar.</w:t>
      </w:r>
    </w:p>
    <w:p>
      <w:r>
        <w:rPr>
          <w:color w:val="5A7D3A"/>
          <w:sz w:val="18"/>
        </w:rPr>
        <w:t>https://pubmed.ncbi.nlm.nih.gov/42707176/</w:t>
      </w:r>
    </w:p>
    <w:p>
      <w:pPr>
        <w:pStyle w:val="Heading2"/>
      </w:pPr>
      <w:r>
        <w:t>Impfkampagne in Onkologie erhöht Impfquoten deutlich</w:t>
      </w:r>
    </w:p>
    <w:p>
      <w:r>
        <w:rPr>
          <w:i/>
          <w:color w:val="666666"/>
          <w:sz w:val="18"/>
        </w:rPr>
        <w:t>Markus T et al.  ·  BMC Public Health  ·  07.09.2026  ·  PMID 42706520</w:t>
      </w:r>
    </w:p>
    <w:p>
      <w:r>
        <w:t>Kölner Universitätsklinik testete eine Interventionsstudie mit Patientenaufklärung, Personalschulung und vor-Ort-Impfung über 1,5 Jahre.</w:t>
      </w:r>
    </w:p>
    <w:p>
      <w:r>
        <w:rPr>
          <w:b/>
        </w:rPr>
        <w:t xml:space="preserve">Ergebnis: </w:t>
      </w:r>
      <w:r>
        <w:t>Gesamtimpfquote stieg von 43% auf 49%, Influenza von 37% auf 48%, Pneumokokken von 16% auf 36%, Herpes zoster von 22% auf 33%. Anteil vollständig geimpfter Patienten: 6% auf 16%.</w:t>
      </w:r>
    </w:p>
    <w:p>
      <w:r>
        <w:rPr>
          <w:b/>
          <w:sz w:val="19"/>
        </w:rPr>
        <w:t xml:space="preserve">Übertragbarkeit: </w:t>
      </w:r>
      <w:r>
        <w:rPr>
          <w:sz w:val="19"/>
        </w:rPr>
        <w:t>Deutschland, Universitätsklinik mit vergleichbarem Dokumentationssystem, Patient:innen mit Malignomen.</w:t>
      </w:r>
    </w:p>
    <w:p>
      <w:r>
        <w:rPr>
          <w:color w:val="5A7D3A"/>
          <w:sz w:val="18"/>
        </w:rPr>
        <w:t>https://pubmed.ncbi.nlm.nih.gov/42706520/</w:t>
      </w:r>
    </w:p>
    <w:p>
      <w:pPr>
        <w:pStyle w:val="Heading2"/>
      </w:pPr>
      <w:r>
        <w:t>COVID-19-Impfstoffsicherheit: Präklinische und klinische Pharmakovigilanz verglichen</w:t>
      </w:r>
    </w:p>
    <w:p>
      <w:r>
        <w:rPr>
          <w:i/>
          <w:color w:val="666666"/>
          <w:sz w:val="18"/>
        </w:rPr>
        <w:t>Gonin C et al.  ·  Regul Toxicol Pharmacol  ·  11.07.2026  ·  PMID 42435835</w:t>
      </w:r>
    </w:p>
    <w:p>
      <w:r>
        <w:t>Französische Behörde (ANSM) verglich Sicherheitsdaten aus Laborstudien und Arzneimittelüberwachung für fünf COVID-19-Impfstoffe auf Reaktogenität, Myokarditis und Thrombose.</w:t>
      </w:r>
    </w:p>
    <w:p>
      <w:r>
        <w:rPr>
          <w:b/>
        </w:rPr>
        <w:t xml:space="preserve">Ergebnis: </w:t>
      </w:r>
      <w:r>
        <w:t>Virale Vektorimpfstoffe zeigten höhere Reaktogenität. Myokarditis und Thrombose-Thrombozytopenie wurden nicht in präklinischen Studien vorhergesagt. Biomarker wie Troponin waren klinisch aussagekräftig; keine Korrelation zwischen präklinischen Parametern und klinischen Ergebnissen.</w:t>
      </w:r>
    </w:p>
    <w:p>
      <w:r>
        <w:rPr>
          <w:b/>
          <w:sz w:val="19"/>
        </w:rPr>
        <w:t xml:space="preserve">Übertragbarkeit: </w:t>
      </w:r>
      <w:r>
        <w:rPr>
          <w:sz w:val="19"/>
        </w:rPr>
        <w:t>Frankreich, nationale Pharmakovigilanz mit europäischem Zulassungskontext, auf Deutschland übertragbar.</w:t>
      </w:r>
    </w:p>
    <w:p>
      <w:r>
        <w:rPr>
          <w:color w:val="5A7D3A"/>
          <w:sz w:val="18"/>
        </w:rPr>
        <w:t>https://pubmed.ncbi.nlm.nih.gov/42435835/</w:t>
      </w:r>
    </w:p>
    <w:p>
      <w:pPr>
        <w:pStyle w:val="Heading2"/>
      </w:pPr>
      <w:r>
        <w:t>COVID-19- und Influenza-Impfung sequenziell in Dialyse-Patienten: Immunogenität stabil</w:t>
      </w:r>
    </w:p>
    <w:p>
      <w:r>
        <w:rPr>
          <w:i/>
          <w:color w:val="666666"/>
          <w:sz w:val="18"/>
        </w:rPr>
        <w:t>Bronder S et al.  ·  Sci Rep  ·  06.07.2026  ·  PMID 42410167</w:t>
      </w:r>
    </w:p>
    <w:p>
      <w:r>
        <w:t>Beobachtungsstudie mit 113 dialysepflichtigen Patienten zu sequenzieller Gabe von XBB.1.5-COVID-19-Impfung und Influenza-Impfung im Abstand von 14 Tagen.</w:t>
      </w:r>
    </w:p>
    <w:p>
      <w:r>
        <w:rPr>
          <w:b/>
        </w:rPr>
        <w:t xml:space="preserve">Ergebnis: </w:t>
      </w:r>
      <w:r>
        <w:t>Nach beiden Impfungen: robuste Steigerung humoraler und zellulärer Antworten. Influenza-Impfung beeinträchtigte Spike-spezifische Antikörper oder T-Zell-Antworten nicht. Spike-Reaktionen blieben 6 Monate stabil und über Niveau ungeimpfter Kontrollen.</w:t>
      </w:r>
    </w:p>
    <w:p>
      <w:r>
        <w:rPr>
          <w:b/>
          <w:sz w:val="19"/>
        </w:rPr>
        <w:t xml:space="preserve">Übertragbarkeit: </w:t>
      </w:r>
      <w:r>
        <w:rPr>
          <w:sz w:val="19"/>
        </w:rPr>
        <w:t>Deutschland, vergleichbares Dialyse-System, aber kleine Kohorte; Transfer auf Hochrisiko-Populationen möglich.</w:t>
      </w:r>
    </w:p>
    <w:p>
      <w:r>
        <w:rPr>
          <w:color w:val="5A7D3A"/>
          <w:sz w:val="18"/>
        </w:rPr>
        <w:t>https://pubmed.ncbi.nlm.nih.gov/42410167/</w:t>
      </w:r>
    </w:p>
    <w:p>
      <w:pPr>
        <w:pStyle w:val="Heading1"/>
      </w:pPr>
      <w:r>
        <w:t>Aufgenommen am 08.09.2026</w:t>
      </w:r>
    </w:p>
    <w:p>
      <w:pPr>
        <w:pStyle w:val="Heading2"/>
      </w:pPr>
      <w:r>
        <w:t>Influenzaimpfung in der Schwangerschaft: Wahrnehmungen, Barrieren und Einflussfaktoren im Iran</w:t>
      </w:r>
    </w:p>
    <w:p>
      <w:r>
        <w:rPr>
          <w:i/>
          <w:color w:val="666666"/>
          <w:sz w:val="18"/>
        </w:rPr>
        <w:t>Yousefi M et al.  ·  Hum Vaccin Immunother  ·  07.09.2026  ·  PMID 42704733</w:t>
      </w:r>
    </w:p>
    <w:p>
      <w:r>
        <w:t>Querschnittsbefragung von 630 schwangeren Frauen zu Determinanten der Influenzaimpfakzeptanz mittels kombiniertem Health Belief Model und Theory of Planned Behavior.</w:t>
      </w:r>
    </w:p>
    <w:p>
      <w:r>
        <w:rPr>
          <w:b/>
        </w:rPr>
        <w:t xml:space="preserve">Ergebnis: </w:t>
      </w:r>
      <w:r>
        <w:t>73% wurden während Schwangerschaft geimpft. Wahrgenommene Anfälligkeit und positive Einstellung waren Prädiktoren für Impfintention (β=0,18 bzw. 0,13), wahrgenommene Barrieren wirkten negativ (β=-0,15). Häufigste Barrieren: Nebenwirkungsangst (49,4%), eingeschränkter Zugang (28,2%), fehlende Ärztempfehlung (27,1%), unzureichende Information (34,1%).</w:t>
      </w:r>
    </w:p>
    <w:p>
      <w:r>
        <w:rPr>
          <w:b/>
          <w:sz w:val="19"/>
        </w:rPr>
        <w:t xml:space="preserve">Übertragbarkeit: </w:t>
      </w:r>
      <w:r>
        <w:rPr>
          <w:sz w:val="19"/>
        </w:rPr>
        <w:t>Iran; Erkenntnisse zu Kommunikationsbarrieren in Ländern mit schwächerer Gesundheitsinfrastruktur teilweise übertragbar</w:t>
      </w:r>
    </w:p>
    <w:p>
      <w:r>
        <w:rPr>
          <w:color w:val="5A7D3A"/>
          <w:sz w:val="18"/>
        </w:rPr>
        <w:t>https://pubmed.ncbi.nlm.nih.gov/42704733/</w:t>
      </w:r>
    </w:p>
    <w:p>
      <w:pPr>
        <w:pStyle w:val="Heading2"/>
      </w:pPr>
      <w:r>
        <w:t>Schulisches Engagement für HPV-Impfbewusstsein steigert Akzeptanz bei Mädchen in Malawi</w:t>
      </w:r>
    </w:p>
    <w:p>
      <w:r>
        <w:rPr>
          <w:i/>
          <w:color w:val="666666"/>
          <w:sz w:val="18"/>
        </w:rPr>
        <w:t>Lubanga AF et al.  ·  Hum Vaccin Immunother  ·  07.09.2026  ·  PMID 42703762</w:t>
      </w:r>
    </w:p>
    <w:p>
      <w:r>
        <w:t>Implementierungsfallstudie einer zweitägigen Schulen- und Gemeinde-Engagementinitiative zur HPV-Impfförderung in Lilongwe, Malawi (2025–2026).</w:t>
      </w:r>
    </w:p>
    <w:p>
      <w:r>
        <w:rPr>
          <w:b/>
        </w:rPr>
        <w:t xml:space="preserve">Ergebnis: </w:t>
      </w:r>
      <w:r>
        <w:t>Über 500 Mädchen (9–14 Jahre) wurden durch schulische Aufklärung erreicht, 45 Gemeindeakteure eingebunden, 100 berechtigte Mädchen geimpft. Zentrale Erfolgsfaktoren: Vertrauen zu Impfpersonal, Schulbeteiligung, Dialogformate, Unterstützung von Gemeindeleitern. Identifizierte Bedenken: Fertilitätsangst, Impfstoffsicherheit, Geschlechtszielung.</w:t>
      </w:r>
    </w:p>
    <w:p>
      <w:r>
        <w:rPr>
          <w:b/>
          <w:sz w:val="19"/>
        </w:rPr>
        <w:t xml:space="preserve">Übertragbarkeit: </w:t>
      </w:r>
      <w:r>
        <w:rPr>
          <w:sz w:val="19"/>
        </w:rPr>
        <w:t>Subsahara-Afrika; Strategien für vertrauensbasierte Gemeindemobilisierung teilweise auf Deutschland übertragbar</w:t>
      </w:r>
    </w:p>
    <w:p>
      <w:r>
        <w:rPr>
          <w:color w:val="5A7D3A"/>
          <w:sz w:val="18"/>
        </w:rPr>
        <w:t>https://pubmed.ncbi.nlm.nih.gov/42703762/</w:t>
      </w:r>
    </w:p>
    <w:p>
      <w:pPr>
        <w:pStyle w:val="Heading2"/>
      </w:pPr>
      <w:r>
        <w:t>COVID-19-Auffrischungsimpfung: Ländliche und städtische Disparitäten in Südbangladesh</w:t>
      </w:r>
    </w:p>
    <w:p>
      <w:r>
        <w:rPr>
          <w:i/>
          <w:color w:val="666666"/>
          <w:sz w:val="18"/>
        </w:rPr>
        <w:t>Nath Roy D et al.  ·  Risk Anal  ·  Sept. 2026  ·  PMID 42702940</w:t>
      </w:r>
    </w:p>
    <w:p>
      <w:r>
        <w:t>Querschnittsbeobachtungsstudie (Dezember 2023–März 2024) zu Akzeptanz und Prädiktoren der Auffrischungsimpfung in ländlichen (n=379) und städtischen (n=328) Populationen in Südbangladesh.</w:t>
      </w:r>
    </w:p>
    <w:p>
      <w:r>
        <w:rPr>
          <w:b/>
        </w:rPr>
        <w:t xml:space="preserve">Ergebnis: </w:t>
      </w:r>
      <w:r>
        <w:t>Akzeptanzquote 69,9% insgesamt, ländlich 62,5% (95%-KI: 60,6–64,8) vs. urban 78,4% (95%-KI: 76,2–80,6; p&lt;0,001). Nebenwirkungsangst negativ assoziiert in beiden Settings. Ländlich: Kommunikation, Vertrauen, sozialer Einfluss positiv assoziiert. Urban: Gemeinschaftsschutz und Risiko-Nutzen-Verhältnis signifikant; Unabhängigkeit von Nicht-Pharmaka negativ assoziiert.</w:t>
      </w:r>
    </w:p>
    <w:p>
      <w:r>
        <w:rPr>
          <w:b/>
          <w:sz w:val="19"/>
        </w:rPr>
        <w:t xml:space="preserve">Übertragbarkeit: </w:t>
      </w:r>
      <w:r>
        <w:rPr>
          <w:sz w:val="19"/>
        </w:rPr>
        <w:t>Bangladesch; Erkenntnisse zu Vertrauenslücken und Kommunikationshindernissen in Ländern mit niedriger Impfquote</w:t>
      </w:r>
    </w:p>
    <w:p>
      <w:r>
        <w:rPr>
          <w:color w:val="5A7D3A"/>
          <w:sz w:val="18"/>
        </w:rPr>
        <w:t>https://pubmed.ncbi.nlm.nih.gov/42702940/</w:t>
      </w:r>
    </w:p>
    <w:p>
      <w:pPr>
        <w:pStyle w:val="Heading2"/>
      </w:pPr>
      <w:r>
        <w:t>COVID-19-Impfquote bei Psychiatriepatienten in Bayern deutlich höher als in der Bevölkerung</w:t>
      </w:r>
    </w:p>
    <w:p>
      <w:r>
        <w:rPr>
          <w:i/>
          <w:color w:val="666666"/>
          <w:sz w:val="18"/>
        </w:rPr>
        <w:t>Aksar A et al.  ·  J Psychiatr Res  ·  12.08.2026  ·  PMID 42603342</w:t>
      </w:r>
    </w:p>
    <w:p>
      <w:r>
        <w:t>Retrospektive Analyse der COVID-19-Impfquoten bei psychiatrischen Patienten in stationärer und ambulanter Behandlung in Südostbayern (2022–2023) im Vergleich zur Allgemeinbevölkerung.</w:t>
      </w:r>
    </w:p>
    <w:p>
      <w:r>
        <w:rPr>
          <w:b/>
        </w:rPr>
        <w:t xml:space="preserve">Ergebnis: </w:t>
      </w:r>
      <w:r>
        <w:t>Ungeimpftenquote in der Studiengruppe (n=3.734 Fälle) 13,6% vs. Bayerndurchschnitt 15–20%; höhere Quoten bei älteren und weiblichen Patienten, niedrigere bei Alkohol- und Substanzabhängigen. Ergebnis deuted auf positive Effekte von stationären Impfangeboten hin, bedarf aber weiterer Erforschung.</w:t>
      </w:r>
    </w:p>
    <w:p>
      <w:r>
        <w:rPr>
          <w:b/>
          <w:sz w:val="19"/>
        </w:rPr>
        <w:t xml:space="preserve">Übertragbarkeit: </w:t>
      </w:r>
      <w:r>
        <w:rPr>
          <w:sz w:val="19"/>
        </w:rPr>
        <w:t>Deutsche Klinikdaten, eigene Impfdokumentation ohne Registeranbindung</w:t>
      </w:r>
    </w:p>
    <w:p>
      <w:r>
        <w:rPr>
          <w:color w:val="5A7D3A"/>
          <w:sz w:val="18"/>
        </w:rPr>
        <w:t>https://pubmed.ncbi.nlm.nih.gov/42603342/</w:t>
      </w:r>
    </w:p>
    <w:p>
      <w:pPr>
        <w:pStyle w:val="Heading2"/>
      </w:pPr>
      <w:r>
        <w:t>Neustart in der RSV-Prävention: Nirsevimab und mütterliche Vakzination reduzieren Hospitalisierungen</w:t>
      </w:r>
    </w:p>
    <w:p>
      <w:r>
        <w:rPr>
          <w:i/>
          <w:color w:val="666666"/>
          <w:sz w:val="18"/>
        </w:rPr>
        <w:t>Marchetti F  ·  Recenti Prog Med  ·  Juli 2026  ·  PMID 42459097</w:t>
      </w:r>
    </w:p>
    <w:p>
      <w:r>
        <w:t>Narrativer Übersichtsartikel zur neuen Ärade der RSV-Prävention in früher Kindheit durch langwirksames monoklonales Antikörper Nirsevimab und mütterliche RSVpreF-Impfung basierend auf Real-World Evidence.</w:t>
      </w:r>
    </w:p>
    <w:p>
      <w:r>
        <w:rPr>
          <w:b/>
        </w:rPr>
        <w:t xml:space="preserve">Ergebnis: </w:t>
      </w:r>
      <w:r>
        <w:t>Großangelegte bevölkerungsbasierte Studien (z.B. französische Studie mit &gt;160.000 Säuglingen) belegen wesentliche Reduktion von RSV-bedingten Hospitalisierungen, intensivmedizinischer Aufnahmen und Beatmungsbedarf bei Nirsevimab-geimpften Säuglingen. Mütterliche Impfung schützt transplazentar bei optimaler Timing; Nirsevimab bietet unabhängige Vorhersagbarkeit.</w:t>
      </w:r>
    </w:p>
    <w:p>
      <w:r>
        <w:rPr>
          <w:b/>
          <w:sz w:val="19"/>
        </w:rPr>
        <w:t xml:space="preserve">Übertragbarkeit: </w:t>
      </w:r>
      <w:r>
        <w:rPr>
          <w:sz w:val="19"/>
        </w:rPr>
        <w:t>Frankreich und europäische Daten zur Implementierungserfahrung; nationales Impfprogramm für Deutschland noch zu entwickeln</w:t>
      </w:r>
    </w:p>
    <w:p>
      <w:r>
        <w:rPr>
          <w:color w:val="5A7D3A"/>
          <w:sz w:val="18"/>
        </w:rPr>
        <w:t>https://pubmed.ncbi.nlm.nih.gov/42459097/</w:t>
      </w:r>
    </w:p>
    <w:p>
      <w:pPr>
        <w:pStyle w:val="Heading2"/>
      </w:pPr>
      <w:r>
        <w:t>Immunitätslücken bei Diphtherie, Tetanus und Keuchhusten in Norwegen</w:t>
      </w:r>
    </w:p>
    <w:p>
      <w:r>
        <w:rPr>
          <w:i/>
          <w:color w:val="666666"/>
          <w:sz w:val="18"/>
        </w:rPr>
        <w:t>Aase A et al.  ·  Vaccine  ·  30.08.2026  ·  PMID 42413320</w:t>
      </w:r>
    </w:p>
    <w:p>
      <w:r>
        <w:t>Serologische Querschnittsstudie an repräsentativer norwegischer Bevölkerung (n=3.051, Alter 2–95 Jahre) zur Antikörperprävalenz gegen sieben Impfkrankheiten.</w:t>
      </w:r>
    </w:p>
    <w:p>
      <w:r>
        <w:rPr>
          <w:b/>
        </w:rPr>
        <w:t xml:space="preserve">Ergebnis: </w:t>
      </w:r>
      <w:r>
        <w:t>39,8% der Frauen und 25,0% der Männer ≥60 Jahre unter Schutzwert Diphtherie; 76,5% bzw. 41,7% unter Schutzwert Tetanus. Bei 6-Jährigen: 20,7% unter Diphtherie-, 25,0% unter Tetanus-Schutzwert vor Auffrischung. Masern und Röteln ausreichend protektiv in allen Altersgruppen.</w:t>
      </w:r>
    </w:p>
    <w:p>
      <w:r>
        <w:rPr>
          <w:b/>
          <w:sz w:val="19"/>
        </w:rPr>
        <w:t xml:space="preserve">Übertragbarkeit: </w:t>
      </w:r>
      <w:r>
        <w:rPr>
          <w:sz w:val="19"/>
        </w:rPr>
        <w:t>Nordeuropäisches Impfregister ermöglicht präzise Kohortenabfrage; Empfehlungskalender und Auffrischungsintervalle nicht direkt auf Deutschland übertragbar</w:t>
      </w:r>
    </w:p>
    <w:p>
      <w:r>
        <w:rPr>
          <w:color w:val="5A7D3A"/>
          <w:sz w:val="18"/>
        </w:rPr>
        <w:t>https://pubmed.ncbi.nlm.nih.gov/42413320/</w:t>
      </w:r>
    </w:p>
    <w:p>
      <w:pPr>
        <w:pStyle w:val="Heading1"/>
      </w:pPr>
      <w:r>
        <w:t>Aufgenommen am 07.09.2026</w:t>
      </w:r>
    </w:p>
    <w:p>
      <w:pPr>
        <w:pStyle w:val="Heading2"/>
      </w:pPr>
      <w:r>
        <w:t>HPV-Impfbereitschaft männlicher Studierender: Krankheitserkennung stärker als Dienstleistungsbewusstsein</w:t>
      </w:r>
    </w:p>
    <w:p>
      <w:r>
        <w:rPr>
          <w:i/>
          <w:color w:val="666666"/>
          <w:sz w:val="18"/>
        </w:rPr>
        <w:t>Zhang Y et al.  ·  Front Public Health  ·  21.08.2026  ·  PMID 42698614</w:t>
      </w:r>
    </w:p>
    <w:p>
      <w:r>
        <w:t>Querschnittsumfrage mit 4.260 männlichen Studierenden in China (Festland, Hongkong, Macau, Ausland) zur Bereitschaft für Grenzüberschreitungs-HPV-Impfung (2025–2026).</w:t>
      </w:r>
    </w:p>
    <w:p>
      <w:r>
        <w:rPr>
          <w:b/>
        </w:rPr>
        <w:t xml:space="preserve">Ergebnis: </w:t>
      </w:r>
      <w:r>
        <w:t>74,7% (3.182/4.260) zeigten Bereitschaft für Grenzüberschreitung. Krankheitserkennung war dominantester Faktor: Teilnehmer ohne Erkennung ≥1 HPV-assoziierter Erkrankung hatten deutlich niedrigere Quote (aOR=0,041, 95%-KI 0,017–0,095, p&lt;0,001). Bewusstsein für Grenzüberschreitungsangebot schwach positiv (aOR=1,233, p=0,008). Schulische HPV-Aufklärung (aOR=1,203, p=0,044) und höheres Klassenniveau (aOR=1,111 pro Stufe, p=0,012) assoziiert.</w:t>
      </w:r>
    </w:p>
    <w:p>
      <w:r>
        <w:rPr>
          <w:b/>
          <w:sz w:val="19"/>
        </w:rPr>
        <w:t xml:space="preserve">Übertragbarkeit: </w:t>
      </w:r>
      <w:r>
        <w:rPr>
          <w:sz w:val="19"/>
        </w:rPr>
        <w:t>China – kulturell/system-spezifisch, Erkenntnisse zu Edukationsbedarf und männlicher Impfskepsis aber verallgemeinerbar</w:t>
      </w:r>
    </w:p>
    <w:p>
      <w:r>
        <w:rPr>
          <w:color w:val="5A7D3A"/>
          <w:sz w:val="18"/>
        </w:rPr>
        <w:t>https://pubmed.ncbi.nlm.nih.gov/42698614/</w:t>
      </w:r>
    </w:p>
    <w:p>
      <w:pPr>
        <w:pStyle w:val="Heading2"/>
      </w:pPr>
      <w:r>
        <w:t>Neutralisierende Antikörper senken Risiko für schwere COVID-19 um durchschnittlich 43 %</w:t>
      </w:r>
    </w:p>
    <w:p>
      <w:r>
        <w:rPr>
          <w:i/>
          <w:color w:val="666666"/>
          <w:sz w:val="18"/>
        </w:rPr>
        <w:t>Elias KM et al.  ·  PLoS Med  ·  02.09.2026  ·  PMID 42685247</w:t>
      </w:r>
    </w:p>
    <w:p>
      <w:r>
        <w:t>Meta-Analyse von 25 klinischen Studien zur Wirksamkeit vakzininduzierten Neutralisierungstitern gegen Progression zu schwerem COVID-19 bei Infizierten.</w:t>
      </w:r>
    </w:p>
    <w:p>
      <w:r>
        <w:rPr>
          <w:b/>
        </w:rPr>
        <w:t xml:space="preserve">Ergebnis: </w:t>
      </w:r>
      <w:r>
        <w:t>Zehnfacher Anstieg der Neutralisierungstiter senkt relatives Progressionsrisiko zu schwerer Erkrankung um 43% (RR 0,57, 95%-KI [0,51–0,64], p&lt;0,001). Schutz durch Impfung übertrifft passiv verabreichte Antikörper, deutet aber auch auf zusätzliche T-Zell-Mechanismen hin.</w:t>
      </w:r>
    </w:p>
    <w:p>
      <w:r>
        <w:rPr>
          <w:b/>
          <w:sz w:val="19"/>
        </w:rPr>
        <w:t xml:space="preserve">Übertragbarkeit: </w:t>
      </w:r>
      <w:r>
        <w:rPr>
          <w:sz w:val="19"/>
        </w:rPr>
        <w:t>Australien/international – laborbasierte Korrelate, mechanistischer Befund übertragbar auf deutsche Population</w:t>
      </w:r>
    </w:p>
    <w:p>
      <w:r>
        <w:rPr>
          <w:color w:val="5A7D3A"/>
          <w:sz w:val="18"/>
        </w:rPr>
        <w:t>https://pubmed.ncbi.nlm.nih.gov/42685247/</w:t>
      </w:r>
    </w:p>
    <w:p>
      <w:pPr>
        <w:pStyle w:val="Heading2"/>
      </w:pPr>
      <w:r>
        <w:t>Pneumokokken-Impfquote bei immunsupprimierten Personen in England deutlich unter Zielwert</w:t>
      </w:r>
    </w:p>
    <w:p>
      <w:r>
        <w:rPr>
          <w:i/>
          <w:color w:val="666666"/>
          <w:sz w:val="18"/>
        </w:rPr>
        <w:t>Meza B et al.  ·  JMIR Res Protoc  ·  09.07.2026  ·  PMID 42424613</w:t>
      </w:r>
    </w:p>
    <w:p>
      <w:r>
        <w:t>Retrospektive Kohortenstudie mit Registerdaten von 2025 bis 2026 zur Impfquote bei Erwachsenen mit Immunsuppression in primärärztlicher Versorgung (Oxford-RCGP-Netzwerk).</w:t>
      </w:r>
    </w:p>
    <w:p>
      <w:r>
        <w:rPr>
          <w:b/>
        </w:rPr>
        <w:t xml:space="preserve">Ergebnis: </w:t>
      </w:r>
      <w:r>
        <w:t>Pneumokokken-Impfquote in der immunsupprimierten Population bleibt eine Unbekannte, die Studie befindet sich noch in Analyse (Ergebnisse für 2026 erwartet). Ziel: Disaggregierte Berichte über Impfquoten nach Immunsuppression-Grund, sozioökonomischem Gradienten und ethnischer Gruppe. Erkenntes Problem: Breite Lücke bei hochrisikogruppenspezifischen Impfquoten-Daten.</w:t>
      </w:r>
    </w:p>
    <w:p>
      <w:r>
        <w:rPr>
          <w:b/>
          <w:sz w:val="19"/>
        </w:rPr>
        <w:t xml:space="preserve">Übertragbarkeit: </w:t>
      </w:r>
      <w:r>
        <w:rPr>
          <w:sz w:val="19"/>
        </w:rPr>
        <w:t>Großbritannien – vergleichbares NHS-System, aber kein deutsches Impfregister; Qualität hängt von Registerdatenverfügbarkeit ab</w:t>
      </w:r>
    </w:p>
    <w:p>
      <w:r>
        <w:rPr>
          <w:color w:val="5A7D3A"/>
          <w:sz w:val="18"/>
        </w:rPr>
        <w:t>https://pubmed.ncbi.nlm.nih.gov/42424613/</w:t>
      </w:r>
    </w:p>
    <w:p>
      <w:pPr>
        <w:pStyle w:val="Heading2"/>
      </w:pPr>
      <w:r>
        <w:t>COVID-Impfmandates als Anreiz-Instrumente: 7S-Rahmen für Mandatspolitik</w:t>
      </w:r>
    </w:p>
    <w:p>
      <w:r>
        <w:rPr>
          <w:i/>
          <w:color w:val="666666"/>
          <w:sz w:val="18"/>
        </w:rPr>
        <w:t>Duong H et al.  ·  Glob Public Health  ·  31.12.2026  ·  PMID 42421423</w:t>
      </w:r>
    </w:p>
    <w:p>
      <w:r>
        <w:t>Qualitative Analyse von Impfmandaten in sechs Ländern (Australien, Frankreich, Israel, Malaysia, Singapur, Vietnam) zur Unterscheidung zwischen Zwang und Anreizen.</w:t>
      </w:r>
    </w:p>
    <w:p>
      <w:r>
        <w:rPr>
          <w:b/>
        </w:rPr>
        <w:t xml:space="preserve">Ergebnis: </w:t>
      </w:r>
      <w:r>
        <w:t>Mandate funktionierten überwiegend als Anreize zur Wiederherstellung von Grundrechten (Arbeit, Reisen, öffentliche Räume), die durch Lockdowns entzogen wurden. Theoretischer Rahmen zeigt: Konzeptionelle Definition muss zwischen «Entziehung-Wiederherstellung» und echtem Zwang unterscheiden. Kernaussage für Mandatsforschung: Kontext von Pandemie-Restriktionen prägt Wahrnehmung und Effektivität erheblich.</w:t>
      </w:r>
    </w:p>
    <w:p>
      <w:r>
        <w:rPr>
          <w:b/>
          <w:sz w:val="19"/>
        </w:rPr>
        <w:t xml:space="preserve">Übertragbarkeit: </w:t>
      </w:r>
      <w:r>
        <w:rPr>
          <w:sz w:val="19"/>
        </w:rPr>
        <w:t>Internationale Perspektive – Policyanalyse, weniger direkt auf deutsches System übertragbar, aber konzeptuell relevant für Impfpflicht-Debatten</w:t>
      </w:r>
    </w:p>
    <w:p>
      <w:r>
        <w:rPr>
          <w:color w:val="5A7D3A"/>
          <w:sz w:val="18"/>
        </w:rPr>
        <w:t>https://pubmed.ncbi.nlm.nih.gov/42421423/</w:t>
      </w:r>
    </w:p>
    <w:p>
      <w:pPr>
        <w:pStyle w:val="Heading2"/>
      </w:pPr>
      <w:r>
        <w:t>Video-Intervention steigert Impfbewusstsein bei psychischen Erkrankungen, nicht Impfbereitschaft</w:t>
      </w:r>
    </w:p>
    <w:p>
      <w:r>
        <w:rPr>
          <w:i/>
          <w:color w:val="666666"/>
          <w:sz w:val="18"/>
        </w:rPr>
        <w:t>Huth D et al.  ·  Front Public Health  ·  23.06.2026  ·  PMID 42415765</w:t>
      </w:r>
    </w:p>
    <w:p>
      <w:r>
        <w:t>Randomisierte Online-Studie mit 639 deutschsprachigen Teilnehmern (24,4% mit selbstberichteter psychischer Störung) zur Wirkung eines Aufklärungsvideos auf COVID-19-Impfakzeptanz bei vulnerablen Gruppen.</w:t>
      </w:r>
    </w:p>
    <w:p>
      <w:r>
        <w:rPr>
          <w:b/>
        </w:rPr>
        <w:t xml:space="preserve">Ergebnis: </w:t>
      </w:r>
      <w:r>
        <w:t>Video erhöhte Risikobewusstsein signifikant (p=0,010, d=0,21) und Verständnis für Impfung bei psychischen Erkrankungen (p=0,033, d=0,17), steigerte aber nicht die Impfbereitschaft. Versorgungslücke bleibt offen: Psychisch kranke Menschen zeigen höhere wahrgenommene Anfälligkeit (p=0,032, d=0,36), aber Aufklärung allein führt zu keinem Verhaltenswechsel.</w:t>
      </w:r>
    </w:p>
    <w:p>
      <w:r>
        <w:rPr>
          <w:b/>
          <w:sz w:val="19"/>
        </w:rPr>
        <w:t xml:space="preserve">Übertragbarkeit: </w:t>
      </w:r>
      <w:r>
        <w:rPr>
          <w:sz w:val="19"/>
        </w:rPr>
        <w:t>Deutschland – Teilnehmer aus deutscher Bevölkerung, lokale Vulnerabilitätsgruppen</w:t>
      </w:r>
    </w:p>
    <w:p>
      <w:r>
        <w:rPr>
          <w:color w:val="5A7D3A"/>
          <w:sz w:val="18"/>
        </w:rPr>
        <w:t>https://pubmed.ncbi.nlm.nih.gov/42415765/</w:t>
      </w:r>
    </w:p>
    <w:p>
      <w:pPr>
        <w:pStyle w:val="Heading1"/>
      </w:pPr>
      <w:r>
        <w:t>Aufgenommen am 06.09.2026</w:t>
      </w:r>
    </w:p>
    <w:p>
      <w:pPr>
        <w:pStyle w:val="Heading2"/>
      </w:pPr>
      <w:r>
        <w:t>Tetanus-Schutzimpfungen bei Frauen in Afghanistan: massive Deckungslücken</w:t>
      </w:r>
    </w:p>
    <w:p>
      <w:r>
        <w:rPr>
          <w:i/>
          <w:color w:val="666666"/>
          <w:sz w:val="18"/>
        </w:rPr>
        <w:t>Stanikzai MH et al.  ·  Hum Vaccin Immunother  ·  02.09.2026  ·  PMID 42683523</w:t>
      </w:r>
    </w:p>
    <w:p>
      <w:r>
        <w:t>Nationale Survey mit 12450 verheirateten Frauen in Afghanistan untersuchte Tetanus-Impfquoten und deren Assoziationen.</w:t>
      </w:r>
    </w:p>
    <w:p>
      <w:r>
        <w:rPr>
          <w:b/>
        </w:rPr>
        <w:t xml:space="preserve">Ergebnis: </w:t>
      </w:r>
      <w:r>
        <w:t>Nur 49,9% mit adäquater TT-Immunisierung. Höhere Quote bei sekundärer/höherer Bildung (AOR=1,57), bei ≥4 Antenatal-Care-Besuchen (AOR=4,67), in Regionen mit besserer Infrastruktur. Geringere Quote bei Frauen ≥40 Jahren (AOR=0,76) und in Ost- und Westregionen. Zeigt massive Ungleichheit.</w:t>
      </w:r>
    </w:p>
    <w:p>
      <w:r>
        <w:rPr>
          <w:b/>
          <w:sz w:val="19"/>
        </w:rPr>
        <w:t xml:space="preserve">Übertragbarkeit: </w:t>
      </w:r>
      <w:r>
        <w:rPr>
          <w:sz w:val="19"/>
        </w:rPr>
        <w:t>Afghanistan-spezifisch, aber Methode zur Identifikation von Zugangsbarrieren übertragbar</w:t>
      </w:r>
    </w:p>
    <w:p>
      <w:r>
        <w:rPr>
          <w:color w:val="5A7D3A"/>
          <w:sz w:val="18"/>
        </w:rPr>
        <w:t>https://pubmed.ncbi.nlm.nih.gov/42683523/</w:t>
      </w:r>
    </w:p>
    <w:p>
      <w:pPr>
        <w:pStyle w:val="Heading2"/>
      </w:pPr>
      <w:r>
        <w:t>Masern-Antikörperwaning gefährdet Herdenimmunität trotz hoher Impfquoten</w:t>
      </w:r>
    </w:p>
    <w:p>
      <w:r>
        <w:rPr>
          <w:i/>
          <w:color w:val="666666"/>
          <w:sz w:val="18"/>
        </w:rPr>
        <w:t>Wang W et al.  ·  Front Immunol  ·  18.08.2026  ·  PMID 42682682</w:t>
      </w:r>
    </w:p>
    <w:p>
      <w:r>
        <w:t>Chinesische Serologie-Studie mit 2083 Teilnehmern untersuchte Masern-Antikörper-Persistenz und Immunitätslücken nach Elimination des Wildvirus.</w:t>
      </w:r>
    </w:p>
    <w:p>
      <w:r>
        <w:rPr>
          <w:b/>
        </w:rPr>
        <w:t xml:space="preserve">Ergebnis: </w:t>
      </w:r>
      <w:r>
        <w:t>Gesamte Seropositiv-Quote 84,59%, aber Antikörper-Spiegel zeigten nicht-linearen Rückgang mit Zeit. Kinder 8–17 Monate: nur 28,13% Seropositiv. Jedes Jahr seit letzter Impfung erhöhte Seronegativi-Risiko um 11% (AOR=1,11). Dies zeigt erhebliche Immunitätslücken trotz hoher MCV-Abdeckung.</w:t>
      </w:r>
    </w:p>
    <w:p>
      <w:r>
        <w:rPr>
          <w:b/>
          <w:sz w:val="19"/>
        </w:rPr>
        <w:t xml:space="preserve">Übertragbarkeit: </w:t>
      </w:r>
      <w:r>
        <w:rPr>
          <w:sz w:val="19"/>
        </w:rPr>
        <w:t>Epidemiologische Erkenntnisse übertragbar auf systematische Surveillance-Überwachung</w:t>
      </w:r>
    </w:p>
    <w:p>
      <w:r>
        <w:rPr>
          <w:color w:val="5A7D3A"/>
          <w:sz w:val="18"/>
        </w:rPr>
        <w:t>https://pubmed.ncbi.nlm.nih.gov/42682682/</w:t>
      </w:r>
    </w:p>
    <w:p>
      <w:pPr>
        <w:pStyle w:val="Heading2"/>
      </w:pPr>
      <w:r>
        <w:t>HPV-Impfschutz bestätigt trotz hoher Prävalenz nicht-geimpfter Typen</w:t>
      </w:r>
    </w:p>
    <w:p>
      <w:r>
        <w:rPr>
          <w:i/>
          <w:color w:val="666666"/>
          <w:sz w:val="18"/>
        </w:rPr>
        <w:t>Gross S et al.  ·  Arch Virol  ·  28.08.2026  ·  PMID 42663706</w:t>
      </w:r>
    </w:p>
    <w:p>
      <w:r>
        <w:t>Französische Studie untersuchte HPV-Genotypen bei 464 geimpften Frauen zur Bewertung der Impfeffektivität unter Alltagsbedingungen.</w:t>
      </w:r>
    </w:p>
    <w:p>
      <w:r>
        <w:rPr>
          <w:b/>
        </w:rPr>
        <w:t xml:space="preserve">Ergebnis: </w:t>
      </w:r>
      <w:r>
        <w:t>HPV16/18-Prävalenz lag bei nur 4,3%, was die Impfeffektivität bestätigt. Allerdings wurden hochrisiko-HPV-Typen (52, 51, 56) in 8,2–5,8% nachgewiesen, die nicht in Bivalent- oder Quadrivalent-Impfstoffen enthalten sind. Dies unterstreicht die Überlegenheit nonavalenter Impfstoffe.</w:t>
      </w:r>
    </w:p>
    <w:p>
      <w:r>
        <w:rPr>
          <w:b/>
          <w:sz w:val="19"/>
        </w:rPr>
        <w:t xml:space="preserve">Übertragbarkeit: </w:t>
      </w:r>
      <w:r>
        <w:rPr>
          <w:sz w:val="19"/>
        </w:rPr>
        <w:t>Frankreich, vergleichbares Versicherungssystem, Screening-Daten verfügbar</w:t>
      </w:r>
    </w:p>
    <w:p>
      <w:r>
        <w:rPr>
          <w:color w:val="5A7D3A"/>
          <w:sz w:val="18"/>
        </w:rPr>
        <w:t>https://pubmed.ncbi.nlm.nih.gov/42663706/</w:t>
      </w:r>
    </w:p>
    <w:p>
      <w:pPr>
        <w:pStyle w:val="Heading2"/>
      </w:pPr>
      <w:r>
        <w:t>HBV-Therapeutische Impfung zeigt Immunantwort, aber keine funktionale Heilung</w:t>
      </w:r>
    </w:p>
    <w:p>
      <w:r>
        <w:rPr>
          <w:i/>
          <w:color w:val="666666"/>
          <w:sz w:val="18"/>
        </w:rPr>
        <w:t>Jeng WJ et al.  ·  Hepatol Commun  ·  01.09.2026  ·  PMID 42623526</w:t>
      </w:r>
    </w:p>
    <w:p>
      <w:r>
        <w:t>Phase-1/2-RCT mit 134 Patienten mit chronischer Hepatitis B unter Nukleos(t)id-Analoga testete heterologe prime-boost Impfstrategie.</w:t>
      </w:r>
    </w:p>
    <w:p>
      <w:r>
        <w:rPr>
          <w:b/>
        </w:rPr>
        <w:t xml:space="preserve">Ergebnis: </w:t>
      </w:r>
      <w:r>
        <w:t>Kein HBsAg-Verlust oder ≥1-log-Reduktion bei allen 134 Patienten (primärer Endpunkt verfehlt). Co-Gabe induzierte stärkste Anti-HBs-Antwort (73,7% ≥10 mIU/mL vs. 40% sequential). Grade-3-AE häufiger bei Co-Gabe (59,3% systemisch). CD4+/CD8+ T-Zell-Antworten nachgewiesen, aber begrenzte klinische Wirksamkeit.</w:t>
      </w:r>
    </w:p>
    <w:p>
      <w:r>
        <w:rPr>
          <w:b/>
          <w:sz w:val="19"/>
        </w:rPr>
        <w:t xml:space="preserve">Übertragbarkeit: </w:t>
      </w:r>
      <w:r>
        <w:rPr>
          <w:sz w:val="19"/>
        </w:rPr>
        <w:t>Europäische und internationale Zentren, vergleichbar mit deutschem Versicherungssystem</w:t>
      </w:r>
    </w:p>
    <w:p>
      <w:r>
        <w:rPr>
          <w:color w:val="5A7D3A"/>
          <w:sz w:val="18"/>
        </w:rPr>
        <w:t>https://pubmed.ncbi.nlm.nih.gov/42623526/</w:t>
      </w:r>
    </w:p>
    <w:p>
      <w:pPr>
        <w:pStyle w:val="Heading2"/>
      </w:pPr>
      <w:r>
        <w:t>Computergestützte Prognosen in Schwedens COVID-Impfphase: Forschung ohne Politikbezug</w:t>
      </w:r>
    </w:p>
    <w:p>
      <w:r>
        <w:rPr>
          <w:i/>
          <w:color w:val="666666"/>
          <w:sz w:val="18"/>
        </w:rPr>
        <w:t>Jöud AS et al.  ·  BMC Health Serv Res  ·  10.07.2026  ·  PMID 42432642</w:t>
      </w:r>
    </w:p>
    <w:p>
      <w:r>
        <w:t>Systematische Literaturübersicht bewertete 6 peer-reviewte Computerprognosestudien mit Schwedendaten zur COVID-19-Impfphase 2020–2023.</w:t>
      </w:r>
    </w:p>
    <w:p>
      <w:r>
        <w:rPr>
          <w:b/>
        </w:rPr>
        <w:t xml:space="preserve">Ergebnis: </w:t>
      </w:r>
      <w:r>
        <w:t>Alle 6 Studien zeigten Bayesianische Kalibrierung als Methode, aber keine externe Modellvalidation. Kein einziger Artikel bezog sich auf Politikentscheidungen als primären Forschungskontext. Schluss: Computergestützte Forschung diente Modellentwicklung, nicht Politikunterstützung – Kluft zwischen Forschung und Versorgungsbedarf.</w:t>
      </w:r>
    </w:p>
    <w:p>
      <w:r>
        <w:rPr>
          <w:b/>
          <w:sz w:val="19"/>
        </w:rPr>
        <w:t xml:space="preserve">Übertragbarkeit: </w:t>
      </w:r>
      <w:r>
        <w:rPr>
          <w:sz w:val="19"/>
        </w:rPr>
        <w:t>Schweden, zeigte methodische Lücke bei Verankerung von Forschung in Versorgungspraxis</w:t>
      </w:r>
    </w:p>
    <w:p>
      <w:r>
        <w:rPr>
          <w:color w:val="5A7D3A"/>
          <w:sz w:val="18"/>
        </w:rPr>
        <w:t>https://pubmed.ncbi.nlm.nih.gov/42432642/</w:t>
      </w:r>
    </w:p>
    <w:p>
      <w:pPr>
        <w:pStyle w:val="Heading2"/>
      </w:pPr>
      <w:r>
        <w:t>PCV21 kosteneffektiver als PCV20 in Dänemarks Pneumokokken-Impfprogramm</w:t>
      </w:r>
    </w:p>
    <w:p>
      <w:r>
        <w:rPr>
          <w:i/>
          <w:color w:val="666666"/>
          <w:sz w:val="18"/>
        </w:rPr>
        <w:t>Sharomi O et al.  ·  Expert Rev Pharmacoecon Outcomes Res  ·  10.07.2026  ·  PMID 42421526</w:t>
      </w:r>
    </w:p>
    <w:p>
      <w:r>
        <w:t>Dänemark: Modellanalyse verglich 100-Jahres-Gesundheitsfolgen von PCV21- vs. PCV20-Programm für Erwachsene ≥65 Jahre.</w:t>
      </w:r>
    </w:p>
    <w:p>
      <w:r>
        <w:rPr>
          <w:b/>
        </w:rPr>
        <w:t xml:space="preserve">Ergebnis: </w:t>
      </w:r>
      <w:r>
        <w:t>PCV21 gegenüber PCV20: 29309 NBPP-Fälle, 627 IPD-Fälle und 1312 Todesfälle vermieden über 100 Jahre. 835,2 Mio. dänische Kronen Kosteneinsparung, 759 QALY-Gewinn. ICER-Wert zeigt kostenspannung dominante Strategie (dominant = Einsparungen + bessere Outcomes).</w:t>
      </w:r>
    </w:p>
    <w:p>
      <w:r>
        <w:rPr>
          <w:b/>
          <w:sz w:val="19"/>
        </w:rPr>
        <w:t xml:space="preserve">Übertragbarkeit: </w:t>
      </w:r>
      <w:r>
        <w:rPr>
          <w:sz w:val="19"/>
        </w:rPr>
        <w:t>Dänemark, vergleichbares nordeuropäisches Versicherungssystem und Impfkalender</w:t>
      </w:r>
    </w:p>
    <w:p>
      <w:r>
        <w:rPr>
          <w:color w:val="5A7D3A"/>
          <w:sz w:val="18"/>
        </w:rPr>
        <w:t>https://pubmed.ncbi.nlm.nih.gov/42421526/</w:t>
      </w:r>
    </w:p>
    <w:p>
      <w:pPr>
        <w:pStyle w:val="Heading1"/>
      </w:pPr>
      <w:r>
        <w:t>Aufgenommen am 05.09.2026</w:t>
      </w:r>
    </w:p>
    <w:p>
      <w:pPr>
        <w:pStyle w:val="Heading2"/>
      </w:pPr>
      <w:r>
        <w:t>Influenza-Impfeffektivität gegen Hospitalisierung bei Erwachsenen mit chronischen Erkrankungen</w:t>
      </w:r>
    </w:p>
    <w:p>
      <w:r>
        <w:rPr>
          <w:i/>
          <w:color w:val="666666"/>
          <w:sz w:val="18"/>
        </w:rPr>
        <w:t>Toledo D et al.  ·  Influenza Other Respir Viruses  ·  Sept. 2026  ·  PMID 42693773</w:t>
      </w:r>
    </w:p>
    <w:p>
      <w:r>
        <w:t>Multizentrisches Fall-Kontroll-Verfahren aus 17 spanischen Krankenhäusern zur Bestimmung der klinischen Effektivität der saisonalen Influenzaimpfung bei hospitalisiert behandelten Erwachsenen (15–64 Jahre) mit vorbestehenden medizinischen Erkrankungen über drei Influenzajahreszeiten.</w:t>
      </w:r>
    </w:p>
    <w:p>
      <w:r>
        <w:rPr>
          <w:b/>
        </w:rPr>
        <w:t xml:space="preserve">Ergebnis: </w:t>
      </w:r>
      <w:r>
        <w:t>Von 1.220 hospitalisierten Erwachsenen waren 25,2 % geimpft. Die Impfeffektivität variierte nach Saison, Altersgruppe und Virus-Subtyp; statistisch signifikanter Schutz wurde für alle Jahreszeiten gemeinsam gegen A(H3N2) beobachtet, einzelne Jahreszeiten zeigten keine signifikanten Unterschiede. Die Studie unterstreicht geringe saisonale Influenzaimpfquoten in dieser Bevölkerungsgruppe und die Notwendigkeit verbesserter Impfstrategien.</w:t>
      </w:r>
    </w:p>
    <w:p>
      <w:r>
        <w:rPr>
          <w:b/>
          <w:sz w:val="19"/>
        </w:rPr>
        <w:t xml:space="preserve">Übertragbarkeit: </w:t>
      </w:r>
      <w:r>
        <w:rPr>
          <w:sz w:val="19"/>
        </w:rPr>
        <w:t>Spanien, vergleichbares Gesundheitssystem; Hospitalisierungsdaten messbar</w:t>
      </w:r>
    </w:p>
    <w:p>
      <w:r>
        <w:rPr>
          <w:color w:val="5A7D3A"/>
          <w:sz w:val="18"/>
        </w:rPr>
        <w:t>https://pubmed.ncbi.nlm.nih.gov/42693773/</w:t>
      </w:r>
    </w:p>
    <w:p>
      <w:pPr>
        <w:pStyle w:val="Heading2"/>
      </w:pPr>
      <w:r>
        <w:t>Klima und Impfung als Determinanten für Durchfall-Morbidität in afrikanischen Ländern</w:t>
      </w:r>
    </w:p>
    <w:p>
      <w:r>
        <w:rPr>
          <w:i/>
          <w:color w:val="666666"/>
          <w:sz w:val="18"/>
        </w:rPr>
        <w:t>Kowalcyk M et al.  ·  Nat Commun  ·  06.08.2026  ·  PMID 42693103</w:t>
      </w:r>
    </w:p>
    <w:p>
      <w:r>
        <w:t>Sekundäranalyse der Global Enteric Multicenter Study (GEMS) und VIDA-Studie zur Rolle von Klima und sozioökonomischen Vulnerabilitätsfaktoren bei der Vorhersage pathogenspezifischer Durchfall-Erkrankungen bei Kindern in Gambia, Kenia und Mali.</w:t>
      </w:r>
    </w:p>
    <w:p>
      <w:r>
        <w:rPr>
          <w:b/>
        </w:rPr>
        <w:t xml:space="preserve">Ergebnis: </w:t>
      </w:r>
      <w:r>
        <w:t>Soziodemografische Vulnerabilität (Transport-, Fernseh-, Stromzugang) und Rotavirus-Impfeinführung modifizierten die Assoziation zwischen Wetter und moderatem-schwerem Durchfall. Diese Modifikationen waren standort- und pathogenspezifisch. Bevölkerungszahl war stärkster Prädiktor (SHAP mean absolute 0,167 für Inzidenz). Die Studie zeigt, dass Vulnerabilitätsfaktoren mit variable pathogenspezifischen Erkrankungsrisiken korreliert sind.</w:t>
      </w:r>
    </w:p>
    <w:p>
      <w:r>
        <w:rPr>
          <w:b/>
          <w:sz w:val="19"/>
        </w:rPr>
        <w:t xml:space="preserve">Übertragbarkeit: </w:t>
      </w:r>
      <w:r>
        <w:rPr>
          <w:sz w:val="19"/>
        </w:rPr>
        <w:t>Afrika; Vulnerabilität und Impfprogramme, Versorgungsforschung in ressourcenlimitierten Settings</w:t>
      </w:r>
    </w:p>
    <w:p>
      <w:r>
        <w:rPr>
          <w:color w:val="5A7D3A"/>
          <w:sz w:val="18"/>
        </w:rPr>
        <w:t>https://pubmed.ncbi.nlm.nih.gov/42693103/</w:t>
      </w:r>
    </w:p>
    <w:p>
      <w:pPr>
        <w:pStyle w:val="Heading2"/>
      </w:pPr>
      <w:r>
        <w:t>Barrieren und Beförderer der HPV-Impfakzeptanz in Pakistan vor Programmstart</w:t>
      </w:r>
    </w:p>
    <w:p>
      <w:r>
        <w:rPr>
          <w:i/>
          <w:color w:val="666666"/>
          <w:sz w:val="18"/>
        </w:rPr>
        <w:t>Noreen K et al.  ·  Hum Vaccin Immunother  ·  03.09.2026  ·  PMID 42692950</w:t>
      </w:r>
    </w:p>
    <w:p>
      <w:r>
        <w:t>Qualitative Studie mit Fokusgruppen und Interviews bei Community Worker, Gesundheitspersonal, Lehrkräften, Mädchen und Eltern zur Erfassung von Hemmnissen und Förderungsfaktoren der HPV-Impfakzeptanz vor dem ersten nationalen HPV-Impfprogramm in Pakistan.</w:t>
      </w:r>
    </w:p>
    <w:p>
      <w:r>
        <w:rPr>
          <w:b/>
        </w:rPr>
        <w:t xml:space="preserve">Ergebnis: </w:t>
      </w:r>
      <w:r>
        <w:t>Barrieren: Furcht vor Nebenwirkungen, Impfskepsis, Fehlinformation über soziale Medien, religiöse Wahrnehmungen, patriarchale Entscheidungsfindung, Wartezeitprobleme, Widerstand in der Gemeinde. Beförderer: Erkenntnis des Impfnutzens, unterstützende Familie und Gemeinschaftsnormen, Gesundheitsfachleute-Beratung, religiöse Argumente, aufsuchende Dienste und Vertrauenspersonen wie Schulleitung. Die Befunde unterstreichen Bedarf für kulturell sensible, vertrauensaufbauende Strategien über klinischen Ansatz hinaus.</w:t>
      </w:r>
    </w:p>
    <w:p>
      <w:r>
        <w:rPr>
          <w:b/>
          <w:sz w:val="19"/>
        </w:rPr>
        <w:t xml:space="preserve">Übertragbarkeit: </w:t>
      </w:r>
      <w:r>
        <w:rPr>
          <w:sz w:val="19"/>
        </w:rPr>
        <w:t>Pakistan; Implementierungsforschung für Programmstart nötig, nicht direkt auf Deutschland übertragbar</w:t>
      </w:r>
    </w:p>
    <w:p>
      <w:r>
        <w:rPr>
          <w:color w:val="5A7D3A"/>
          <w:sz w:val="18"/>
        </w:rPr>
        <w:t>https://pubmed.ncbi.nlm.nih.gov/42692950/</w:t>
      </w:r>
    </w:p>
    <w:p>
      <w:pPr>
        <w:pStyle w:val="Heading2"/>
      </w:pPr>
      <w:r>
        <w:t>Monitoring von Impfabbrüchen: Effekt auf Durchimpfungsquoten im ländlichen Südsudan</w:t>
      </w:r>
    </w:p>
    <w:p>
      <w:r>
        <w:rPr>
          <w:i/>
          <w:color w:val="666666"/>
          <w:sz w:val="18"/>
        </w:rPr>
        <w:t>Igga DOM et al.  ·  PLoS One  ·  03.09.2026  ·  PMID 42691046</w:t>
      </w:r>
    </w:p>
    <w:p>
      <w:r>
        <w:t>Prospektive Kohortenstudie über drei Monate in 14 Gesundheitseinrichtungen im Maridi County (Südsudan) zur Wirksamkeit von Monitoring-Mechanismen zur Reduzierung von Impfausfällen bei Säuglingen und Kleinkindern.</w:t>
      </w:r>
    </w:p>
    <w:p>
      <w:r>
        <w:rPr>
          <w:b/>
        </w:rPr>
        <w:t xml:space="preserve">Ergebnis: </w:t>
      </w:r>
      <w:r>
        <w:t>Einrichtungen mit aktualisierten Monitoring-Charts hatten signifikant niedrigere Ausfallquoten (Spearman r = -0,725, p = 0,003). Boma Health Worker (Community-Helfer zur Verfolgung ausstehender Impfungen) waren in 64 % der Einrichtungen präsent; 91,7 % der Einrichtungen mit niedrigen Ausfallquoten hatten Helfer, gegenüber 37,5 % mit hohen Ausfallquoten. Kombinierte Facility- und Community-basierte Monitoring-Mechanismen zeigten komplementären Effekt. Ausfallquoten über 10 % sanken über drei Monate um 9,6 Prozentpunkte.</w:t>
      </w:r>
    </w:p>
    <w:p>
      <w:r>
        <w:rPr>
          <w:b/>
          <w:sz w:val="19"/>
        </w:rPr>
        <w:t xml:space="preserve">Übertragbarkeit: </w:t>
      </w:r>
      <w:r>
        <w:rPr>
          <w:sz w:val="19"/>
        </w:rPr>
        <w:t>Südsudan; Monitoring-Muster auch für Deutschland relevant, aber Gesundheitssystem-Kontext verschieden</w:t>
      </w:r>
    </w:p>
    <w:p>
      <w:r>
        <w:rPr>
          <w:color w:val="5A7D3A"/>
          <w:sz w:val="18"/>
        </w:rPr>
        <w:t>https://pubmed.ncbi.nlm.nih.gov/42691046/</w:t>
      </w:r>
    </w:p>
    <w:p>
      <w:pPr>
        <w:pStyle w:val="Heading2"/>
      </w:pPr>
      <w:r>
        <w:t>Quoten bei Jugendlichen-Impfung USA 2025: HPV stagniert, Tdap und MenACWY leicht gesunken</w:t>
      </w:r>
    </w:p>
    <w:p>
      <w:r>
        <w:rPr>
          <w:i/>
          <w:color w:val="666666"/>
          <w:sz w:val="18"/>
        </w:rPr>
        <w:t>Pingali C et al.  ·  MMWR Morb Mortal Wkly Rep  ·  03.09.2026  ·  PMID 42691006</w:t>
      </w:r>
    </w:p>
    <w:p>
      <w:r>
        <w:t>Analyse der 2025 National Immunization Survey-Teen für 18.692 Adoleszente (13–17 Jahre) zur Erfassung von Trends bei Tetanus-Diptherie-Pertussis (Tdap), Meningokokken- und HPV-Impfquoten in den USA.</w:t>
      </w:r>
    </w:p>
    <w:p>
      <w:r>
        <w:rPr>
          <w:b/>
        </w:rPr>
        <w:t xml:space="preserve">Ergebnis: </w:t>
      </w:r>
      <w:r>
        <w:t>Tdap und MenACWY 2025 zu ca. 90 %, leicht gesunken gegenüber 2024. HPV-Impfquoten (≥1 Dosis und Serie-Vollständigkeit) stiegen zum vierten Jahr nicht an und blieben deutlich unter Tdap/MenACWY. HPV-Quote in ländlich geprägten Gebieten 12,0 Prozentpunkte niedriger als in städtischen Gegenden. Größte Variation zwischen Bundesländern bei HPV. Geografische und regionale Disparitäten persistent.</w:t>
      </w:r>
    </w:p>
    <w:p>
      <w:r>
        <w:rPr>
          <w:b/>
          <w:sz w:val="19"/>
        </w:rPr>
        <w:t xml:space="preserve">Übertragbarkeit: </w:t>
      </w:r>
      <w:r>
        <w:rPr>
          <w:sz w:val="19"/>
        </w:rPr>
        <w:t>USA; Quoten nicht direkt übertragbar, aber Disparitätsmuster ländlich/urban ähnlich Deutschland</w:t>
      </w:r>
    </w:p>
    <w:p>
      <w:r>
        <w:rPr>
          <w:color w:val="5A7D3A"/>
          <w:sz w:val="18"/>
        </w:rPr>
        <w:t>https://pubmed.ncbi.nlm.nih.gov/42691006/</w:t>
      </w:r>
    </w:p>
    <w:p>
      <w:pPr>
        <w:pStyle w:val="Heading2"/>
      </w:pPr>
      <w:r>
        <w:t>Impfassoziierte Belastung: Implementierung canadischer Leitlinien in Niederländisches Impfprogramm</w:t>
      </w:r>
    </w:p>
    <w:p>
      <w:r>
        <w:rPr>
          <w:i/>
          <w:color w:val="666666"/>
          <w:sz w:val="18"/>
        </w:rPr>
        <w:t>Huijten DCM et al.  ·  Clin J Pain  ·  01.08.2026  ·  PMID 42444177</w:t>
      </w:r>
    </w:p>
    <w:p>
      <w:r>
        <w:t>Erfahrungsbericht zur kulturellen Anpassung des CARD-Systems (Comfort-Ask-Relax-Distract) aus Kanada für das Niederländische Nationale Impfprogramm, um impfassoziierte Stress-Reaktionen (Schmerz, Nadelangst) zu reduzieren und Quote zu erhöhen.</w:t>
      </w:r>
    </w:p>
    <w:p>
      <w:r>
        <w:rPr>
          <w:b/>
        </w:rPr>
        <w:t xml:space="preserve">Ergebnis: </w:t>
      </w:r>
      <w:r>
        <w:t>Der CARD-Multikomponenten-Ansatz kombiniert Edukation mit mehreren Interventionen zur Stressreduktion (prozessual, physisch, pharmakologisch, psychologisch). Systematische Anpassung mittels EPIS-Rahmenwerk (Exploration-Preparation-Implementation-Sustainment) wurde durchgeführt. Das Konzept zeigt, dass Effektivität in einem Kontext (Kanada) nicht automatisch in anderem (Niederlande) funktioniert. Pilotstudie im niederländischen Kontext geplant.</w:t>
      </w:r>
    </w:p>
    <w:p>
      <w:r>
        <w:rPr>
          <w:b/>
          <w:sz w:val="19"/>
        </w:rPr>
        <w:t xml:space="preserve">Übertragbarkeit: </w:t>
      </w:r>
      <w:r>
        <w:rPr>
          <w:sz w:val="19"/>
        </w:rPr>
        <w:t>Niederlande, vergleichbares Impfprogramm; übertragbar auf Deutsche Impfkompetenz-Schulung</w:t>
      </w:r>
    </w:p>
    <w:p>
      <w:r>
        <w:rPr>
          <w:color w:val="5A7D3A"/>
          <w:sz w:val="18"/>
        </w:rPr>
        <w:t>https://pubmed.ncbi.nlm.nih.gov/42444177/</w:t>
      </w:r>
    </w:p>
    <w:p>
      <w:pPr>
        <w:pStyle w:val="Heading1"/>
      </w:pPr>
      <w:r>
        <w:t>Aufgenommen am 04.09.2026</w:t>
      </w:r>
    </w:p>
    <w:p>
      <w:pPr>
        <w:pStyle w:val="Heading2"/>
      </w:pPr>
      <w:r>
        <w:t>HPV-Impfbewusstsein in indigenen Gemeinschaften Kanadas niedrig</w:t>
      </w:r>
    </w:p>
    <w:p>
      <w:r>
        <w:rPr>
          <w:i/>
          <w:color w:val="666666"/>
          <w:sz w:val="18"/>
        </w:rPr>
        <w:t>Omidimorad A et al.  ·  PLoS One  ·  03.09.2026  ·  PMID 42691150</w:t>
      </w:r>
    </w:p>
    <w:p>
      <w:r>
        <w:t>Community-based participatory research in 11 indigenen Gemeinschaften der Northwest Territories (Kanada, n=221 Erwachsene ≥18 Jahre): Quantitative und qualitative Befragung zu HPV- und HPV-Impfbewusstsein; Multiple logistische Regression und thematische Analyse zu Nicht-Impfungs-Gründen.</w:t>
      </w:r>
    </w:p>
    <w:p>
      <w:r>
        <w:rPr>
          <w:b/>
        </w:rPr>
        <w:t xml:space="preserve">Ergebnis: </w:t>
      </w:r>
      <w:r>
        <w:t>Etwa 50% hatten von HPV gehört, &lt;1/3 von HPV-Impfstoff. Bildung signifikant assoziiert: Niedrigere Bildung → niedrigeres HPV-Bewusstsein (p&lt;0,001). Alter, Geschlecht, Bildung prädizieren Impfstoff-Bewusstsein (Frauen, höhere Bildung, jünger: höher). Nur 26,3% der Geimpften ≤26 Jahre. Qualitativ: Mangelndes Wissen und unzureichende Information sind Hauptbarrieren.</w:t>
      </w:r>
    </w:p>
    <w:p>
      <w:r>
        <w:rPr>
          <w:b/>
          <w:sz w:val="19"/>
        </w:rPr>
        <w:t xml:space="preserve">Übertragbarkeit: </w:t>
      </w:r>
      <w:r>
        <w:rPr>
          <w:sz w:val="19"/>
        </w:rPr>
        <w:t>Kanada, indigene Populations-spezifik; Lessons für deutsche Gesundheitsungleichheit relevant.</w:t>
      </w:r>
    </w:p>
    <w:p>
      <w:r>
        <w:rPr>
          <w:color w:val="5A7D3A"/>
          <w:sz w:val="18"/>
        </w:rPr>
        <w:t>https://pubmed.ncbi.nlm.nih.gov/42691150/</w:t>
      </w:r>
    </w:p>
    <w:p>
      <w:pPr>
        <w:pStyle w:val="Heading2"/>
      </w:pPr>
      <w:r>
        <w:t>Peer-Education durch Medizinstudierende steigert HPV-Impfwissen bei japanischen Jugendlichen</w:t>
      </w:r>
    </w:p>
    <w:p>
      <w:r>
        <w:rPr>
          <w:i/>
          <w:color w:val="666666"/>
          <w:sz w:val="18"/>
        </w:rPr>
        <w:t>Nakajima K et al.  ·  Hum Vaccin Immunother  ·  02.09.2026  ·  PMID 42687414</w:t>
      </w:r>
    </w:p>
    <w:p>
      <w:r>
        <w:t>Explorative Interventionsstudie (Feb 2022–März 2024): Medizinstudierende gaben 1-Stunden-Schulungen zu HPV-Transmission, Gebärmutterhalskrebs-Prävention und Impfwirksamkeit in japanischen Schulen; Folgeerhebung 1–2 Wochen später zu Wissen, Haltung und Impfverhalten.</w:t>
      </w:r>
    </w:p>
    <w:p>
      <w:r>
        <w:rPr>
          <w:b/>
        </w:rPr>
        <w:t xml:space="preserve">Ergebnis: </w:t>
      </w:r>
      <w:r>
        <w:t>864 Schüler teilgenommen, 332 gefolgt. Von 248 Ungeimpften vor Session: 10 Mädchen (7,5%) und 1 Junge (0,9%) erhielten HPV-Impfung innerhalb von 2 Wochen. Schüler mit positiver Impfabsicht zeigten höhere Verständnis-Scores. Geimpfte identifizierten HPV-verhinderbare Krebsarten häufiger korrekt.</w:t>
      </w:r>
    </w:p>
    <w:p>
      <w:r>
        <w:rPr>
          <w:b/>
          <w:sz w:val="19"/>
        </w:rPr>
        <w:t xml:space="preserve">Übertragbarkeit: </w:t>
      </w:r>
      <w:r>
        <w:rPr>
          <w:sz w:val="19"/>
        </w:rPr>
        <w:t>Japan-Daten; Near-Peer-Modell könnte für deutsches Schulimpf-Setting adaptierbar sein.</w:t>
      </w:r>
    </w:p>
    <w:p>
      <w:r>
        <w:rPr>
          <w:color w:val="5A7D3A"/>
          <w:sz w:val="18"/>
        </w:rPr>
        <w:t>https://pubmed.ncbi.nlm.nih.gov/42687414/</w:t>
      </w:r>
    </w:p>
    <w:p>
      <w:pPr>
        <w:pStyle w:val="Heading2"/>
      </w:pPr>
      <w:r>
        <w:t>HPV-Impfbereitschaft bei Eltern in ethnischen Autonomie-Bezirken Chinas</w:t>
      </w:r>
    </w:p>
    <w:p>
      <w:r>
        <w:rPr>
          <w:i/>
          <w:color w:val="666666"/>
          <w:sz w:val="18"/>
        </w:rPr>
        <w:t>Li X et al.  ·  Hum Vaccin Immunother  ·  01.09.2026  ·  PMID 42678389</w:t>
      </w:r>
    </w:p>
    <w:p>
      <w:r>
        <w:t>Querschnittsbefragung in Qinghai-Provinz (Dezember 2024–Februar 2025): Erziehungsberechtigte von Schulkindern zu HPV-Impfbereitschaft; Theorien: Health Belief Model und Theory of Planned Behavior (TPB); Hierarchische Regressionsmodelle.</w:t>
      </w:r>
    </w:p>
    <w:p>
      <w:r>
        <w:rPr>
          <w:b/>
        </w:rPr>
        <w:t xml:space="preserve">Ergebnis: </w:t>
      </w:r>
      <w:r>
        <w:t>Hui-Ethnie vs. Han-Ethnie: niedrigere Impfbereitschaft (B=−0,229, p=0,003). Positive Assoziationen mit: Aktionsimpulsen (β=0,121), wahrgenommenen Barrieren (β=0,128), Einstellungen (β=0,203), wahrgenommenem Verhaltenskontrolle (β=0,107), Subjektiven Normen (β=0,323). Bildung und mittleres Einkommen prädizierten höhere Bereitschaft.</w:t>
      </w:r>
    </w:p>
    <w:p>
      <w:r>
        <w:rPr>
          <w:b/>
          <w:sz w:val="19"/>
        </w:rPr>
        <w:t xml:space="preserve">Übertragbarkeit: </w:t>
      </w:r>
      <w:r>
        <w:rPr>
          <w:sz w:val="19"/>
        </w:rPr>
        <w:t>China, kollektive Health-Literacy-Strukturen; Barrieren für deutsche Migrantengruppen vergleichbar.</w:t>
      </w:r>
    </w:p>
    <w:p>
      <w:r>
        <w:rPr>
          <w:color w:val="5A7D3A"/>
          <w:sz w:val="18"/>
        </w:rPr>
        <w:t>https://pubmed.ncbi.nlm.nih.gov/42678389/</w:t>
      </w:r>
    </w:p>
    <w:p>
      <w:pPr>
        <w:pStyle w:val="Heading2"/>
      </w:pPr>
      <w:r>
        <w:t>Geospatial mapping reveals Zero-Dose concentrations in low- und lower-middle-income countries</w:t>
      </w:r>
    </w:p>
    <w:p>
      <w:r>
        <w:rPr>
          <w:i/>
          <w:color w:val="666666"/>
          <w:sz w:val="18"/>
        </w:rPr>
        <w:t>Njogu AM et al.  ·  Vaccine  ·  30.08.2026  ·  PMID 42442083</w:t>
      </w:r>
    </w:p>
    <w:p>
      <w:r>
        <w:t>Scoping Review zu räumlichen Modellierungsmethoden für Impfquoten in Ländern mit niedrigem Einkommen: 102 Artikel analysiert, hauptsächlich zu Routineimpfungen; nur 19,6% zu Zero-Dose-Prävalenz.</w:t>
      </w:r>
    </w:p>
    <w:p>
      <w:r>
        <w:rPr>
          <w:b/>
        </w:rPr>
        <w:t xml:space="preserve">Ergebnis: </w:t>
      </w:r>
      <w:r>
        <w:t>70% der Studien stammen aus 2021-2024. Die meisten nutzen Befragungsdaten statt Routinedaten. Größte Defizite: uneinheitliche Zero-Dose-Definitionen, begrenzte Routinedaten-Nutzung, Unterrepräsentation marginalisierter Gruppen. Geospatiale Kartierung expandiert, aber explorativ statt präzise genug zum gezielten Targeting.</w:t>
      </w:r>
    </w:p>
    <w:p>
      <w:r>
        <w:rPr>
          <w:b/>
          <w:sz w:val="19"/>
        </w:rPr>
        <w:t xml:space="preserve">Übertragbarkeit: </w:t>
      </w:r>
      <w:r>
        <w:rPr>
          <w:sz w:val="19"/>
        </w:rPr>
        <w:t>Entwicklungsländer-Fokus; Erkenntnisse für deutsche Registerentwicklung nicht direkt übertragbar.</w:t>
      </w:r>
    </w:p>
    <w:p>
      <w:r>
        <w:rPr>
          <w:color w:val="5A7D3A"/>
          <w:sz w:val="18"/>
        </w:rPr>
        <w:t>https://pubmed.ncbi.nlm.nih.gov/42442083/</w:t>
      </w:r>
    </w:p>
    <w:p>
      <w:pPr>
        <w:pStyle w:val="Heading2"/>
      </w:pPr>
      <w:r>
        <w:t>Antikörperpersistenz nach Kinderimpfungen mit maternaler Tdap-Exposition</w:t>
      </w:r>
    </w:p>
    <w:p>
      <w:r>
        <w:rPr>
          <w:i/>
          <w:color w:val="666666"/>
          <w:sz w:val="18"/>
        </w:rPr>
        <w:t>De Weerdt L et al.  ·  Vaccine  ·  13.08.2026  ·  PMID 42430876</w:t>
      </w:r>
    </w:p>
    <w:p>
      <w:r>
        <w:t>Längsschnittstudie an belgischen Kindern (Term und Frühgeborene) zu Antikörperpersistenz nach sechsvalenter DTaP-IPV-HB-PRP-Impfung und Antwort auf Auffrischung im Schulalter; Maternale Tdap-Impfung während Schwangerschaft als Exposition.</w:t>
      </w:r>
    </w:p>
    <w:p>
      <w:r>
        <w:rPr>
          <w:b/>
        </w:rPr>
        <w:t xml:space="preserve">Ergebnis: </w:t>
      </w:r>
      <w:r>
        <w:t>128 Kinder bei 3 Jahren, 106 bei 5 Jahren, 94 mit Schulauffrischung. Antikörperspiegel sanken zwischen Jahr 3 und 5, Schutzraten blieben hoch (außer Anti-HB: sinkend). Nach Auffrischung: 100% Seroschutz für Diphtherie/Tetanus/Polio Typ 1, ≥96% für Polio Typ 2+3, ≥93% Pertussis-Serokonversion. Maternale Tdap-Strategie wird gestützt.</w:t>
      </w:r>
    </w:p>
    <w:p>
      <w:r>
        <w:rPr>
          <w:b/>
          <w:sz w:val="19"/>
        </w:rPr>
        <w:t xml:space="preserve">Übertragbarkeit: </w:t>
      </w:r>
      <w:r>
        <w:rPr>
          <w:sz w:val="19"/>
        </w:rPr>
        <w:t>Belgien, vergleichbares Versicherungssystem; Impfkalender-Struktur ähnlich.</w:t>
      </w:r>
    </w:p>
    <w:p>
      <w:r>
        <w:rPr>
          <w:color w:val="5A7D3A"/>
          <w:sz w:val="18"/>
        </w:rPr>
        <w:t>https://pubmed.ncbi.nlm.nih.gov/42430876/</w:t>
      </w:r>
    </w:p>
    <w:p>
      <w:pPr>
        <w:pStyle w:val="Heading2"/>
      </w:pPr>
      <w:r>
        <w:t>COVID-19-Impfakzeptanz variiert nach Herkunftsregion in Schweden</w:t>
      </w:r>
    </w:p>
    <w:p>
      <w:r>
        <w:rPr>
          <w:i/>
          <w:color w:val="666666"/>
          <w:sz w:val="18"/>
        </w:rPr>
        <w:t>Hassan M et al.  ·  Front Public Health  ·  24.06.2026  ·  PMID 42422674</w:t>
      </w:r>
    </w:p>
    <w:p>
      <w:r>
        <w:t>Querschnittsbefragung in Schweden (n=3.281) zur COVID-19-Impfbereitschaft stratifiziert nach Geburtsregion: Schweden, Westländer, Nicht-Westländer. Sechs Domänen (Vertrauensdomänen, Normen, Erreichbarkeit) gemessen.</w:t>
      </w:r>
    </w:p>
    <w:p>
      <w:r>
        <w:rPr>
          <w:b/>
        </w:rPr>
        <w:t xml:space="preserve">Ergebnis: </w:t>
      </w:r>
      <w:r>
        <w:t>Geimpfte aus Schweden und Westländern hatten 9,5 bzw. 8,9 Punkte höhere Akzeptanzscores als Ungeimpfte; bei Nicht-Westländern nur 2,8 Punkte Unterschied. Bei Schweden/Westländern: ‚Deskriptive Normen' und ‚Vertrauen in Impfstoffe' stärkste Prädiktoren (OR 2,5–3,6). Bei Nicht-Westländern nur ‚Vertrauen' und ‚Nutzen-Risiko' relevant (OR 1,6–1,7).</w:t>
      </w:r>
    </w:p>
    <w:p>
      <w:r>
        <w:rPr>
          <w:b/>
          <w:sz w:val="19"/>
        </w:rPr>
        <w:t xml:space="preserve">Übertragbarkeit: </w:t>
      </w:r>
      <w:r>
        <w:rPr>
          <w:sz w:val="19"/>
        </w:rPr>
        <w:t>Skandinavien, Public-Health-System ähnlich; zeigt Defizit bei Migranten-Outreach.</w:t>
      </w:r>
    </w:p>
    <w:p>
      <w:r>
        <w:rPr>
          <w:color w:val="5A7D3A"/>
          <w:sz w:val="18"/>
        </w:rPr>
        <w:t>https://pubmed.ncbi.nlm.nih.gov/42422674/</w:t>
      </w:r>
    </w:p>
    <w:p>
      <w:pPr>
        <w:pStyle w:val="Heading1"/>
      </w:pPr>
      <w:r>
        <w:t>Aufgenommen am 03.09.2026</w:t>
      </w:r>
    </w:p>
    <w:p>
      <w:pPr>
        <w:pStyle w:val="Heading2"/>
      </w:pPr>
      <w:r>
        <w:t>Grippeimpf-Bewusstsein und -Quote bei Frauen im gebärfähigen Alter in Shanghai</w:t>
      </w:r>
    </w:p>
    <w:p>
      <w:r>
        <w:rPr>
          <w:i/>
          <w:color w:val="666666"/>
          <w:sz w:val="18"/>
        </w:rPr>
        <w:t>Liu P et al.  ·  Hum Vaccin Immunother  ·  16.07.2026  ·  PMID 42684141</w:t>
      </w:r>
    </w:p>
    <w:p>
      <w:r>
        <w:t>Bevölkerungsbasierte Querschnittsstudie zur Impfbereitschaft gegen Influenza bei Frauen im Alter von 15–49 Jahren in Shanghai (Pudong), einschließlich Schwangerenszenarien.</w:t>
      </w:r>
    </w:p>
    <w:p>
      <w:r>
        <w:rPr>
          <w:b/>
        </w:rPr>
        <w:t xml:space="preserve">Ergebnis: </w:t>
      </w:r>
      <w:r>
        <w:t>Wissenswert: 60,61 % zu Influenza, 56,46 % zu Grippeimpfstoff. Gesundheitsberufe hatten höchste Kompetenz. Bei hypothetischer Schwangerschaft: Injektionspräferenz fiel von 41,25 % auf 13,31 %, Nasenspray stieg von 10,60 % auf 23,17 %, Ablehnung von 10,19 % auf 35,58 %. Schwangere bevorzugten Nasenspray (41,67 %). 87,63 % würden Empfehlungen von Frauenärzten folgen.</w:t>
      </w:r>
    </w:p>
    <w:p>
      <w:r>
        <w:rPr>
          <w:b/>
          <w:sz w:val="19"/>
        </w:rPr>
        <w:t xml:space="preserve">Übertragbarkeit: </w:t>
      </w:r>
      <w:r>
        <w:rPr>
          <w:sz w:val="19"/>
        </w:rPr>
        <w:t>China, aber zeigt Muster zur Impfentscheidung in Schwangerschaft anwendbar auf deutsche Kommunikation</w:t>
      </w:r>
    </w:p>
    <w:p>
      <w:r>
        <w:rPr>
          <w:color w:val="5A7D3A"/>
          <w:sz w:val="18"/>
        </w:rPr>
        <w:t>https://pubmed.ncbi.nlm.nih.gov/42684141/</w:t>
      </w:r>
    </w:p>
    <w:p>
      <w:pPr>
        <w:pStyle w:val="Heading2"/>
      </w:pPr>
      <w:r>
        <w:t>Influenza-Impfquoten bei Ärztinnen und Pflegekräften: Deutschland und China im Vergleich</w:t>
      </w:r>
    </w:p>
    <w:p>
      <w:r>
        <w:rPr>
          <w:i/>
          <w:color w:val="666666"/>
          <w:sz w:val="18"/>
        </w:rPr>
        <w:t>Sanftenberg L et al.  ·  BMC Public Health  ·  01.09.2026  ·  PMID 42681616</w:t>
      </w:r>
    </w:p>
    <w:p>
      <w:r>
        <w:t>Vergleichende Querschnittsstudie zu psychologischen und strukturellen Barrieren für die Grippeimpfung bei Gesundheitspersonal in Deutschland (8.351 Arbeitskräfte, 72 Krankenhäuser) und China (689 Arbeitskräfte, 9 Krankenhäuser) 2024–2025.</w:t>
      </w:r>
    </w:p>
    <w:p>
      <w:r>
        <w:rPr>
          <w:b/>
        </w:rPr>
        <w:t xml:space="preserve">Ergebnis: </w:t>
      </w:r>
      <w:r>
        <w:t>Deutsche Ärzte: 80,9 % geimpft, deutsche Pflegekräfte 48,7 %; chinesische Ärzte: 28,8 %, chinesische Pflegekräfte 32,2 %. Vertrauen und Eigenverantwortung waren wichtige Treiber in beiden Ländern. Deutsche Profis nannten individuelle Gründe für Ablehnung, chinesische hingegen Hürden in der Einrichtung (Zeitmangel). Effektive Interventionen: kostenlose Impfung, Bildung, organisatorische Maßnahmen.</w:t>
      </w:r>
    </w:p>
    <w:p>
      <w:r>
        <w:rPr>
          <w:b/>
          <w:sz w:val="19"/>
        </w:rPr>
        <w:t xml:space="preserve">Übertragbarkeit: </w:t>
      </w:r>
      <w:r>
        <w:rPr>
          <w:sz w:val="19"/>
        </w:rPr>
        <w:t>Deutsche Klinikdaten, vergleichbares Versicherungssystem und Gesundheitsberuferegeln</w:t>
      </w:r>
    </w:p>
    <w:p>
      <w:r>
        <w:rPr>
          <w:color w:val="5A7D3A"/>
          <w:sz w:val="18"/>
        </w:rPr>
        <w:t>https://pubmed.ncbi.nlm.nih.gov/42681616/</w:t>
      </w:r>
    </w:p>
    <w:p>
      <w:pPr>
        <w:pStyle w:val="Heading2"/>
      </w:pPr>
      <w:r>
        <w:t>COVID-19-Impfung bei fortgeschrittenem Lungenkarzinom und Immuntherapie: Real-World-Daten aus Rumänien</w:t>
      </w:r>
    </w:p>
    <w:p>
      <w:r>
        <w:rPr>
          <w:i/>
          <w:color w:val="666666"/>
          <w:sz w:val="18"/>
        </w:rPr>
        <w:t>Gheorghiță V et al.  ·  Medicina (Kaunas)  ·  18.08.2026  ·  PMID 42654486</w:t>
      </w:r>
    </w:p>
    <w:p>
      <w:r>
        <w:t>Retrospektive Kohortenstudie an 139 Patienten mit Stadium-IV-Nicht-Kleinzellkarzinom, die Immun-Checkpoint-Inhibitoren erhielten, stratifiziert nach COVID-19-Impfstatus (0–1 vs. ≥2 Dosen).</w:t>
      </w:r>
    </w:p>
    <w:p>
      <w:r>
        <w:rPr>
          <w:b/>
        </w:rPr>
        <w:t xml:space="preserve">Ergebnis: </w:t>
      </w:r>
      <w:r>
        <w:t>Geimpfte Patienten: längeres progressionsfreies Überleben (13,0 vs. 11,0 Monate) und Gesamtüberleben (29,0 vs. 24,0 Monate; beide p&lt;0,001). Nach Multivariablenkalibrierung abgeschwächt, aber Grenzwertbereich (OS HR=0,83; PFS HR=0,79). ≥2 Dosen assoziiert mit besseren Ergebnissen (PFS 14,0 vs. 12,0 Monate, OS 30,0 vs. 24,0 Monate). Höhere Odds für Grad-1/2-Toxizität mit ≥2 Dosen (OR=2,47, p=0,037), aber keine Grade-4/5-Ereignisse.</w:t>
      </w:r>
    </w:p>
    <w:p>
      <w:r>
        <w:rPr>
          <w:b/>
          <w:sz w:val="19"/>
        </w:rPr>
        <w:t xml:space="preserve">Übertragbarkeit: </w:t>
      </w:r>
      <w:r>
        <w:rPr>
          <w:sz w:val="19"/>
        </w:rPr>
        <w:t>Rumänien, aber Sicherheit in vulnerabler Patientengruppe mit Immuntherapie untersucht</w:t>
      </w:r>
    </w:p>
    <w:p>
      <w:r>
        <w:rPr>
          <w:color w:val="5A7D3A"/>
          <w:sz w:val="18"/>
        </w:rPr>
        <w:t>https://pubmed.ncbi.nlm.nih.gov/42654486/</w:t>
      </w:r>
    </w:p>
    <w:p>
      <w:pPr>
        <w:pStyle w:val="Heading2"/>
      </w:pPr>
      <w:r>
        <w:t>Jennerian-Vakzination in Europa (1799–1810): Transnational verbreitete Arznei und Wissen</w:t>
      </w:r>
    </w:p>
    <w:p>
      <w:r>
        <w:rPr>
          <w:i/>
          <w:color w:val="666666"/>
          <w:sz w:val="18"/>
        </w:rPr>
        <w:t>Tuells J  ·  Vaccine  ·  17.09.2026  ·  PMID 42600246</w:t>
      </w:r>
    </w:p>
    <w:p>
      <w:r>
        <w:t>Historische Studie zur frühen Verbreitung der Kuhpockenvakzination in Europa durch ein Netzwerk von Ärzten, anhand von Korrespondenz und Materialflüssen zwischen London, Wien und Genf.</w:t>
      </w:r>
    </w:p>
    <w:p>
      <w:r>
        <w:rPr>
          <w:b/>
        </w:rPr>
        <w:t xml:space="preserve">Ergebnis: </w:t>
      </w:r>
      <w:r>
        <w:t>Jean de Carro, ein Genfer Arzt in Wien, fungierte als Vermittler für die Verbreitung von Vakzinationswissen und Impfstoff-Lymphe. Das Netzwerk ermöglichte die rasche Ausbreitung von 1799 bis 1810 in Richtung Ottomanisches Reich und Indien. Vakzination verbreitete sich nicht allein durch staatliche Kampagnen, sondern durch transnationale ärztliche Netzwerke.</w:t>
      </w:r>
    </w:p>
    <w:p>
      <w:r>
        <w:rPr>
          <w:b/>
          <w:sz w:val="19"/>
        </w:rPr>
        <w:t xml:space="preserve">Übertragbarkeit: </w:t>
      </w:r>
      <w:r>
        <w:rPr>
          <w:sz w:val="19"/>
        </w:rPr>
        <w:t>Historische Perspektive auf Vakzinationsverbreitung durch Netzwerke und persönliche Verbindungen</w:t>
      </w:r>
    </w:p>
    <w:p>
      <w:r>
        <w:rPr>
          <w:color w:val="5A7D3A"/>
          <w:sz w:val="18"/>
        </w:rPr>
        <w:t>https://pubmed.ncbi.nlm.nih.gov/42600246/</w:t>
      </w:r>
    </w:p>
    <w:p>
      <w:pPr>
        <w:pStyle w:val="Heading2"/>
      </w:pPr>
      <w:r>
        <w:t>Mütterliche Sechsfach-Streptococcus-B-Impfung: Phase-1/2-Studie bei nicht-schwangeren und schwangeren Frauen</w:t>
      </w:r>
    </w:p>
    <w:p>
      <w:r>
        <w:rPr>
          <w:i/>
          <w:color w:val="666666"/>
          <w:sz w:val="18"/>
        </w:rPr>
        <w:t>Madhi SA et al.  ·  Nat Med  ·  28.07.2026  ·  PMID 42521820</w:t>
      </w:r>
    </w:p>
    <w:p>
      <w:r>
        <w:t>Randomisierte Phase-1/2-Studie zur Sicherheit, Verträglichkeit und Immunogenität einer hexavalenten Polysaccharid-Protein-Konjugat-GBS-Vakzine (GBS6) in nicht-schwangeren Frauen und schwangeren Frauen sowie deren Neugeborenen.</w:t>
      </w:r>
    </w:p>
    <w:p>
      <w:r>
        <w:rPr>
          <w:b/>
        </w:rPr>
        <w:t xml:space="preserve">Ergebnis: </w:t>
      </w:r>
      <w:r>
        <w:t>Stadium 1 (n=66 nicht-schwanger): GBS6, GBS6+AlPO4 oder Placebo. Subgruppe erhielt Booster ~2 Jahre später. Stadium 3 (n=216 schwanger, 209 Neugeborene): GBS6 oder Placebo (Woche 24–36 Schwangerschaft). Fast alle Reaktogenizität-Ereignisse mild oder moderat. SAE/MAE ähnlich zwischen GBS6 und Placebo bei Müttern und Neugeborenen. GBS6 induzierte robuste Immunantworten; serotyp-spezifische Antikörper in Neugeborenen, deren Mütter GBS6 erhielten. Zwei neonatale Sepsis-Todesfälle (je einer in GBS6 und Placebo), keiner als vakzine-bedingt bewertet.</w:t>
      </w:r>
    </w:p>
    <w:p>
      <w:r>
        <w:rPr>
          <w:b/>
          <w:sz w:val="19"/>
        </w:rPr>
        <w:t xml:space="preserve">Übertragbarkeit: </w:t>
      </w:r>
      <w:r>
        <w:rPr>
          <w:sz w:val="19"/>
        </w:rPr>
        <w:t>Südafrika, USA, UK – erste klinische Daten zu maternaler GBS-Vakzination für neonatalen Schutz</w:t>
      </w:r>
    </w:p>
    <w:p>
      <w:r>
        <w:rPr>
          <w:color w:val="5A7D3A"/>
          <w:sz w:val="18"/>
        </w:rPr>
        <w:t>https://pubmed.ncbi.nlm.nih.gov/42521820/</w:t>
      </w:r>
    </w:p>
    <w:p>
      <w:pPr>
        <w:pStyle w:val="Heading2"/>
      </w:pPr>
      <w:r>
        <w:t>Hochdosis-Grippeimpfstoff in Spanien: Einführung, Anwendung und Evidenz</w:t>
      </w:r>
    </w:p>
    <w:p>
      <w:r>
        <w:rPr>
          <w:i/>
          <w:color w:val="666666"/>
          <w:sz w:val="18"/>
        </w:rPr>
        <w:t>Sanz-Muñoz I et al.  ·  Front Immunol  ·  30.06.2026  ·  PMID 42454050</w:t>
      </w:r>
    </w:p>
    <w:p>
      <w:r>
        <w:t>Narrative Synthese der klinischen Evidenz und Analyse von Vakzinierungsstrategien in spanischen autonomen Gemeinschaften seit Einführung von Hochdosis-Grippeimpfstoffen während der COVID-19-Pandemie.</w:t>
      </w:r>
    </w:p>
    <w:p>
      <w:r>
        <w:rPr>
          <w:b/>
        </w:rPr>
        <w:t xml:space="preserve">Ergebnis: </w:t>
      </w:r>
      <w:r>
        <w:t>Hochdosis-Grippeimpfstoffe zeigen überlegene Effektivität gegen schwere Influenza, Lungenentzündung und Mortalität bei Erwachsenen ≥60 Jahren in randomisierten Studien und Real-World-Daten. Heterogene regionale Aufnahme: manche Regionen priorisierten Institutionalisierte, andere erweiterten auf Community-Bewohner ≥60 Jahre. Trend zu breiter Adoption und Senkung des Altersgrenzwerts.</w:t>
      </w:r>
    </w:p>
    <w:p>
      <w:r>
        <w:rPr>
          <w:b/>
          <w:sz w:val="19"/>
        </w:rPr>
        <w:t xml:space="preserve">Übertragbarkeit: </w:t>
      </w:r>
      <w:r>
        <w:rPr>
          <w:sz w:val="19"/>
        </w:rPr>
        <w:t>Spanien, vergleichbare Gesundheitssysteme in Europa und Altersstruktur-Problematik</w:t>
      </w:r>
    </w:p>
    <w:p>
      <w:r>
        <w:rPr>
          <w:color w:val="5A7D3A"/>
          <w:sz w:val="18"/>
        </w:rPr>
        <w:t>https://pubmed.ncbi.nlm.nih.gov/42454050/</w:t>
      </w:r>
    </w:p>
    <w:p>
      <w:pPr>
        <w:pStyle w:val="Heading1"/>
      </w:pPr>
      <w:r>
        <w:t>Aufgenommen am 02.09.2026</w:t>
      </w:r>
    </w:p>
    <w:p>
      <w:pPr>
        <w:pStyle w:val="Heading2"/>
      </w:pPr>
      <w:r>
        <w:t>Grippeimpfstoff-Wirksamkeit gegen mild und schwer verlaufende Infektionen in Portugal</w:t>
      </w:r>
    </w:p>
    <w:p>
      <w:r>
        <w:rPr>
          <w:i/>
          <w:color w:val="666666"/>
          <w:sz w:val="18"/>
        </w:rPr>
        <w:t>Mourao F et al.  ·  Influenza Other Respir Viruses  ·  Sept. 2026  ·  PMID 42675936</w:t>
      </w:r>
    </w:p>
    <w:p>
      <w:r>
        <w:t>Testvergleichsstudie an 3.393 PCR-getesteten Patienten in Portugal (2015/16–2023/24) zur Grippeimpfstoff-Effektivität (IVE) gegen leichte und schwere Erkrankung.</w:t>
      </w:r>
    </w:p>
    <w:p>
      <w:r>
        <w:rPr>
          <w:b/>
        </w:rPr>
        <w:t xml:space="preserve">Ergebnis: </w:t>
      </w:r>
      <w:r>
        <w:t>IVE betrug 40,4 % (KI 22,7–54,0) bei ambulanten Patienten und 38,7 % (KI 17,6–54,5) bei hospitalisierten Fällen; Unterschied von 1,7 % war statistisch nicht signifikant (KI −22,0; 26,8). Keine relevanten Unterschiede in Subgruppen (≥65 Jahre, Komorbiditäten, Influenza-A-Subtypen). Impfstoff schützt über Versorgungssettings hinweg ähnlich gut.</w:t>
      </w:r>
    </w:p>
    <w:p>
      <w:r>
        <w:rPr>
          <w:b/>
          <w:sz w:val="19"/>
        </w:rPr>
        <w:t xml:space="preserve">Übertragbarkeit: </w:t>
      </w:r>
      <w:r>
        <w:rPr>
          <w:sz w:val="19"/>
        </w:rPr>
        <w:t>Portugal, EU-Nachbarland, Gesundheitssystem vergleichbar mit Deutschland</w:t>
      </w:r>
    </w:p>
    <w:p>
      <w:r>
        <w:rPr>
          <w:color w:val="5A7D3A"/>
          <w:sz w:val="18"/>
        </w:rPr>
        <w:t>https://pubmed.ncbi.nlm.nih.gov/42675936/</w:t>
      </w:r>
    </w:p>
    <w:p>
      <w:pPr>
        <w:pStyle w:val="Heading2"/>
      </w:pPr>
      <w:r>
        <w:t>HPV-Impfprogramme weltweit: Schulgebundenes Impfen erzielte höchste Quoten</w:t>
      </w:r>
    </w:p>
    <w:p>
      <w:r>
        <w:rPr>
          <w:i/>
          <w:color w:val="666666"/>
          <w:sz w:val="18"/>
        </w:rPr>
        <w:t>Kyei GK et al.  ·  J Nurs Scholarsh  ·  Sept. 2026  ·  PMID 42670010</w:t>
      </w:r>
    </w:p>
    <w:p>
      <w:r>
        <w:t>Qualitative Vergleichsanalyse von HPV-Impfrichtlinien in acht Ländern (Australien, Brasilien, Japan, Nigeria, Ruanda, Schweden, Großbritannien, USA) zur Identifikation von Einflussfaktoren auf Impfquoten.</w:t>
      </w:r>
    </w:p>
    <w:p>
      <w:r>
        <w:rPr>
          <w:b/>
        </w:rPr>
        <w:t xml:space="preserve">Ergebnis: </w:t>
      </w:r>
      <w:r>
        <w:t>Fünf Programmarchetypen identifiziert. Schulgebundene universelle Programme mit Pflegekräfte-Unterstützung erzielten höchste und gerechteste Abdeckung. Ruanda erreichte trotz Mädchen-fokussiertem, Donor-finanziertem Modell 98 % (Governance und Vertrauen überwogen Programmdesign). Transition zu Ein-Dosis-Impfung erfordert landesspezifische Anpassung.</w:t>
      </w:r>
    </w:p>
    <w:p>
      <w:r>
        <w:rPr>
          <w:b/>
          <w:sz w:val="19"/>
        </w:rPr>
        <w:t xml:space="preserve">Übertragbarkeit: </w:t>
      </w:r>
      <w:r>
        <w:rPr>
          <w:sz w:val="19"/>
        </w:rPr>
        <w:t>Programm-Vergleich, Strukturmerkmale übertragbar, insbesondere schulbasierte Systeme</w:t>
      </w:r>
    </w:p>
    <w:p>
      <w:r>
        <w:rPr>
          <w:color w:val="5A7D3A"/>
          <w:sz w:val="18"/>
        </w:rPr>
        <w:t>https://pubmed.ncbi.nlm.nih.gov/42670010/</w:t>
      </w:r>
    </w:p>
    <w:p>
      <w:pPr>
        <w:pStyle w:val="Heading2"/>
      </w:pPr>
      <w:r>
        <w:t>ChAdOx1 nCoV-19: Langzeitsicherheit bei 4.470 Probanden über 11,77 Monate</w:t>
      </w:r>
    </w:p>
    <w:p>
      <w:r>
        <w:rPr>
          <w:i/>
          <w:color w:val="666666"/>
          <w:sz w:val="18"/>
        </w:rPr>
        <w:t>Ebrahimi N et al.  ·  Vaccine  ·  13.08.2026  ·  PMID 42472497</w:t>
      </w:r>
    </w:p>
    <w:p>
      <w:r>
        <w:t>Prospektive Kohortenstudie von Probanden aus ChAdOx1-nCoV-19-Originalstudien mit follow-up September 2021–April 2022, Erfassung schwerwiegender unerwünschter Ereignisse (SAE) und Ereignisse von besonderem Interesse (AESI) nach Brighton-Collaboration-Definitionen.</w:t>
      </w:r>
    </w:p>
    <w:p>
      <w:r>
        <w:rPr>
          <w:b/>
        </w:rPr>
        <w:t xml:space="preserve">Ergebnis: </w:t>
      </w:r>
      <w:r>
        <w:t>4.470 Teilnehmer, 3.845 (86,0 %) Studienabschluss. Mediane Nachbeobachtung 11,77 Monate, 48.116 Personenmonate Gesamtnachbeobachtung. 174 SAE und 71 AESI (33 als beide registriert) bei 195 Teilnehmern, darunter 5 Todesfälle. Gesamtimmunglobulin-IgG gegen trimeres SARS-CoV-2-Spike-Protein zeigte Anstiegstendenz während Studie. Keine emergenten Sicherheitssignale; kontinuierliche Pharmakovigilanz bleibt essentiell, besonders für neurologische Störungen.</w:t>
      </w:r>
    </w:p>
    <w:p>
      <w:r>
        <w:rPr>
          <w:b/>
          <w:sz w:val="19"/>
        </w:rPr>
        <w:t xml:space="preserve">Übertragbarkeit: </w:t>
      </w:r>
      <w:r>
        <w:rPr>
          <w:sz w:val="19"/>
        </w:rPr>
        <w:t>Großbritannien, Oxford-Studie, NHS-basierte Kohortenverfolgung, vergleichbar mit deutschen Versorgungsdaten</w:t>
      </w:r>
    </w:p>
    <w:p>
      <w:r>
        <w:rPr>
          <w:color w:val="5A7D3A"/>
          <w:sz w:val="18"/>
        </w:rPr>
        <w:t>https://pubmed.ncbi.nlm.nih.gov/42472497/</w:t>
      </w:r>
    </w:p>
    <w:p>
      <w:pPr>
        <w:pStyle w:val="Heading2"/>
      </w:pPr>
      <w:r>
        <w:t>Hochdosis-Grippeimpfung für Senioren in Skandinavien: Kostenwirksamkeit und Nutzen</w:t>
      </w:r>
    </w:p>
    <w:p>
      <w:r>
        <w:rPr>
          <w:i/>
          <w:color w:val="666666"/>
          <w:sz w:val="18"/>
        </w:rPr>
        <w:t>Grootendorst A et al.  ·  Vaccine  ·  13.08.2026  ·  PMID 42468224</w:t>
      </w:r>
    </w:p>
    <w:p>
      <w:r>
        <w:t>Modellrechnung (Entscheidungsbaum-Influenza-Modell) für vier nordische Länder zum Vergleich nationaler Impfpolitik mit ausgeweitertem Hochdosis-Grippeimpfstoff-Programm für Erwachsene ≥65 Jahre.</w:t>
      </w:r>
    </w:p>
    <w:p>
      <w:r>
        <w:rPr>
          <w:b/>
        </w:rPr>
        <w:t xml:space="preserve">Ergebnis: </w:t>
      </w:r>
      <w:r>
        <w:t>Ausweitung auf alle ≥65-Jährigen würde in Schweden 13.929, Finnland 6.411, Norwegen 5.951 und Dänemark 2.438 symptomatische Fälle verhindern; entsprechend 1.615, 804, 762 bzw. 407 gewonnene Lebensjahre. Hospitalisierungen reduziert um 786, 362, 336 bzw. 138; Zusatzkosten €7,7 Mio (Schweden), €2,5 Mio (Finnland), €4,4 Mio (Norwegen), €2,4 Mio (Dänemark) – vertretbar im Verhältnis zur Gesamtausgaben.</w:t>
      </w:r>
    </w:p>
    <w:p>
      <w:r>
        <w:rPr>
          <w:b/>
          <w:sz w:val="19"/>
        </w:rPr>
        <w:t xml:space="preserve">Übertragbarkeit: </w:t>
      </w:r>
      <w:r>
        <w:rPr>
          <w:sz w:val="19"/>
        </w:rPr>
        <w:t>Skandinavien, Sozialversicherungssysteme vergleichbar mit Deutschland</w:t>
      </w:r>
    </w:p>
    <w:p>
      <w:r>
        <w:rPr>
          <w:color w:val="5A7D3A"/>
          <w:sz w:val="18"/>
        </w:rPr>
        <w:t>https://pubmed.ncbi.nlm.nih.gov/42468224/</w:t>
      </w:r>
    </w:p>
    <w:p>
      <w:pPr>
        <w:pStyle w:val="Heading2"/>
      </w:pPr>
      <w:r>
        <w:t>Bereitschaft zur Cholera-Impfung in sechs afrikanischen Ländern: Psychologische Faktoren und Krankheitsrisiko</w:t>
      </w:r>
    </w:p>
    <w:p>
      <w:r>
        <w:rPr>
          <w:i/>
          <w:color w:val="666666"/>
          <w:sz w:val="18"/>
        </w:rPr>
        <w:t>Geiger M et al.  ·  Vaccine  ·  13.08.2026  ·  PMID 42462676</w:t>
      </w:r>
    </w:p>
    <w:p>
      <w:r>
        <w:t>Querschnittsbefragung von 14.132 englischsprachigen Teilnehmern in Ghana, Kenia, Nigeria, Südafrika, Tansania und Uganda zur Impfbereitschaft gegen Cholera anhand des 7C-Modells (Vertrauen, Unachtsamkeit, Zwänge, Berechnung, kollektive Verantwortung, Einhaltung, Verschwörungsdenken).</w:t>
      </w:r>
    </w:p>
    <w:p>
      <w:r>
        <w:rPr>
          <w:b/>
        </w:rPr>
        <w:t xml:space="preserve">Ergebnis: </w:t>
      </w:r>
      <w:r>
        <w:t>Impfbereitschaft korrelierte stark mit selbstberichteter Cholera-Impfstatus (d = 0,32) und allgemeinem Impfstatus (r = 0,35). Persönliche Cholera-Erfahrung assoziiert mit höherer Bereitschaft (d = 0,14). Auf Länderebene: Durchschnittliche Bereitschaft korrelierte stark mit Cholera-Inzidenz letzte drei Jahre (ρ = 0,89) – höhere Bereitschaft in Ländern mit höherer Krankheitslast.</w:t>
      </w:r>
    </w:p>
    <w:p>
      <w:r>
        <w:rPr>
          <w:b/>
          <w:sz w:val="19"/>
        </w:rPr>
        <w:t xml:space="preserve">Übertragbarkeit: </w:t>
      </w:r>
      <w:r>
        <w:rPr>
          <w:sz w:val="19"/>
        </w:rPr>
        <w:t>Afrika, methodologische Erkenntnis zu Vaccine Hesitancy-Messung in Ländern mit niedrigem Impfniveau</w:t>
      </w:r>
    </w:p>
    <w:p>
      <w:r>
        <w:rPr>
          <w:color w:val="5A7D3A"/>
          <w:sz w:val="18"/>
        </w:rPr>
        <w:t>https://pubmed.ncbi.nlm.nih.gov/42462676/</w:t>
      </w:r>
    </w:p>
    <w:p>
      <w:pPr>
        <w:pStyle w:val="Heading2"/>
      </w:pPr>
      <w:r>
        <w:t>SARS-CoV-2-Impfung bei Stammzell-Transplantierten: Antikörperantwort vergleichbar mit Gesunden</w:t>
      </w:r>
    </w:p>
    <w:p>
      <w:r>
        <w:rPr>
          <w:i/>
          <w:color w:val="666666"/>
          <w:sz w:val="18"/>
        </w:rPr>
        <w:t>Maier CP et al.  ·  Front Immunol  ·  01.07.2026  ·  PMID 42459652</w:t>
      </w:r>
    </w:p>
    <w:p>
      <w:r>
        <w:t>Längsschnitt-Studie an 354 allogenen Stammzell-Transplantierten und 647 gesunden Kontrollen zu IgG-, IgM-, IgA-Antikörper-Kinetik gegen SARS-CoV-2-Antigene nach mRNA-, Vektor- und Protein-Impfstoff-Dosen.</w:t>
      </w:r>
    </w:p>
    <w:p>
      <w:r>
        <w:rPr>
          <w:b/>
        </w:rPr>
        <w:t xml:space="preserve">Ergebnis: </w:t>
      </w:r>
      <w:r>
        <w:t>Anti-Spike-IgG-Serokonversion: nach 1. Dosis 27 % (Patienten) vs. 28 % (Kontrollen), nach 2. Dosis 65 % vs. 59 %, nach 3. Dosis 93 % vs. 98 %. Nach drei Dosen keine signifikanten Unterschiede mehr zwischen Gruppen. IgM/IgA selten. Negative Prädiktoren nach 1. Dosis (Diagnose, kürzeres Intervall, niedrige Lymphozyten), nach 3. Dosis keine. Antikörperspiegel ≥6 Monate stabil. Durchbruchinfektionen mild.</w:t>
      </w:r>
    </w:p>
    <w:p>
      <w:r>
        <w:rPr>
          <w:b/>
          <w:sz w:val="19"/>
        </w:rPr>
        <w:t xml:space="preserve">Übertragbarkeit: </w:t>
      </w:r>
      <w:r>
        <w:rPr>
          <w:sz w:val="19"/>
        </w:rPr>
        <w:t>Deutschland, deutschsprachige Autoren (Tübingen), Transplantationszentren vergleichbar</w:t>
      </w:r>
    </w:p>
    <w:p>
      <w:r>
        <w:rPr>
          <w:color w:val="5A7D3A"/>
          <w:sz w:val="18"/>
        </w:rPr>
        <w:t>https://pubmed.ncbi.nlm.nih.gov/42459652/</w:t>
      </w:r>
    </w:p>
    <w:p>
      <w:pPr>
        <w:pStyle w:val="Heading1"/>
      </w:pPr>
      <w:r>
        <w:t>Aufgenommen am 01.09.2026</w:t>
      </w:r>
    </w:p>
    <w:p>
      <w:pPr>
        <w:pStyle w:val="Heading2"/>
      </w:pPr>
      <w:r>
        <w:t>Neue mRNA-Impfstoffe gegen COVID-19 in Phase 2: Sicherheit und Immunogenität</w:t>
      </w:r>
    </w:p>
    <w:p>
      <w:r>
        <w:rPr>
          <w:i/>
          <w:color w:val="666666"/>
          <w:sz w:val="18"/>
        </w:rPr>
        <w:t>Wong R et al.  ·  Hum Vaccin Immunother  ·  26.08.2026  ·  PMID 42647564</w:t>
      </w:r>
    </w:p>
    <w:p>
      <w:r>
        <w:t>Phase-2-Studie mit 425 vorgeimpften Erwachsenen in Australien: Vergleich experimenteller bivalenter und monovalenter mRNA-Impfstoffe mit lizenziertem Wuhan/BA.4-5-Impfstoff.</w:t>
      </w:r>
    </w:p>
    <w:p>
      <w:r>
        <w:rPr>
          <w:b/>
        </w:rPr>
        <w:t xml:space="preserve">Ergebnis: </w:t>
      </w:r>
      <w:r>
        <w:t>Überwiegend milde bis moderate Lokalreaktionen. Keine impfstoffbedingten schwerwiegenden Nebenwirkungen oder Myokarditis/Perikarditis. CV0701-Impfstoff (bivalent) zeigte dosisabhängige Neutralisationsantikörper-Anstiege gegen ancestrales D614G und Omicron BA.4-5. CD4+- und CD8+-T-Zell-Antworten in allen Gruppen außer niedrigster CV0701-Dosis.</w:t>
      </w:r>
    </w:p>
    <w:p>
      <w:r>
        <w:rPr>
          <w:b/>
          <w:sz w:val="19"/>
        </w:rPr>
        <w:t xml:space="preserve">Übertragbarkeit: </w:t>
      </w:r>
      <w:r>
        <w:rPr>
          <w:sz w:val="19"/>
        </w:rPr>
        <w:t>Australisches Studienzentrum, Phase 2; Sicherheitsprofil übertragbar, Immunogenität Laborbiomarker.</w:t>
      </w:r>
    </w:p>
    <w:p>
      <w:r>
        <w:rPr>
          <w:color w:val="5A7D3A"/>
          <w:sz w:val="18"/>
        </w:rPr>
        <w:t>https://pubmed.ncbi.nlm.nih.gov/42647564/</w:t>
      </w:r>
    </w:p>
    <w:p>
      <w:pPr>
        <w:pStyle w:val="Heading2"/>
      </w:pPr>
      <w:r>
        <w:t>Pertussis-Impfschutz in Schweden durch Durchbruchinfektionen gefährdet</w:t>
      </w:r>
    </w:p>
    <w:p>
      <w:r>
        <w:rPr>
          <w:i/>
          <w:color w:val="666666"/>
          <w:sz w:val="18"/>
        </w:rPr>
        <w:t>Brett TS et al.  ·  PLoS Comput Biol  ·  04.08.2026  ·  PMID 42550879</w:t>
      </w:r>
    </w:p>
    <w:p>
      <w:r>
        <w:t>Mathematisches Modell der Pertussis-Dynamik in Schweden mit empirischen Meldedaten: Kombination aus leaky DTaP-Immunität, Impfstoffschutz-Abnahme und erhöhter Datenerfassung seit 2014.</w:t>
      </w:r>
    </w:p>
    <w:p>
      <w:r>
        <w:rPr>
          <w:b/>
        </w:rPr>
        <w:t xml:space="preserve">Ergebnis: </w:t>
      </w:r>
      <w:r>
        <w:t>Die DTaP-Impfung verhindert etwa 50% der Infektionen bei ungeimpften Neugeborenen (indirekter Schutz). Pertussis-Elimination ist mit azellulärem Impfstoff nicht möglich wegen Impfstoff-Durchlässigkeit und Immunitätsverlust. Der Anstieg der Fallmeldungen ab 2014 wird nicht allein durch echte Infektionszunahme erklärt, sondern auch durch verbesserte Labortestung.</w:t>
      </w:r>
    </w:p>
    <w:p>
      <w:r>
        <w:rPr>
          <w:b/>
          <w:sz w:val="19"/>
        </w:rPr>
        <w:t xml:space="preserve">Übertragbarkeit: </w:t>
      </w:r>
      <w:r>
        <w:rPr>
          <w:sz w:val="19"/>
        </w:rPr>
        <w:t>Schweden mit detailliertem Surveillance-System; Befund auf Deutschland übertragbar.</w:t>
      </w:r>
    </w:p>
    <w:p>
      <w:r>
        <w:rPr>
          <w:color w:val="5A7D3A"/>
          <w:sz w:val="18"/>
        </w:rPr>
        <w:t>https://pubmed.ncbi.nlm.nih.gov/42550879/</w:t>
      </w:r>
    </w:p>
    <w:p>
      <w:pPr>
        <w:pStyle w:val="Heading2"/>
      </w:pPr>
      <w:r>
        <w:t>Zoster-Impfstoff während Krebstherapie: Umsetzbarkeit und Sicherheit</w:t>
      </w:r>
    </w:p>
    <w:p>
      <w:r>
        <w:rPr>
          <w:i/>
          <w:color w:val="666666"/>
          <w:sz w:val="18"/>
        </w:rPr>
        <w:t>Ciappina G et al.  ·  Hum Vaccin Immunother  ·  30.07.2026  ·  PMID 42529910</w:t>
      </w:r>
    </w:p>
    <w:p>
      <w:r>
        <w:t>Retrospektive Kohorte von 42 Krebspatienten unter systemischer Therapie, denen rekombinanter Zoster-Impfstoff (RZV) angeboten wurde; zwei Dosen im Standard-Abstand.</w:t>
      </w:r>
    </w:p>
    <w:p>
      <w:r>
        <w:rPr>
          <w:b/>
        </w:rPr>
        <w:t xml:space="preserve">Ergebnis: </w:t>
      </w:r>
      <w:r>
        <w:t>37 von 42 (88,1%) vollendeten beide Dosen. Verträglichkeit günstig: Injektionsstellen-Schmerz am häufigsten, Systembeschwerden mild und vorübergehend. Keine schweren impfbezogenen Ereignisse, keine Behandlungsverzögerungen. Nach Median 11,5 Monaten kein dokumentiertes Herpes zoster (aber kleine Fallzahl).</w:t>
      </w:r>
    </w:p>
    <w:p>
      <w:r>
        <w:rPr>
          <w:b/>
          <w:sz w:val="19"/>
        </w:rPr>
        <w:t xml:space="preserve">Übertragbarkeit: </w:t>
      </w:r>
      <w:r>
        <w:rPr>
          <w:sz w:val="19"/>
        </w:rPr>
        <w:t>Einzelnes italienisches Zentrum; Machbarkeitsbefund für Impfen unter Immunsuppression relevant.</w:t>
      </w:r>
    </w:p>
    <w:p>
      <w:r>
        <w:rPr>
          <w:color w:val="5A7D3A"/>
          <w:sz w:val="18"/>
        </w:rPr>
        <w:t>https://pubmed.ncbi.nlm.nih.gov/42529910/</w:t>
      </w:r>
    </w:p>
    <w:p>
      <w:pPr>
        <w:pStyle w:val="Heading2"/>
      </w:pPr>
      <w:r>
        <w:t>HPV-Impfbereitschaft bei ländlichen Eltern: Barrieren und Anreize in Äthiopien</w:t>
      </w:r>
    </w:p>
    <w:p>
      <w:r>
        <w:rPr>
          <w:i/>
          <w:color w:val="666666"/>
          <w:sz w:val="18"/>
        </w:rPr>
        <w:t>Zenebe S et al.  ·  PLoS One  ·  22.07.2026  ·  PMID 42485289</w:t>
      </w:r>
    </w:p>
    <w:p>
      <w:r>
        <w:t>Qualitative Studie zu Faktoren der HPV-Impf-Akzeptanz bei Eltern von Mädchen im ländlichen Südäthiopien mittels Fokusgruppen und Einzelinterviews.</w:t>
      </w:r>
    </w:p>
    <w:p>
      <w:r>
        <w:rPr>
          <w:b/>
        </w:rPr>
        <w:t xml:space="preserve">Ergebnis: </w:t>
      </w:r>
      <w:r>
        <w:t>Befürworter: Krebsprävention, elterliche Verantwortung, Vertrauen in Fachkräfte-Empfehlungen. Barrieren: Mangelndes Wissen, fehlende zuverlässige Informationsquellen, Impfskepsis, Angst vor Nebenwirkungen, kulturelle und religiöse Faktoren. Hauptempfehlung: Behörden und Institutionen müssen zusammen gegen erkannte Barrieren vorgehen.</w:t>
      </w:r>
    </w:p>
    <w:p>
      <w:r>
        <w:rPr>
          <w:b/>
          <w:sz w:val="19"/>
        </w:rPr>
        <w:t xml:space="preserve">Übertragbarkeit: </w:t>
      </w:r>
      <w:r>
        <w:rPr>
          <w:sz w:val="19"/>
        </w:rPr>
        <w:t>Äthiopien-Setting; Befunde zu Vertrauensfaktoren und Wissensdefiziten weltweit relevant.</w:t>
      </w:r>
    </w:p>
    <w:p>
      <w:r>
        <w:rPr>
          <w:color w:val="5A7D3A"/>
          <w:sz w:val="18"/>
        </w:rPr>
        <w:t>https://pubmed.ncbi.nlm.nih.gov/42485289/</w:t>
      </w:r>
    </w:p>
    <w:p>
      <w:pPr>
        <w:pStyle w:val="Heading2"/>
      </w:pPr>
      <w:r>
        <w:t>CAR-T-Zelltherapie für Autoimmunerkrankungen: Stand und Perspektiven</w:t>
      </w:r>
    </w:p>
    <w:p>
      <w:r>
        <w:rPr>
          <w:i/>
          <w:color w:val="666666"/>
          <w:sz w:val="18"/>
        </w:rPr>
        <w:t>Bachl J et al.  ·  PLoS Med  ·  20.07.2026  ·  PMID 42475287</w:t>
      </w:r>
    </w:p>
    <w:p>
      <w:r>
        <w:t>Überblickartikel zu CAR-T-Zellen (chimäre Antigen-Rezeptoren) in der Behandlung von Autoimmunerkrankungen: bisherige Erfolge und offene Fragen.</w:t>
      </w:r>
    </w:p>
    <w:p>
      <w:r>
        <w:rPr>
          <w:b/>
        </w:rPr>
        <w:t xml:space="preserve">Ergebnis: </w:t>
      </w:r>
      <w:r>
        <w:t>CAR-T-Therapien haben Potenzial, dysfunktionale Immunsysteme zurückzusetzen. Neueste technologische Entwicklungen ermöglichen Hoffnung für Patienten mit therapierefraktären Autoimmunerkrankungen. Zahlreiche Herausforderungen bleiben, insgesamt wird die transformative Wirkung dieser Zelltherapien für künftige Patienten angedeutet.</w:t>
      </w:r>
    </w:p>
    <w:p>
      <w:r>
        <w:rPr>
          <w:b/>
          <w:sz w:val="19"/>
        </w:rPr>
        <w:t xml:space="preserve">Übertragbarkeit: </w:t>
      </w:r>
      <w:r>
        <w:rPr>
          <w:sz w:val="19"/>
        </w:rPr>
        <w:t>Überblick ohne primäre Daten; nicht primär impfpräventiv, sondern therapeutisch.</w:t>
      </w:r>
    </w:p>
    <w:p>
      <w:r>
        <w:rPr>
          <w:color w:val="5A7D3A"/>
          <w:sz w:val="18"/>
        </w:rPr>
        <w:t>https://pubmed.ncbi.nlm.nih.gov/42475287/</w:t>
      </w:r>
    </w:p>
    <w:p>
      <w:pPr>
        <w:pStyle w:val="Heading2"/>
      </w:pPr>
      <w:r>
        <w:t>Pentavalent-Impflücke verursachte Diphtherie-Ausbruch in Nigeria</w:t>
      </w:r>
    </w:p>
    <w:p>
      <w:r>
        <w:rPr>
          <w:i/>
          <w:color w:val="666666"/>
          <w:sz w:val="18"/>
        </w:rPr>
        <w:t>Okhuarobo UJ et al.  ·  Pan Afr Med J  ·  10.03.2026  ·  PMID 42465825</w:t>
      </w:r>
    </w:p>
    <w:p>
      <w:r>
        <w:t>Fall-Kontroll-Studie zu Diphtherie-Ausbruch in Kafanchan, Nigeria (Juli-Oktober 2023): Exposition, Kontakte und Impfstatus.</w:t>
      </w:r>
    </w:p>
    <w:p>
      <w:r>
        <w:rPr>
          <w:b/>
        </w:rPr>
        <w:t xml:space="preserve">Ergebnis: </w:t>
      </w:r>
      <w:r>
        <w:t>91 Fälle, medianes Alter 7 Jahre, Fallsterblichkeit 23%. Pentavalent-Impfung: protektiv (aOR 0,39, 95%-KI 0,20–0,77). Kontakt mit respiratorischen Symptomen: OR 37,2 (KI 16,8–82,6). 25% hatten nie Pentavalent erhalten, Grund: Unwissenheit über Nutzen. Verbesserung durch Risikokommunikation und gestärkte Routine-Impfung.</w:t>
      </w:r>
    </w:p>
    <w:p>
      <w:r>
        <w:rPr>
          <w:b/>
          <w:sz w:val="19"/>
        </w:rPr>
        <w:t xml:space="preserve">Übertragbarkeit: </w:t>
      </w:r>
      <w:r>
        <w:rPr>
          <w:sz w:val="19"/>
        </w:rPr>
        <w:t>Nigeria-Daten; Mechanism-Befund (Lücken-Ausbruch) global übertragbar.</w:t>
      </w:r>
    </w:p>
    <w:p>
      <w:r>
        <w:rPr>
          <w:color w:val="5A7D3A"/>
          <w:sz w:val="18"/>
        </w:rPr>
        <w:t>https://pubmed.ncbi.nlm.nih.gov/42465825/</w:t>
      </w:r>
    </w:p>
    <w:p>
      <w:pPr>
        <w:pStyle w:val="Heading1"/>
      </w:pPr>
      <w:r>
        <w:t>Aufgenommen am 31.08.2026</w:t>
      </w:r>
    </w:p>
    <w:p>
      <w:pPr>
        <w:pStyle w:val="Heading2"/>
      </w:pPr>
      <w:r>
        <w:t>Langzeitimmunität nach Hepatitis-B-Impfung bei Menschen mit HIV: 8,5-Jahr-Verlauf in China</w:t>
      </w:r>
    </w:p>
    <w:p>
      <w:r>
        <w:rPr>
          <w:i/>
          <w:color w:val="666666"/>
          <w:sz w:val="18"/>
        </w:rPr>
        <w:t>Yang H et al.  ·  Front Public Health  ·  14.08.2026  ·  PMID 42666258</w:t>
      </w:r>
    </w:p>
    <w:p>
      <w:r>
        <w:t>Retrospektive Kohortenstudie mit 195 HIV-positiven Personen ohne anti-HBs-Schutz, die Heplisav-B erhielten, mit Langzeitfollow-up 1,5-8,5 Jahre.</w:t>
      </w:r>
    </w:p>
    <w:p>
      <w:r>
        <w:rPr>
          <w:b/>
        </w:rPr>
        <w:t xml:space="preserve">Ergebnis: </w:t>
      </w:r>
      <w:r>
        <w:t>Nach 3-4 Dosen initial 98% und 85% Responserate (vs. 77-79% nach 1-2 Dosen). Nach 8,5 Jahren: 83% (3 Dosen) und 88% (4 Dosen) zeigten anhaltende Antikörper &gt;100 IU/mL. Unabhängige Korrelaten: Dosenzahl und frühes serologisches Ansprechen.</w:t>
      </w:r>
    </w:p>
    <w:p>
      <w:r>
        <w:rPr>
          <w:b/>
          <w:sz w:val="19"/>
        </w:rPr>
        <w:t xml:space="preserve">Übertragbarkeit: </w:t>
      </w:r>
      <w:r>
        <w:rPr>
          <w:sz w:val="19"/>
        </w:rPr>
        <w:t>China, aber Heplisav-B weltweit, zeigt optimale Impfschemata für immungeschwächte Personen</w:t>
      </w:r>
    </w:p>
    <w:p>
      <w:r>
        <w:rPr>
          <w:color w:val="5A7D3A"/>
          <w:sz w:val="18"/>
        </w:rPr>
        <w:t>https://pubmed.ncbi.nlm.nih.gov/42666258/</w:t>
      </w:r>
    </w:p>
    <w:p>
      <w:pPr>
        <w:pStyle w:val="Heading2"/>
      </w:pPr>
      <w:r>
        <w:t>Sozioökonomische Ungleichheiten bei COVID-19-Impfung nigerianischer Frauen</w:t>
      </w:r>
    </w:p>
    <w:p>
      <w:r>
        <w:rPr>
          <w:i/>
          <w:color w:val="666666"/>
          <w:sz w:val="18"/>
        </w:rPr>
        <w:t>Ekholuenetale M  ·  PLoS One  ·  28.08.2026  ·  PMID 42664197</w:t>
      </w:r>
    </w:p>
    <w:p>
      <w:r>
        <w:t>Querschnittsanalyse mit 36.555 Frauen aus Nigeria-Bevölkerungsumfrage 2024 zur Zerlegung sozioökonomischer Disparitäten bei Impfquoten.</w:t>
      </w:r>
    </w:p>
    <w:p>
      <w:r>
        <w:rPr>
          <w:b/>
        </w:rPr>
        <w:t xml:space="preserve">Ergebnis: </w:t>
      </w:r>
      <w:r>
        <w:t>Impfquote bei am wenigsten benachteiligten Frauen 31,6%, bei am stärksten benachteiligten 19,2%. Positive Einflussfaktoren: höhere Bildung, Medienpräsenz, Krankenversicherung, Alter ≥30 Jahre, südliche Regionen. Bildung, Medienexposition und Versicherung trugen am stärksten zu Disparitäten bei.</w:t>
      </w:r>
    </w:p>
    <w:p>
      <w:r>
        <w:rPr>
          <w:b/>
          <w:sz w:val="19"/>
        </w:rPr>
        <w:t xml:space="preserve">Übertragbarkeit: </w:t>
      </w:r>
      <w:r>
        <w:rPr>
          <w:sz w:val="19"/>
        </w:rPr>
        <w:t>Nigeria, aber Ungleichheitsmuster zeigen universelle Zugangsbarrieren</w:t>
      </w:r>
    </w:p>
    <w:p>
      <w:r>
        <w:rPr>
          <w:color w:val="5A7D3A"/>
          <w:sz w:val="18"/>
        </w:rPr>
        <w:t>https://pubmed.ncbi.nlm.nih.gov/42664197/</w:t>
      </w:r>
    </w:p>
    <w:p>
      <w:pPr>
        <w:pStyle w:val="Heading2"/>
      </w:pPr>
      <w:r>
        <w:t>COVID-19-Impfquote bei Gemeindeimpfterminen: Dauer, Wochentag und Partnerschaft steigern Reichweite</w:t>
      </w:r>
    </w:p>
    <w:p>
      <w:r>
        <w:rPr>
          <w:i/>
          <w:color w:val="666666"/>
          <w:sz w:val="18"/>
        </w:rPr>
        <w:t>Shakib SH et al.  ·  Viruses  ·  11.08.2026  ·  PMID 42655698</w:t>
      </w:r>
    </w:p>
    <w:p>
      <w:r>
        <w:t>Retrospektive Analyse von 631 Impfterminen (27.767 Dosen) in Kentucky 2021-2022 zu Assoziationen zwischen Veranstaltungsmerkmalen und verabreichten Dosen pro Termin.</w:t>
      </w:r>
    </w:p>
    <w:p>
      <w:r>
        <w:rPr>
          <w:b/>
        </w:rPr>
        <w:t xml:space="preserve">Ergebnis: </w:t>
      </w:r>
      <w:r>
        <w:t>Jede zusätzliche Stunde Veranstaltungsdauer: +21,6% Dosen pro Termin. Wochenendtermine: +87,8% gegenüber Wochentagen. Nicht-regierungsorganisationen: +44,7%; Unternehmen: +110%; medizinische Anbieter: +57,8% gegenüber Government-Terminen. Nur-LMPHW-Termine (ohne Partner): +198,4%.</w:t>
      </w:r>
    </w:p>
    <w:p>
      <w:r>
        <w:rPr>
          <w:b/>
          <w:sz w:val="19"/>
        </w:rPr>
        <w:t xml:space="preserve">Übertragbarkeit: </w:t>
      </w:r>
      <w:r>
        <w:rPr>
          <w:sz w:val="19"/>
        </w:rPr>
        <w:t>USA, aber Zugangsoptimierungen übertragbar auf deutsche Impfstellen</w:t>
      </w:r>
    </w:p>
    <w:p>
      <w:r>
        <w:rPr>
          <w:color w:val="5A7D3A"/>
          <w:sz w:val="18"/>
        </w:rPr>
        <w:t>https://pubmed.ncbi.nlm.nih.gov/42655698/</w:t>
      </w:r>
    </w:p>
    <w:p>
      <w:pPr>
        <w:pStyle w:val="Heading2"/>
      </w:pPr>
      <w:r>
        <w:t>Mütterlicherve RSV-Impfung: Akzeptanz und Kommunikationspräferenzen schwangerer Frauen in England</w:t>
      </w:r>
    </w:p>
    <w:p>
      <w:r>
        <w:rPr>
          <w:i/>
          <w:color w:val="666666"/>
          <w:sz w:val="18"/>
        </w:rPr>
        <w:t>Bell S et al.  ·  Vaccine  ·  13.08.2026  ·  PMID 42497669</w:t>
      </w:r>
    </w:p>
    <w:p>
      <w:r>
        <w:t>Qualitative Studie mit 30 Müttern in England zu Wahrnehmungen der maternalen RSV-Impfung ab 28 Schwangerschaftswochen.</w:t>
      </w:r>
    </w:p>
    <w:p>
      <w:r>
        <w:rPr>
          <w:b/>
        </w:rPr>
        <w:t xml:space="preserve">Ergebnis: </w:t>
      </w:r>
      <w:r>
        <w:t>Hohe Impfbereitschaft, aber Wissenslücken zu RSV-Schweregrad. Mütter bevorzugen Informationen online, schriftlich und durch Hebammen; 84% wollen Impfung in Antenatalbetreuung (nicht separate Praxistermine).</w:t>
      </w:r>
    </w:p>
    <w:p>
      <w:r>
        <w:rPr>
          <w:b/>
          <w:sz w:val="19"/>
        </w:rPr>
        <w:t xml:space="preserve">Übertragbarkeit: </w:t>
      </w:r>
      <w:r>
        <w:rPr>
          <w:sz w:val="19"/>
        </w:rPr>
        <w:t>Großbritannien, vergleichbares Versorgungssystem, neue Impfempfehlung, übertragbare Zugangsoptimierung</w:t>
      </w:r>
    </w:p>
    <w:p>
      <w:r>
        <w:rPr>
          <w:color w:val="5A7D3A"/>
          <w:sz w:val="18"/>
        </w:rPr>
        <w:t>https://pubmed.ncbi.nlm.nih.gov/42497669/</w:t>
      </w:r>
    </w:p>
    <w:p>
      <w:pPr>
        <w:pStyle w:val="Heading2"/>
      </w:pPr>
      <w:r>
        <w:t>Nutzen-Kosten-Analyse: Atemwegsimpfung bei Erwachsenen ≥65 Jahren in Frankreich</w:t>
      </w:r>
    </w:p>
    <w:p>
      <w:r>
        <w:rPr>
          <w:i/>
          <w:color w:val="666666"/>
          <w:sz w:val="18"/>
        </w:rPr>
        <w:t>Napier M et al.  ·  Expert Rev Vaccines  ·  22.07.2026  ·  PMID 42484014</w:t>
      </w:r>
    </w:p>
    <w:p>
      <w:r>
        <w:t>Ökonomische Analyse zur Rentabilität von Pneumokokken-, RSV-, Influenza- und COVID-19-Impfungen bei älteren Franzosen.</w:t>
      </w:r>
    </w:p>
    <w:p>
      <w:r>
        <w:rPr>
          <w:b/>
        </w:rPr>
        <w:t xml:space="preserve">Ergebnis: </w:t>
      </w:r>
      <w:r>
        <w:t>Nutzen-Kosten-Verhältnis 2,0-8,7€ pro 1€ Ausgaben über Lebenszeit. RSV-Impfung würde Nettonutzen um 6-7% erhöhen. Erreichung ehrgeiziger Impfquoten (z.B. auf 90%) würde Nutzen um 138-175% steigern.</w:t>
      </w:r>
    </w:p>
    <w:p>
      <w:r>
        <w:rPr>
          <w:b/>
          <w:sz w:val="19"/>
        </w:rPr>
        <w:t xml:space="preserve">Übertragbarkeit: </w:t>
      </w:r>
      <w:r>
        <w:rPr>
          <w:sz w:val="19"/>
        </w:rPr>
        <w:t>Frankreich, vergleichbares System, zeigt Wirtschaftlichkeit höherer Quoten</w:t>
      </w:r>
    </w:p>
    <w:p>
      <w:r>
        <w:rPr>
          <w:color w:val="5A7D3A"/>
          <w:sz w:val="18"/>
        </w:rPr>
        <w:t>https://pubmed.ncbi.nlm.nih.gov/42484014/</w:t>
      </w:r>
    </w:p>
    <w:p>
      <w:pPr>
        <w:pStyle w:val="Heading2"/>
      </w:pPr>
      <w:r>
        <w:t>Tdap-Impfzeitpunkt in der Schwangerschaft: Antikörperresponse und Plazentaweitergabe</w:t>
      </w:r>
    </w:p>
    <w:p>
      <w:r>
        <w:rPr>
          <w:i/>
          <w:color w:val="666666"/>
          <w:sz w:val="18"/>
        </w:rPr>
        <w:t>De Weerdt L et al.  ·  Vaccine  ·  13.08.2026  ·  PMID 42472495</w:t>
      </w:r>
    </w:p>
    <w:p>
      <w:r>
        <w:t>Prospektive Studie mit 96 schwangeren Frauen in Belgien zur Charakterisierung der Auswirkung des Impfzeitpunkts (16.-32. Woche) auf maternale und neonatale Antikörperprofile.</w:t>
      </w:r>
    </w:p>
    <w:p>
      <w:r>
        <w:rPr>
          <w:b/>
        </w:rPr>
        <w:t xml:space="preserve">Ergebnis: </w:t>
      </w:r>
      <w:r>
        <w:t>Maternale IgG und IgG1 gegen Pertussis, Diphtherie, Tetanus bei späteren Impfungen höher; neonatale Profile vergleichbar. IgG-Transferquoten sanken mit fortgeschrittenerem Gestationsalter, funktionelle Antikörperübertragung kaum beeinflusst.</w:t>
      </w:r>
    </w:p>
    <w:p>
      <w:r>
        <w:rPr>
          <w:b/>
          <w:sz w:val="19"/>
        </w:rPr>
        <w:t xml:space="preserve">Übertragbarkeit: </w:t>
      </w:r>
      <w:r>
        <w:rPr>
          <w:sz w:val="19"/>
        </w:rPr>
        <w:t>Belgien, vergleichbares Versicherungssystem, bestätigt Empfehlung 16.-32. Wochen</w:t>
      </w:r>
    </w:p>
    <w:p>
      <w:r>
        <w:rPr>
          <w:color w:val="5A7D3A"/>
          <w:sz w:val="18"/>
        </w:rPr>
        <w:t>https://pubmed.ncbi.nlm.nih.gov/42472495/</w:t>
      </w:r>
    </w:p>
    <w:p>
      <w:pPr>
        <w:pStyle w:val="Heading1"/>
      </w:pPr>
      <w:r>
        <w:t>Aufgenommen am 30.08.2026</w:t>
      </w:r>
    </w:p>
    <w:p>
      <w:pPr>
        <w:pStyle w:val="Heading2"/>
      </w:pPr>
      <w:r>
        <w:t>Rapid strain-matched Influenza-Impfung hätte 28.000 Todesfälle in UK-ähnlicher Pandemie verhindert</w:t>
      </w:r>
    </w:p>
    <w:p>
      <w:r>
        <w:rPr>
          <w:i/>
          <w:color w:val="666666"/>
          <w:sz w:val="18"/>
        </w:rPr>
        <w:t>Lovick S et al.  ·  Hum Vaccin Immunother  ·  28.08.2026  ·  PMID 42663142</w:t>
      </w:r>
    </w:p>
    <w:p>
      <w:r>
        <w:t>Dynamisches SEIR-Transmissionsmodell für UK-ähnliche Bevölkerung zur Bewertung Morbidität, Mortalität und Kosten einer frühen zellbasierten vs. eibasierten Pandemie-Impfstoff-Kampagne mit/ohne Maßnahmen.</w:t>
      </w:r>
    </w:p>
    <w:p>
      <w:r>
        <w:rPr>
          <w:b/>
        </w:rPr>
        <w:t xml:space="preserve">Ergebnis: </w:t>
      </w:r>
      <w:r>
        <w:t>16-wöchige Impfkampagne ab 16 Wochen nach Pandemie-Erklärung (ohne Maßnahmen) reduzierte Infektionen um 3,0 Millionen und Todesfälle um 28.000, mit größerem Nutzen in Low-Transmissibility-Szenarien. Zellbasierter Impfstoff reduzierte Todesfälle zusätzlich um 5,0%. Maßnahmen (Durchschnittskosten £208 Mrd.) verbesserten Impfeffektivität, zellbasierter Impfstoff zusätzlich um 0,9%. Verzögerungen erhöhten Mortalität und wirtschaftliche Kosten.</w:t>
      </w:r>
    </w:p>
    <w:p>
      <w:r>
        <w:rPr>
          <w:b/>
          <w:sz w:val="19"/>
        </w:rPr>
        <w:t xml:space="preserve">Übertragbarkeit: </w:t>
      </w:r>
      <w:r>
        <w:rPr>
          <w:sz w:val="19"/>
        </w:rPr>
        <w:t>UK-ähnliche Gesundheitssysteme, Modellierung ohne spezifische nationale Daten.</w:t>
      </w:r>
    </w:p>
    <w:p>
      <w:r>
        <w:rPr>
          <w:color w:val="5A7D3A"/>
          <w:sz w:val="18"/>
        </w:rPr>
        <w:t>https://pubmed.ncbi.nlm.nih.gov/42663142/</w:t>
      </w:r>
    </w:p>
    <w:p>
      <w:pPr>
        <w:pStyle w:val="Heading2"/>
      </w:pPr>
      <w:r>
        <w:t>Vertraute Quellen statt digitale Botschaften: Was COVID-19-Skepsis bei Schwarzen schwangeren Frauen senkt</w:t>
      </w:r>
    </w:p>
    <w:p>
      <w:r>
        <w:rPr>
          <w:i/>
          <w:color w:val="666666"/>
          <w:sz w:val="18"/>
        </w:rPr>
        <w:t>Cox E et al.  ·  Front Public Health  ·  12.08.2026  ·  PMID 42656594</w:t>
      </w:r>
    </w:p>
    <w:p>
      <w:r>
        <w:t>Qualitative Studie mit Interviews und Fokusgruppen bei 30 Schwarzen schwangeren und postpartalen Frauen in den USA zum Einfluss von sozialen Medien-Anzeigen auf Impfbereitschaft.</w:t>
      </w:r>
    </w:p>
    <w:p>
      <w:r>
        <w:rPr>
          <w:b/>
        </w:rPr>
        <w:t xml:space="preserve">Ergebnis: </w:t>
      </w:r>
      <w:r>
        <w:t>Geimpfte, religiöse, politisch konservative und verheiratete Frauen zeigten höhere Bereitschaft nach den Anzeigen. Kein einzelnes Messenger-Format oder Inhaltstyp war überlegen. Qualitativ zentral: Vertrauen in sich selbst, Familie, Doulas und Glaubensführer; Misstrauen gegen Staat und Gesundheitssystem sowie medizinischen Rassismus. Persönliches Zeugnis von vertrauten Quellen könnte Akzeptanz stärken.</w:t>
      </w:r>
    </w:p>
    <w:p>
      <w:r>
        <w:rPr>
          <w:b/>
          <w:sz w:val="19"/>
        </w:rPr>
        <w:t xml:space="preserve">Übertragbarkeit: </w:t>
      </w:r>
      <w:r>
        <w:rPr>
          <w:sz w:val="19"/>
        </w:rPr>
        <w:t>USA, spezifische Herausforderung für Minderheiten-Vertrauen in Gesundheitssystem.</w:t>
      </w:r>
    </w:p>
    <w:p>
      <w:r>
        <w:rPr>
          <w:color w:val="5A7D3A"/>
          <w:sz w:val="18"/>
        </w:rPr>
        <w:t>https://pubmed.ncbi.nlm.nih.gov/42656594/</w:t>
      </w:r>
    </w:p>
    <w:p>
      <w:pPr>
        <w:pStyle w:val="Heading2"/>
      </w:pPr>
      <w:r>
        <w:t>HPV-geimpfte Jugendliche nutzen Kondome häufiger und kennen mehr über Geschlechtskrankheiten</w:t>
      </w:r>
    </w:p>
    <w:p>
      <w:r>
        <w:rPr>
          <w:i/>
          <w:color w:val="666666"/>
          <w:sz w:val="18"/>
        </w:rPr>
        <w:t>Christensen LD et al.  ·  Dan Med J  ·  09.06.2026  ·  PMID 42592763</w:t>
      </w:r>
    </w:p>
    <w:p>
      <w:r>
        <w:t>Querschnittstudie bei 866 von 1.254 neunten Schulklassen-Schülern (69%) in Dänemark 2020–2024 zu HPV-Impfstatus und Wissen über sexuell übertragbare Infektionen.</w:t>
      </w:r>
    </w:p>
    <w:p>
      <w:r>
        <w:rPr>
          <w:b/>
        </w:rPr>
        <w:t xml:space="preserve">Ergebnis: </w:t>
      </w:r>
      <w:r>
        <w:t>20% der Jugendlichen hatten sexuelle Erfahrung mit Medianalter 14 Jahren. Wissen über drei oder mehr STIs war mit HPV-Impfung assoziiert (p=0,001). 62% nutzten bei letztem Sexualkontakt Kondome und/oder orale Kontrazeptiva; Mädchen 70–80%, Jungen 50–55%. HPV-Geimpfte nutzten Kondome signifikant häufiger.</w:t>
      </w:r>
    </w:p>
    <w:p>
      <w:r>
        <w:rPr>
          <w:b/>
          <w:sz w:val="19"/>
        </w:rPr>
        <w:t xml:space="preserve">Übertragbarkeit: </w:t>
      </w:r>
      <w:r>
        <w:rPr>
          <w:sz w:val="19"/>
        </w:rPr>
        <w:t>Dänemark, europäisches Impfprogramm und Bevölkerungsaufbau.</w:t>
      </w:r>
    </w:p>
    <w:p>
      <w:r>
        <w:rPr>
          <w:color w:val="5A7D3A"/>
          <w:sz w:val="18"/>
        </w:rPr>
        <w:t>https://pubmed.ncbi.nlm.nih.gov/42592763/</w:t>
      </w:r>
    </w:p>
    <w:p>
      <w:pPr>
        <w:pStyle w:val="Heading2"/>
      </w:pPr>
      <w:r>
        <w:t>RSV-Impfung bei immungeschwächten Erwachsenen würde Krankheitslast und Kosten in Deutschland senken</w:t>
      </w:r>
    </w:p>
    <w:p>
      <w:r>
        <w:rPr>
          <w:i/>
          <w:color w:val="666666"/>
          <w:sz w:val="18"/>
        </w:rPr>
        <w:t>Quinn E et al.  ·  Expert Rev Vaccines  ·  31.07.2026  ·  PMID 42535735</w:t>
      </w:r>
    </w:p>
    <w:p>
      <w:r>
        <w:t>Kosten-Effektivitätsmodell für RSV-Impfung (RSVpreF) in Deutschland, mit Szenarien für die Erweiterung der STIKO-Empfehlung auf Personen &lt;60 Jahren.</w:t>
      </w:r>
    </w:p>
    <w:p>
      <w:r>
        <w:rPr>
          <w:b/>
        </w:rPr>
        <w:t xml:space="preserve">Ergebnis: </w:t>
      </w:r>
      <w:r>
        <w:t>Gegenwärtig: Empfehlung für 60–74 Jahre und ≥75 Jahre. Erweiterung auf immungeschwächte (IC) Erwachsene 18–59 Jahre würde 6.490 Fälle verhindern, 199 Todesfälle abwenden und 21 Mio. € einsparen. Erweiterung auf IC/chronisch kranke Personen 18–59 Jahre würde 24.545 Fälle und 388 Todesfälle verhindern bei Mehrkosten von 238 Mio. €.</w:t>
      </w:r>
    </w:p>
    <w:p>
      <w:r>
        <w:rPr>
          <w:b/>
          <w:sz w:val="19"/>
        </w:rPr>
        <w:t xml:space="preserve">Übertragbarkeit: </w:t>
      </w:r>
      <w:r>
        <w:rPr>
          <w:sz w:val="19"/>
        </w:rPr>
        <w:t>Deutschland, deutsche Versicherungslogik und STIKO-Struktur.</w:t>
      </w:r>
    </w:p>
    <w:p>
      <w:r>
        <w:rPr>
          <w:color w:val="5A7D3A"/>
          <w:sz w:val="18"/>
        </w:rPr>
        <w:t>https://pubmed.ncbi.nlm.nih.gov/42535735/</w:t>
      </w:r>
    </w:p>
    <w:p>
      <w:pPr>
        <w:pStyle w:val="Heading2"/>
      </w:pPr>
      <w:r>
        <w:t>Schützende Antikörper gegen Röteln bei Katalanischen Medizinstudierenden trotz hoher Impfquoten</w:t>
      </w:r>
    </w:p>
    <w:p>
      <w:r>
        <w:rPr>
          <w:i/>
          <w:color w:val="666666"/>
          <w:sz w:val="18"/>
        </w:rPr>
        <w:t>Benito P et al.  ·  Vaccine  ·  13.08.2026  ·  PMID 42501718</w:t>
      </w:r>
    </w:p>
    <w:p>
      <w:r>
        <w:t>Querschnittsstudie an 235 Medizinstudierenden in vier katalanischen Universitäten zur Röteln-Impfquote und Seroprävalenz von Schutzantikörpern.</w:t>
      </w:r>
    </w:p>
    <w:p>
      <w:r>
        <w:rPr>
          <w:b/>
        </w:rPr>
        <w:t xml:space="preserve">Ergebnis: </w:t>
      </w:r>
      <w:r>
        <w:t>94,5% berichteten vollständige Röteln-Impfung; 84,7% hatten schützende Anti-Röteln-IgG-Antikörper, 6,0% grenzwertig und 9,4% negativ. Vollständig Geimpfte waren signifikant häufiger seropositiv (aOR 4,02; 95% CI 1,14–13,11). Nahezu alle Teilnehmenden bewerteten die MMR-Impfung als sicher und wichtig.</w:t>
      </w:r>
    </w:p>
    <w:p>
      <w:r>
        <w:rPr>
          <w:b/>
          <w:sz w:val="19"/>
        </w:rPr>
        <w:t xml:space="preserve">Übertragbarkeit: </w:t>
      </w:r>
      <w:r>
        <w:rPr>
          <w:sz w:val="19"/>
        </w:rPr>
        <w:t>Spanien, vergleichbares Hochschulsystem und Impfkalender.</w:t>
      </w:r>
    </w:p>
    <w:p>
      <w:r>
        <w:rPr>
          <w:color w:val="5A7D3A"/>
          <w:sz w:val="18"/>
        </w:rPr>
        <w:t>https://pubmed.ncbi.nlm.nih.gov/42501718/</w:t>
      </w:r>
    </w:p>
    <w:p>
      <w:pPr>
        <w:pStyle w:val="Heading2"/>
      </w:pPr>
      <w:r>
        <w:t>Catch-up-Impfquoten nach Beratung bei ukrainischen Kinderflüchtlingen in der Schweiz deutlich verbessert</w:t>
      </w:r>
    </w:p>
    <w:p>
      <w:r>
        <w:rPr>
          <w:i/>
          <w:color w:val="666666"/>
          <w:sz w:val="18"/>
        </w:rPr>
        <w:t>Vaezipour N et al.  ·  Eur J Pediatr  ·  23.07.2026  ·  PMID 42489737</w:t>
      </w:r>
    </w:p>
    <w:p>
      <w:r>
        <w:t>Retrospektive Kohortenstudie bei 517 ukrainischen Kinderflüchtlingen in fünf Schweizer Zentren zur Durchimpfung und Infektionsscreening.</w:t>
      </w:r>
    </w:p>
    <w:p>
      <w:r>
        <w:rPr>
          <w:b/>
        </w:rPr>
        <w:t xml:space="preserve">Ergebnis: </w:t>
      </w:r>
      <w:r>
        <w:t>Bei Ankunft 71–82% altersentsprechend geimpft gegen Masern, Diphtherie-Tetanus-Pertussis, Poliomyelitis und Haemophilus influenzae b; Hauptgrund für Lücken war Impfskepsis. Nach Impfberatung/Catch-up-Programme: 98% (509/517) vollständig geimpft. Infektionsscreening-Positivraten niedrig: HIV 2,7%, Hepatitis B 1,6%, Tuberkulose 1,0%.</w:t>
      </w:r>
    </w:p>
    <w:p>
      <w:r>
        <w:rPr>
          <w:b/>
          <w:sz w:val="19"/>
        </w:rPr>
        <w:t xml:space="preserve">Übertragbarkeit: </w:t>
      </w:r>
      <w:r>
        <w:rPr>
          <w:sz w:val="19"/>
        </w:rPr>
        <w:t>Schweiz, vergleichbares Versicherungssystem und Versorgungsauftrag.</w:t>
      </w:r>
    </w:p>
    <w:p>
      <w:r>
        <w:rPr>
          <w:color w:val="5A7D3A"/>
          <w:sz w:val="18"/>
        </w:rPr>
        <w:t>https://pubmed.ncbi.nlm.nih.gov/42489737/</w:t>
      </w:r>
    </w:p>
    <w:p>
      <w:pPr>
        <w:pStyle w:val="Heading2"/>
      </w:pPr>
      <w:r>
        <w:t>Impfdurchbrüche mit Pneumokokken-Serotyp 3 trotz hoher PCV13-Abdeckung bei Kindern</w:t>
      </w:r>
    </w:p>
    <w:p>
      <w:r>
        <w:rPr>
          <w:i/>
          <w:color w:val="666666"/>
          <w:sz w:val="18"/>
        </w:rPr>
        <w:t>Ciruela P et al.  ·  Vaccine  ·  13.08.2026  ·  PMID 42486053</w:t>
      </w:r>
    </w:p>
    <w:p>
      <w:r>
        <w:t>Retrospektive Beobachtungsstudie zu invasiven Pneumokokken-Erkrankungen bei 206 PCV13-geimpften Kindern in Katalonien 2018–2023 mit Impfquoten &gt;96%.</w:t>
      </w:r>
    </w:p>
    <w:p>
      <w:r>
        <w:rPr>
          <w:b/>
        </w:rPr>
        <w:t xml:space="preserve">Ergebnis: </w:t>
      </w:r>
      <w:r>
        <w:t>48,0% vollständig Geimpfter (n=177) zeigten Impfversagen, vorwiegend durch Serotyp 3 (84,7% der Fälle). Im Vergleich zur Vor-PCV13-Ära war der Schutz länger haltbar, aber der Anteil von Serotyp-3-Durchbrüchen blieb erheblich. Ausschluss von Serotyp 3 senkte die Impfversagensrate von 48,0% auf 12,4%.</w:t>
      </w:r>
    </w:p>
    <w:p>
      <w:r>
        <w:rPr>
          <w:b/>
          <w:sz w:val="19"/>
        </w:rPr>
        <w:t xml:space="preserve">Übertragbarkeit: </w:t>
      </w:r>
      <w:r>
        <w:rPr>
          <w:sz w:val="19"/>
        </w:rPr>
        <w:t>Spanien, vergleichbares Impfprogramm und Surveillance-System.</w:t>
      </w:r>
    </w:p>
    <w:p>
      <w:r>
        <w:rPr>
          <w:color w:val="5A7D3A"/>
          <w:sz w:val="18"/>
        </w:rPr>
        <w:t>https://pubmed.ncbi.nlm.nih.gov/42486053/</w:t>
      </w:r>
    </w:p>
    <w:p>
      <w:pPr>
        <w:pStyle w:val="Heading1"/>
      </w:pPr>
      <w:r>
        <w:t>Aufgenommen am 29.08.2026</w:t>
      </w:r>
    </w:p>
    <w:p>
      <w:pPr>
        <w:pStyle w:val="Heading2"/>
      </w:pPr>
      <w:r>
        <w:t>Dezentralisierte CAR-T-Zelltherapie: Phase-1-Sicherheit und Machbarkeit</w:t>
      </w:r>
    </w:p>
    <w:p>
      <w:r>
        <w:rPr>
          <w:i/>
          <w:color w:val="666666"/>
          <w:sz w:val="18"/>
        </w:rPr>
        <w:t>Kersten MJ et al.  ·  Lancet Haematol  ·  Sept. 2026  ·  PMID 42660131</w:t>
      </w:r>
    </w:p>
    <w:p>
      <w:r>
        <w:t>Phase-1-Dosis-Eskalationsstudie der dezentralisierten Fertigung von CD19-CAR-T-Zellen (GLPG5101) bei 24 Patienten mit rezidiviertem/refraktärem B-Zell-Non-Hodgkin-Lymphom in Niederlanden und Belgien (März 2022–September 2024).</w:t>
      </w:r>
    </w:p>
    <w:p>
      <w:r>
        <w:rPr>
          <w:b/>
        </w:rPr>
        <w:t xml:space="preserve">Ergebnis: </w:t>
      </w:r>
      <w:r>
        <w:t>Fünf dosislimitierende Toxizitäten berichtet: Grad-3-Thrombozytopenie (n=1), Tod durch intra-abdominale Blutung (n=1), Grad-4-Neutropenie (n=3). Vier therapiebedingte Todesfälle insgesamt. Empfohlene Phase-2-Dosis: 110 × 10⁶ (Bereich 50–110 × 10⁶) CAR⁺-T-Zellen. Studie zeigte Machbarkeit schneller dezentralisierter Fertigung und Lieferung.</w:t>
      </w:r>
    </w:p>
    <w:p>
      <w:r>
        <w:rPr>
          <w:b/>
          <w:sz w:val="19"/>
        </w:rPr>
        <w:t xml:space="preserve">Übertragbarkeit: </w:t>
      </w:r>
      <w:r>
        <w:rPr>
          <w:sz w:val="19"/>
        </w:rPr>
        <w:t>Niederlande/Belgien, dezentralisierte Herstellung lokal lösbar, aber CAR-T grundsätzlich komplexes spezialisiertes Therapieverfahren</w:t>
      </w:r>
    </w:p>
    <w:p>
      <w:r>
        <w:rPr>
          <w:color w:val="5A7D3A"/>
          <w:sz w:val="18"/>
        </w:rPr>
        <w:t>https://pubmed.ncbi.nlm.nih.gov/42660131/</w:t>
      </w:r>
    </w:p>
    <w:p>
      <w:pPr>
        <w:pStyle w:val="Heading2"/>
      </w:pPr>
      <w:r>
        <w:t>Pränatalintervention für Impfakzeptanz durch Bürgerbeteiligung entwickelt</w:t>
      </w:r>
    </w:p>
    <w:p>
      <w:r>
        <w:rPr>
          <w:i/>
          <w:color w:val="666666"/>
          <w:sz w:val="18"/>
        </w:rPr>
        <w:t>McCarron SA et al.  ·  Health Expect  ·  Aug. 2026  ·  PMID 42550057</w:t>
      </w:r>
    </w:p>
    <w:p>
      <w:r>
        <w:t>Partizipative Entwicklung einer Antenatalintervention zur Förderung der Impfakzeptanz in Nordirland mit Eltern, Patienten und Öffentlichkeit (Maternity Service Liaison Committee, Sure Start-Programme, aufsuchende Klinik für Ostriesische Gemeinde).</w:t>
      </w:r>
    </w:p>
    <w:p>
      <w:r>
        <w:rPr>
          <w:b/>
        </w:rPr>
        <w:t xml:space="preserve">Ergebnis: </w:t>
      </w:r>
      <w:r>
        <w:t>Input von Eltern und Gemeindevertreter prägte Inhalt, Timing und Präsentation der Impfinformation. Wichtigste Erkenntnisse: klare, einfache Sprachinformation früh in der Schwangerschaft erforderlich, Informationen müssen an verschiedene Bedürfnisse zugeschnitten werden. Vertrauen in etablierte Netzwerke unterstützte Engagement mit unterrepräsentierten Gruppen.</w:t>
      </w:r>
    </w:p>
    <w:p>
      <w:r>
        <w:rPr>
          <w:b/>
          <w:sz w:val="19"/>
        </w:rPr>
        <w:t xml:space="preserve">Übertragbarkeit: </w:t>
      </w:r>
      <w:r>
        <w:rPr>
          <w:sz w:val="19"/>
        </w:rPr>
        <w:t>UK-System; Methode der Bürgerbeteiligung übertragbar, aber Antenatalstrukturen unterscheiden sich</w:t>
      </w:r>
    </w:p>
    <w:p>
      <w:r>
        <w:rPr>
          <w:color w:val="5A7D3A"/>
          <w:sz w:val="18"/>
        </w:rPr>
        <w:t>https://pubmed.ncbi.nlm.nih.gov/42550057/</w:t>
      </w:r>
    </w:p>
    <w:p>
      <w:pPr>
        <w:pStyle w:val="Heading2"/>
      </w:pPr>
      <w:r>
        <w:t>Mpox-Impfstoff Jynneos: Sicherheitsprofil während Ausbruch in Deutschland bestätigt</w:t>
      </w:r>
    </w:p>
    <w:p>
      <w:r>
        <w:rPr>
          <w:i/>
          <w:color w:val="666666"/>
          <w:sz w:val="18"/>
        </w:rPr>
        <w:t>Oberle D et al.  ·  Euro Surveill  ·  Juli 2026  ·  PMID 42535289</w:t>
      </w:r>
    </w:p>
    <w:p>
      <w:r>
        <w:t>Überwachung unerwünschter Ereignisse nach MVA-BN-Impfung gegen Mpox in Deutschland Juni 2022 bis Februar 2024 bei 78.739 verabreichten Dosen.</w:t>
      </w:r>
    </w:p>
    <w:p>
      <w:r>
        <w:rPr>
          <w:b/>
        </w:rPr>
        <w:t xml:space="preserve">Ergebnis: </w:t>
      </w:r>
      <w:r>
        <w:t>32 Einzelfallberichte wurden identifiziert, davon 7 schwerwiegend; 87 unerwünschte Ereignisse insgesamt gemeldet (98,7 pro 100.000 Dosen adjustiert). Das Sicherheitsprofil entsprach der Produktcharakterisierung; keine neuen Sicherheitssignale wurden identifiziert. Lokale und systemische Reaktionen waren überwiegend mild bis moderat.</w:t>
      </w:r>
    </w:p>
    <w:p>
      <w:r>
        <w:rPr>
          <w:b/>
          <w:sz w:val="19"/>
        </w:rPr>
        <w:t xml:space="preserve">Übertragbarkeit: </w:t>
      </w:r>
      <w:r>
        <w:rPr>
          <w:sz w:val="19"/>
        </w:rPr>
        <w:t>Deutschland, eigenes Surveillancesystem, direkt übertragbar</w:t>
      </w:r>
    </w:p>
    <w:p>
      <w:r>
        <w:rPr>
          <w:color w:val="5A7D3A"/>
          <w:sz w:val="18"/>
        </w:rPr>
        <w:t>https://pubmed.ncbi.nlm.nih.gov/42535289/</w:t>
      </w:r>
    </w:p>
    <w:p>
      <w:pPr>
        <w:pStyle w:val="Heading2"/>
      </w:pPr>
      <w:r>
        <w:t>Determinanten der Influenza- und COVID-19-Impfquoten bei Hochrisikopatienten</w:t>
      </w:r>
    </w:p>
    <w:p>
      <w:r>
        <w:rPr>
          <w:i/>
          <w:color w:val="666666"/>
          <w:sz w:val="18"/>
        </w:rPr>
        <w:t>Grape L et al.  ·  Hum Vaccin Immunother  ·  28.07.2026  ·  PMID 42518305</w:t>
      </w:r>
    </w:p>
    <w:p>
      <w:r>
        <w:t>Querschnittsstudie mit semistandardisierten Interviews und Patientenakten bei 600 Notaufnahme-Patienten in Nordschweden zur Identifikation von Impfquoten und Barrieren bei Hochrisikogruppen.</w:t>
      </w:r>
    </w:p>
    <w:p>
      <w:r>
        <w:rPr>
          <w:b/>
        </w:rPr>
        <w:t xml:space="preserve">Ergebnis: </w:t>
      </w:r>
      <w:r>
        <w:t>Quote unter berechtigten Personen: 52,0% für Influenza, 54,2% für COVID-19. Koinfektion beider Impfstoffe hoch (aOR 55,33). Männliches Geschlecht (aOR 0,57), jüngeres Alter (aOR 0,50), Rauchen (aOR 0,43) und nur altersbasierte Berechtigung (aOR 0,41) waren mit niedriger Impfakzeptanz assoziiert. Gemeindeebene-Determinanten zeigten wenig Einfluss.</w:t>
      </w:r>
    </w:p>
    <w:p>
      <w:r>
        <w:rPr>
          <w:b/>
          <w:sz w:val="19"/>
        </w:rPr>
        <w:t xml:space="preserve">Übertragbarkeit: </w:t>
      </w:r>
      <w:r>
        <w:rPr>
          <w:sz w:val="19"/>
        </w:rPr>
        <w:t>Skandinavien, deutsches Versicherungssystem ähnlich, aber Datenquellen und Populationsmerkmale unterscheiden sich</w:t>
      </w:r>
    </w:p>
    <w:p>
      <w:r>
        <w:rPr>
          <w:color w:val="5A7D3A"/>
          <w:sz w:val="18"/>
        </w:rPr>
        <w:t>https://pubmed.ncbi.nlm.nih.gov/42518305/</w:t>
      </w:r>
    </w:p>
    <w:p>
      <w:pPr>
        <w:pStyle w:val="Heading2"/>
      </w:pPr>
      <w:r>
        <w:t>Null-Dosis-Kinder in Madagaskar identifizieren und erreichen</w:t>
      </w:r>
    </w:p>
    <w:p>
      <w:r>
        <w:rPr>
          <w:i/>
          <w:color w:val="666666"/>
          <w:sz w:val="18"/>
        </w:rPr>
        <w:t>Muller N et al.  ·  Bull World Health Organ  ·  01.08.2026  ·  PMID 42516117</w:t>
      </w:r>
    </w:p>
    <w:p>
      <w:r>
        <w:t>Gemeindegestützte Erhebung zur Ermittlung von Kindern ohne DTP-Impfdokumentation in 16 südmadagassischen Distrikten (August 2024–Juni 2025) mit 3.975 ausgebildeten Gemeindegesundheitshelfern und digitalen Werkzeugen.</w:t>
      </w:r>
    </w:p>
    <w:p>
      <w:r>
        <w:rPr>
          <w:b/>
        </w:rPr>
        <w:t xml:space="preserve">Ergebnis: </w:t>
      </w:r>
      <w:r>
        <w:t>81% der fokontanys (3.538/4.347) aktualisierten Register. Von 368.227 erfassten Kindern unter 5 Jahren hatten 58% (213.173) keine dokumentierte DTP-Dosis. Distriktweite Prävalenz von Null-Dosis-Kindern lag zwischen 25% und 86%. 42.700 Null-Dosis-Kinder wurden mit DTP geimpft und übertrafen Programmziel vorzeitig.</w:t>
      </w:r>
    </w:p>
    <w:p>
      <w:r>
        <w:rPr>
          <w:b/>
          <w:sz w:val="19"/>
        </w:rPr>
        <w:t xml:space="preserve">Übertragbarkeit: </w:t>
      </w:r>
      <w:r>
        <w:rPr>
          <w:sz w:val="19"/>
        </w:rPr>
        <w:t>Afrikanisches Setting; Digitale Hilfsmittel und Community-Engagement lokal anpassbar, aber Registrierungsinfrastruktur grundverschieden von Deutschland</w:t>
      </w:r>
    </w:p>
    <w:p>
      <w:r>
        <w:rPr>
          <w:color w:val="5A7D3A"/>
          <w:sz w:val="18"/>
        </w:rPr>
        <w:t>https://pubmed.ncbi.nlm.nih.gov/42516117/</w:t>
      </w:r>
    </w:p>
    <w:p>
      <w:pPr>
        <w:pStyle w:val="Heading2"/>
      </w:pPr>
      <w:r>
        <w:t>Impfskepsis im Kriegsgebiet Ukraine: Verhaltensmodellierung von Umfragedaten</w:t>
      </w:r>
    </w:p>
    <w:p>
      <w:r>
        <w:rPr>
          <w:i/>
          <w:color w:val="666666"/>
          <w:sz w:val="18"/>
        </w:rPr>
        <w:t>Naeem A et al.  ·  Health Policy  ·  17.07.2026  ·  PMID 42508188</w:t>
      </w:r>
    </w:p>
    <w:p>
      <w:r>
        <w:t>Agent-basierte Modellierung (ABM) von Impfverhalten in der konfliktbetroffenen Ukraine basierend auf Querschnittsbefragung in 557 Hromadas unter laufendem Krieg; Simulation der Wechselwirkung zwischen Verhaltens-, Struktur- und Sozialvariablen.</w:t>
      </w:r>
    </w:p>
    <w:p>
      <w:r>
        <w:rPr>
          <w:b/>
        </w:rPr>
        <w:t xml:space="preserve">Ergebnis: </w:t>
      </w:r>
      <w:r>
        <w:t>ABM zeigte, dass Impfakzeptanz durch Wechselspiel von Zugangsbarrieren und Peereinfluss gesteuert wird. Glaubenswechsel erreichten 88%; Vakzinierungsquote stieg um 3–15% durch Zugangsbeseitigung. Peer-Dynamiken erhöhten Impfquoten auf 69–89%. Peer-Konformität war dominanter Treiber, was auf Kollektivmechanismus zwischen Sozialsteckung und Verhaltensadoption hindeutet.</w:t>
      </w:r>
    </w:p>
    <w:p>
      <w:r>
        <w:rPr>
          <w:b/>
          <w:sz w:val="19"/>
        </w:rPr>
        <w:t xml:space="preserve">Übertragbarkeit: </w:t>
      </w:r>
      <w:r>
        <w:rPr>
          <w:sz w:val="19"/>
        </w:rPr>
        <w:t>Konfliktzone, begrenzt auf Kriegssituationen übertragbar; Methodologie der Verhaltensmodellierung relevant</w:t>
      </w:r>
    </w:p>
    <w:p>
      <w:r>
        <w:rPr>
          <w:color w:val="5A7D3A"/>
          <w:sz w:val="18"/>
        </w:rPr>
        <w:t>https://pubmed.ncbi.nlm.nih.gov/42508188/</w:t>
      </w:r>
    </w:p>
    <w:p>
      <w:pPr>
        <w:pStyle w:val="Heading2"/>
      </w:pPr>
      <w:r>
        <w:t>XBB.1.5-Impfstoff gegen schwere COVID-19 bei immungeschwächten Erwachsenen</w:t>
      </w:r>
    </w:p>
    <w:p>
      <w:r>
        <w:rPr>
          <w:i/>
          <w:color w:val="666666"/>
          <w:sz w:val="18"/>
        </w:rPr>
        <w:t>Blake A et al.  ·  Expert Rev Vaccines  ·  31.12.2026  ·  PMID 42504085</w:t>
      </w:r>
    </w:p>
    <w:p>
      <w:r>
        <w:t>Retrospektive multländer-Kohortenstudie mit elektronischen Gesundheitsakten in Belgien, Dänemark, Italien, Portugal, Spanien (Navarra) und Schweden zur Wirksamkeit des angepassten XBB.1.5-Impfstoffs gegen Hospitalisierung und Tod bei Immungeschwächten (ICPs).</w:t>
      </w:r>
    </w:p>
    <w:p>
      <w:r>
        <w:rPr>
          <w:b/>
        </w:rPr>
        <w:t xml:space="preserve">Ergebnis: </w:t>
      </w:r>
      <w:r>
        <w:t>XBB.1.5-Impfstoffwirksamkeit (VE) betrug 52% (95%-KI 41–60) gegen Hospitalisierung und 75% (95%-KI 60–84) gegen Tod in den ersten 14–59 Tagen nach Impfung. VE nahm mit zeitlichem Abstand ab; kein Schutz mehr nach 180–365 Tagen. Moderate Schutzwirkung innerhalb von 120 Tagen beobachtet.</w:t>
      </w:r>
    </w:p>
    <w:p>
      <w:r>
        <w:rPr>
          <w:b/>
          <w:sz w:val="19"/>
        </w:rPr>
        <w:t xml:space="preserve">Übertragbarkeit: </w:t>
      </w:r>
      <w:r>
        <w:rPr>
          <w:sz w:val="19"/>
        </w:rPr>
        <w:t>Europäische EHR-Netzwerk; vergleichbare Gesundheitssysteme (Belgien, Dänemark, Schweden, südliche EU)</w:t>
      </w:r>
    </w:p>
    <w:p>
      <w:r>
        <w:rPr>
          <w:color w:val="5A7D3A"/>
          <w:sz w:val="18"/>
        </w:rPr>
        <w:t>https://pubmed.ncbi.nlm.nih.gov/42504085/</w:t>
      </w:r>
    </w:p>
    <w:p>
      <w:pPr>
        <w:pStyle w:val="Heading1"/>
      </w:pPr>
      <w:r>
        <w:t>Aufgenommen am 28.08.2026</w:t>
      </w:r>
    </w:p>
    <w:p>
      <w:pPr>
        <w:pStyle w:val="Heading2"/>
      </w:pPr>
      <w:r>
        <w:t>Influenza-Impfung reduziert Todesfälle bei hospitalisiertem älteren Alter</w:t>
      </w:r>
    </w:p>
    <w:p>
      <w:r>
        <w:rPr>
          <w:i/>
          <w:color w:val="666666"/>
          <w:sz w:val="18"/>
        </w:rPr>
        <w:t>Marques DFP et al.  ·  Expert Rev Vaccines  ·  27.08.2026  ·  PMID 42657682</w:t>
      </w:r>
    </w:p>
    <w:p>
      <w:r>
        <w:t>Retrospektive Kohortenstudie aus dem europäischen I-MOVE-Netzwerk untersuchte die Assoziation zwischen Influenza-Impfung und schweren Outcomes bei ≥65-jährigen mit laborbestätigter Influenza (2015/16–2024/25).</w:t>
      </w:r>
    </w:p>
    <w:p>
      <w:r>
        <w:rPr>
          <w:b/>
        </w:rPr>
        <w:t xml:space="preserve">Ergebnis: </w:t>
      </w:r>
      <w:r>
        <w:t>Bei 4.257 Patienten zeigte Impfung wenig Assoziation mit ICU-Aufnahmen (RRR 11 %, 95% CI: -21–34), aber war mit 26-prozentiger Reduktion der Todesfälle während Hospitalisierung assoziiert (95% CI: 3–43). In der älteren Gruppe ≥80 Jahre betrug die Reduktion der In-Hospital-Mortalität 29%.</w:t>
      </w:r>
    </w:p>
    <w:p>
      <w:r>
        <w:rPr>
          <w:b/>
          <w:sz w:val="19"/>
        </w:rPr>
        <w:t xml:space="preserve">Übertragbarkeit: </w:t>
      </w:r>
      <w:r>
        <w:rPr>
          <w:sz w:val="19"/>
        </w:rPr>
        <w:t>Europäische Klinikdaten, vergleichbare Dokumentationspflichten, direkt auf Deutschland übertragbar.</w:t>
      </w:r>
    </w:p>
    <w:p>
      <w:r>
        <w:rPr>
          <w:color w:val="5A7D3A"/>
          <w:sz w:val="18"/>
        </w:rPr>
        <w:t>https://pubmed.ncbi.nlm.nih.gov/42657682/</w:t>
      </w:r>
    </w:p>
    <w:p>
      <w:pPr>
        <w:pStyle w:val="Heading2"/>
      </w:pPr>
      <w:r>
        <w:t>Unregistrierte Migranten-Kinder unterimpft: Rechtszugang ist zentral</w:t>
      </w:r>
    </w:p>
    <w:p>
      <w:r>
        <w:rPr>
          <w:i/>
          <w:color w:val="666666"/>
          <w:sz w:val="18"/>
        </w:rPr>
        <w:t>Oo SM et al.  ·  Med Sci (Basel)  ·  02.08.2026  ·  PMID 42646586</w:t>
      </w:r>
    </w:p>
    <w:p>
      <w:r>
        <w:t>Querschnittstudie mit 423 burmesischen Migrantenkinder unter 7 Jahren in Nord-Thailand; Faktoren für unvollständige Impfungen wurden gemessen (2025).</w:t>
      </w:r>
    </w:p>
    <w:p>
      <w:r>
        <w:rPr>
          <w:b/>
        </w:rPr>
        <w:t xml:space="preserve">Ergebnis: </w:t>
      </w:r>
      <w:r>
        <w:t>21,5 % waren unterimpft. Unabhängige Risikofaktoren: Fehlen von Geburtsregistrierung (aOR 9,52, 95% CI 3,74–24,27), fehlende Krankenversicherung (aOR 14,03, 95% CI 6,45–30,54), Rückkehr-Migration (aOR 19,05, 95% CI 8,48–44,13), Zeitbarrieren (aOR 4,09, 95% CI 1,20–13,94) und finanzielle Barrieren (aOR 7,07, 95% CI 1,67–29,91).</w:t>
      </w:r>
    </w:p>
    <w:p>
      <w:r>
        <w:rPr>
          <w:b/>
          <w:sz w:val="19"/>
        </w:rPr>
        <w:t xml:space="preserve">Übertragbarkeit: </w:t>
      </w:r>
      <w:r>
        <w:rPr>
          <w:sz w:val="19"/>
        </w:rPr>
        <w:t>Thailand; zeigt strukturelle Hürden bei Migranten; relevante Erkenntnisse für Deutschland bei Flucht und Asyl.</w:t>
      </w:r>
    </w:p>
    <w:p>
      <w:r>
        <w:rPr>
          <w:color w:val="5A7D3A"/>
          <w:sz w:val="18"/>
        </w:rPr>
        <w:t>https://pubmed.ncbi.nlm.nih.gov/42646586/</w:t>
      </w:r>
    </w:p>
    <w:p>
      <w:pPr>
        <w:pStyle w:val="Heading2"/>
      </w:pPr>
      <w:r>
        <w:t>Impfskepsis ist stärkste Barriere in fragiler Lage: Somaliisches Feldbeispiel</w:t>
      </w:r>
    </w:p>
    <w:p>
      <w:r>
        <w:rPr>
          <w:i/>
          <w:color w:val="666666"/>
          <w:sz w:val="18"/>
        </w:rPr>
        <w:t>Abdi MS et al.  ·  Front Public Health  ·  11.08.2026  ·  PMID 42643472</w:t>
      </w:r>
    </w:p>
    <w:p>
      <w:r>
        <w:t>Querschnittsbefragung von 384 Betreuungspersonen in IDP-Lagern in Mogadischu nach Diphtherie-Impfkampagne; Einflussfaktoren auf Durchimpfung wurden geprüft (2026).</w:t>
      </w:r>
    </w:p>
    <w:p>
      <w:r>
        <w:rPr>
          <w:b/>
        </w:rPr>
        <w:t xml:space="preserve">Ergebnis: </w:t>
      </w:r>
      <w:r>
        <w:t>Gesamte Impfquote 57,6 %. Höhere Impfbedenken-Scores (Vaccine Safety Concern Scale) waren mit deutlich niedrigerem Impfrisiko assoziiert (aOR 0,72, 95% CI 0,57–0,90). Schulbildung der Eltern, Vertrauen in Gesundheitsarbeiter und wahrgenommener Zugang waren nicht signifikant assoziiert.</w:t>
      </w:r>
    </w:p>
    <w:p>
      <w:r>
        <w:rPr>
          <w:b/>
          <w:sz w:val="19"/>
        </w:rPr>
        <w:t xml:space="preserve">Übertragbarkeit: </w:t>
      </w:r>
      <w:r>
        <w:rPr>
          <w:sz w:val="19"/>
        </w:rPr>
        <w:t>Somaliisch; zeigt, dass Sicherheitsbedenken auch bei fragilen Populationen zentral sind; Lernpunkte für Notfall-Impfkampagnen.</w:t>
      </w:r>
    </w:p>
    <w:p>
      <w:r>
        <w:rPr>
          <w:color w:val="5A7D3A"/>
          <w:sz w:val="18"/>
        </w:rPr>
        <w:t>https://pubmed.ncbi.nlm.nih.gov/42643472/</w:t>
      </w:r>
    </w:p>
    <w:p>
      <w:pPr>
        <w:pStyle w:val="Heading2"/>
      </w:pPr>
      <w:r>
        <w:t>Gesunde-Impfling-Effekt bei COVID-19-Vakzine in älteren Gruppen</w:t>
      </w:r>
    </w:p>
    <w:p>
      <w:r>
        <w:rPr>
          <w:i/>
          <w:color w:val="666666"/>
          <w:sz w:val="18"/>
        </w:rPr>
        <w:t>Lyth J et al.  ·  Nat Commun  ·  08.08.2026  ·  PMID 42570961</w:t>
      </w:r>
    </w:p>
    <w:p>
      <w:r>
        <w:t>Schwedenweite Kohortenstudie in Bevölkerung ≥65 Jahren untersuchte die Effektivität der 2024–2025 JN.1-adaptierten COVID-19-Vakzine gegen Hospitalisierung und als Negativkontrolle All-Cause-Mortalität (N=245.696, Oktober 2024–März 2025).</w:t>
      </w:r>
    </w:p>
    <w:p>
      <w:r>
        <w:rPr>
          <w:b/>
        </w:rPr>
        <w:t xml:space="preserve">Ergebnis: </w:t>
      </w:r>
      <w:r>
        <w:t>VE gegen COVID-Hospitalisierung 75 % (95% CI 70–79 %), bei Vorimpfung 2023–24 sogar 84 % (95% CI 80–87 %). Kritisch: All-Cause-Mortalität (Negativkontrolle) war in der geimpften Gruppe um 57 % niedriger (HR 0,43, 95% CI 0,40–0,45), was auf Selektionseffekte durch Frailty hindeutet.</w:t>
      </w:r>
    </w:p>
    <w:p>
      <w:r>
        <w:rPr>
          <w:b/>
          <w:sz w:val="19"/>
        </w:rPr>
        <w:t xml:space="preserve">Übertragbarkeit: </w:t>
      </w:r>
      <w:r>
        <w:rPr>
          <w:sz w:val="19"/>
        </w:rPr>
        <w:t>Skandinavisch, vergleichbares Versorgungssystem; Befund zu Selektionsverzerrung universell relevant.</w:t>
      </w:r>
    </w:p>
    <w:p>
      <w:r>
        <w:rPr>
          <w:color w:val="5A7D3A"/>
          <w:sz w:val="18"/>
        </w:rPr>
        <w:t>https://pubmed.ncbi.nlm.nih.gov/42570961/</w:t>
      </w:r>
    </w:p>
    <w:p>
      <w:pPr>
        <w:pStyle w:val="Heading2"/>
      </w:pPr>
      <w:r>
        <w:t>Schulungskurs verbessert Wissen von Apothekern zur Impfung</w:t>
      </w:r>
    </w:p>
    <w:p>
      <w:r>
        <w:rPr>
          <w:i/>
          <w:color w:val="666666"/>
          <w:sz w:val="18"/>
        </w:rPr>
        <w:t>Waszkiewicz M et al.  ·  Med Sci Monit  ·  05.08.2026  ·  PMID 42552681</w:t>
      </w:r>
    </w:p>
    <w:p>
      <w:r>
        <w:t>Pre-post-Studie in Polen evaluierte Wissenszuwachs bei Apothekern nach Fortbildung zur Influenza- und Pneumokokken-Impfung (Februar 2024–Juli 2025).</w:t>
      </w:r>
    </w:p>
    <w:p>
      <w:r>
        <w:rPr>
          <w:b/>
        </w:rPr>
        <w:t xml:space="preserve">Ergebnis: </w:t>
      </w:r>
      <w:r>
        <w:t>Unter 327 Absolventen stieg das Testscore signifikant um 4,7 Punkte (Mdiff = –4,67, 95% CI: –4,99 bis –4,34, d = 1,55, p &lt; 0,001). Das entspricht ca. 23 % der maximalen Testscore-Steigerung und wurde als großer Effekt beurteilt.</w:t>
      </w:r>
    </w:p>
    <w:p>
      <w:r>
        <w:rPr>
          <w:b/>
          <w:sz w:val="19"/>
        </w:rPr>
        <w:t xml:space="preserve">Übertragbarkeit: </w:t>
      </w:r>
      <w:r>
        <w:rPr>
          <w:sz w:val="19"/>
        </w:rPr>
        <w:t>Polen hat Apothekern 2024 Impfkompetenz übertragen; strukturiertes Angebot seit kurzem auch in Deutschland möglich.</w:t>
      </w:r>
    </w:p>
    <w:p>
      <w:r>
        <w:rPr>
          <w:color w:val="5A7D3A"/>
          <w:sz w:val="18"/>
        </w:rPr>
        <w:t>https://pubmed.ncbi.nlm.nih.gov/42552681/</w:t>
      </w:r>
    </w:p>
    <w:p>
      <w:pPr>
        <w:pStyle w:val="Heading2"/>
      </w:pPr>
      <w:r>
        <w:t>Schulkrankenschwestern unterverimpfter Gemeinden: HPV-Impfung braucht Systemunterstützung</w:t>
      </w:r>
    </w:p>
    <w:p>
      <w:r>
        <w:rPr>
          <w:i/>
          <w:color w:val="666666"/>
          <w:sz w:val="18"/>
        </w:rPr>
        <w:t>Avermark H et al.  ·  Hum Vaccin Immunother  ·  29.07.2026  ·  PMID 42527395</w:t>
      </w:r>
    </w:p>
    <w:p>
      <w:r>
        <w:t>Qualitative Studie mit 21 Interviews von Schulkrankenschwestern in unterversorgten Stockholmer Stadtteilen zur HPV-Impfung von Jugendlichen (Juni–November 2024).</w:t>
      </w:r>
    </w:p>
    <w:p>
      <w:r>
        <w:rPr>
          <w:b/>
        </w:rPr>
        <w:t xml:space="preserve">Ergebnis: </w:t>
      </w:r>
      <w:r>
        <w:t>Drei Themen: (1) Schulkrankenschwestern tragen HPV-Impfung allein, ohne institutionelle Unterstützung; (2) Duale Verantwortung zwischen Einzelbetreuung und Public Health schafft Rollenkonflikte; (3) Schwierigkeit im Umgang mit Tabuisierung von HPV und Sexualität. Hohe Arbeitsbelastung und normative Vorstellungen zu Sex behindern Uptake.</w:t>
      </w:r>
    </w:p>
    <w:p>
      <w:r>
        <w:rPr>
          <w:b/>
          <w:sz w:val="19"/>
        </w:rPr>
        <w:t xml:space="preserve">Übertragbarkeit: </w:t>
      </w:r>
      <w:r>
        <w:rPr>
          <w:sz w:val="19"/>
        </w:rPr>
        <w:t>Schweden, ähnliches Schulsystem und Impfprogramm; zeigt Systemdefizite bei dezentraler HPV-Angebotsumsetzung.</w:t>
      </w:r>
    </w:p>
    <w:p>
      <w:r>
        <w:rPr>
          <w:color w:val="5A7D3A"/>
          <w:sz w:val="18"/>
        </w:rPr>
        <w:t>https://pubmed.ncbi.nlm.nih.gov/42527395/</w:t>
      </w:r>
    </w:p>
    <w:p>
      <w:pPr>
        <w:pStyle w:val="Heading1"/>
      </w:pPr>
      <w:r>
        <w:t>Aufgenommen am 27.08.2026</w:t>
      </w:r>
    </w:p>
    <w:p>
      <w:pPr>
        <w:pStyle w:val="Heading2"/>
      </w:pPr>
      <w:r>
        <w:t>Finnlands zentrales Impfsystem erreicht hohe Quoten, kämpft aber mit Eigenverantwortung und Chancengerechtigkeit</w:t>
      </w:r>
    </w:p>
    <w:p>
      <w:r>
        <w:rPr>
          <w:i/>
          <w:color w:val="666666"/>
          <w:sz w:val="18"/>
        </w:rPr>
        <w:t>Pattyn J et al.  ·  Hum Vaccin Immunother  ·  26.08.2026  ·  PMID 42647143</w:t>
      </w:r>
    </w:p>
    <w:p>
      <w:r>
        <w:t>Eine strukturierte Literaturanalyse mit Experteneingaben beschrieb Finnlands National Vaccination Program (NVP) für Erwachsene, seine Stärken und Hürden.</w:t>
      </w:r>
    </w:p>
    <w:p>
      <w:r>
        <w:rPr>
          <w:b/>
        </w:rPr>
        <w:t xml:space="preserve">Ergebnis: </w:t>
      </w:r>
      <w:r>
        <w:t>Finnlands zentralisiertes, kostenlos bereitgestelltes NVP mit Bevölkerungsregistern erlaubt präzise Monitoring von Abdeckung, Sicherheit und Wirkung. Herausforderungen: Impfung ist individuelle Verantwortung (Compliance-Problem), Kosten für nicht-NVP-Impfstoffe erzeugen Ungleichheit, Impfvertrauen leicht rückläufig. Die CUBE wurde gegründet, um Verhaltensbarrieren zu verstehen.</w:t>
      </w:r>
    </w:p>
    <w:p>
      <w:r>
        <w:rPr>
          <w:b/>
          <w:sz w:val="19"/>
        </w:rPr>
        <w:t xml:space="preserve">Übertragbarkeit: </w:t>
      </w:r>
      <w:r>
        <w:rPr>
          <w:sz w:val="19"/>
        </w:rPr>
        <w:t>skandinavisch mit Impfregister; zeigt Möglichkeiten und Limits zentralisierter Systeme.</w:t>
      </w:r>
    </w:p>
    <w:p>
      <w:r>
        <w:rPr>
          <w:color w:val="5A7D3A"/>
          <w:sz w:val="18"/>
        </w:rPr>
        <w:t>https://pubmed.ncbi.nlm.nih.gov/42647143/</w:t>
      </w:r>
    </w:p>
    <w:p>
      <w:pPr>
        <w:pStyle w:val="Heading2"/>
      </w:pPr>
      <w:r>
        <w:t>HPV-Wissen und Vertrauen in Gesundheitsbehörden prägen Impfbereitschaft in Rumänien</w:t>
      </w:r>
    </w:p>
    <w:p>
      <w:r>
        <w:rPr>
          <w:i/>
          <w:color w:val="666666"/>
          <w:sz w:val="18"/>
        </w:rPr>
        <w:t>Nati ID et al.  ·  Med Sci (Basel)  ·  25.07.2026  ·  PMID 42646566</w:t>
      </w:r>
    </w:p>
    <w:p>
      <w:r>
        <w:t>Eine rumänische Querschnittsumfrage untersuchte kognitive und institutionelle Faktoren für HPV-Impfbereitschaft bei erwachsenen Frauen.</w:t>
      </w:r>
    </w:p>
    <w:p>
      <w:r>
        <w:rPr>
          <w:b/>
        </w:rPr>
        <w:t xml:space="preserve">Ergebnis: </w:t>
      </w:r>
      <w:r>
        <w:t>Unter 368 Befragten lag die Impfquote nur bei 28,6 %. Hohes HPV-Wissen korrelierte mit Impfbereitschaft (p=0,001), ebenso Vertrauen in Behörden. Digitale Fehlinformation zeigte schwachen negativen Zusammenhang mit Wissen, beeinflusste aber Impfbereitschaft nicht direkt. Die Autoren empfehlen Übergang von optionalem zu aktivem Angebot (Opt-out-Modell).</w:t>
      </w:r>
    </w:p>
    <w:p>
      <w:r>
        <w:rPr>
          <w:b/>
          <w:sz w:val="19"/>
        </w:rPr>
        <w:t xml:space="preserve">Übertragbarkeit: </w:t>
      </w:r>
      <w:r>
        <w:rPr>
          <w:sz w:val="19"/>
        </w:rPr>
        <w:t>Süd-/Osteuropa mit ähnlicher administrativer Struktur; zeigt Wirkung von Vertrauen und Struktur.</w:t>
      </w:r>
    </w:p>
    <w:p>
      <w:r>
        <w:rPr>
          <w:color w:val="5A7D3A"/>
          <w:sz w:val="18"/>
        </w:rPr>
        <w:t>https://pubmed.ncbi.nlm.nih.gov/42646566/</w:t>
      </w:r>
    </w:p>
    <w:p>
      <w:pPr>
        <w:pStyle w:val="Heading2"/>
      </w:pPr>
      <w:r>
        <w:t>Lesbarer Weblink in digitalen Impfeinladungen erhöht Vertrauen und Buchungsbereitschaft</w:t>
      </w:r>
    </w:p>
    <w:p>
      <w:r>
        <w:rPr>
          <w:i/>
          <w:color w:val="666666"/>
          <w:sz w:val="18"/>
        </w:rPr>
        <w:t>Oakley CM et al.  ·  J Med Internet Res  ·  25.08.2026  ·  PMID 42640841</w:t>
      </w:r>
    </w:p>
    <w:p>
      <w:r>
        <w:t>Drei randomisierte Onlinestudien mit britischen Teilnehmern testeten, wie das Design von Web-Links in digitalen COVID-19-Impfeinladungen Vertrauen und Buchungsbereitschaft beeinflusst.</w:t>
      </w:r>
    </w:p>
    <w:p>
      <w:r>
        <w:rPr>
          <w:b/>
        </w:rPr>
        <w:t xml:space="preserve">Ergebnis: </w:t>
      </w:r>
      <w:r>
        <w:t>Im Kontrollarm (komplizierter Link) waren 63 % unsicher oder unwillig, ihn zu nutzen. Ein klarer Link (‚vaccine-booking.nhs.uk') verbesserte das Vertrauen (β=0,26 in Exp.1, β=0,24 in Exp.3), ebenso ein Text-eingebetteter Link (β=0,18 in Exp.2, β=0,17 in Exp.3). Ein verkürzter Link brachte keinen Gewinn. Einfache, erkennbare Links erhöhten Buchungsintention über verbessertes Vertrauen und Host-Erkennung.</w:t>
      </w:r>
    </w:p>
    <w:p>
      <w:r>
        <w:rPr>
          <w:b/>
          <w:sz w:val="19"/>
        </w:rPr>
        <w:t xml:space="preserve">Übertragbarkeit: </w:t>
      </w:r>
      <w:r>
        <w:rPr>
          <w:sz w:val="19"/>
        </w:rPr>
        <w:t>Großbritannien; einfache Designprinzipien auch für deutsches Portal- und E-Mail-System anwendbar.</w:t>
      </w:r>
    </w:p>
    <w:p>
      <w:r>
        <w:rPr>
          <w:color w:val="5A7D3A"/>
          <w:sz w:val="18"/>
        </w:rPr>
        <w:t>https://pubmed.ncbi.nlm.nih.gov/42640841/</w:t>
      </w:r>
    </w:p>
    <w:p>
      <w:pPr>
        <w:pStyle w:val="Heading2"/>
      </w:pPr>
      <w:r>
        <w:t>Schwere Nebenwirkungen nach COVID-19-Auffrischung vermindern die Bereitschaft zur erneuten Impfung</w:t>
      </w:r>
    </w:p>
    <w:p>
      <w:r>
        <w:rPr>
          <w:i/>
          <w:color w:val="666666"/>
          <w:sz w:val="18"/>
        </w:rPr>
        <w:t>Huiberts AJ et al.  ·  Vaccine  ·  17.09.2026  ·  PMID 42603508</w:t>
      </w:r>
    </w:p>
    <w:p>
      <w:r>
        <w:t>Eine niederländische Kohortenstudie untersuchte, ob das Auftreten und die Schwere von Nebenwirkungen nach COVID-19-Auffrischimpfungen die Bereitschaft zur Impfung im Folgejahr beeinflussen.</w:t>
      </w:r>
    </w:p>
    <w:p>
      <w:r>
        <w:rPr>
          <w:b/>
        </w:rPr>
        <w:t xml:space="preserve">Ergebnis: </w:t>
      </w:r>
      <w:r>
        <w:t>Von 11.010 Geimpften (2022) waren 73,7 % im nächsten Jahr erneut geimpft. Systémische Nebenwirkungen 2022 waren mit niedrigerem Risiko für Wiederimpfung 2023 verbunden (OR 0,84, 95%-KI 0,76–0,93), besonders bei mittleren (OR 0,79) oder schweren Ereignissen (OR 0,45) sowie Dauer &gt;5 Tagen (OR 0,72). Das Muster wiederholte sich für 2024. Dies zeigt, dass direkte Erfahrungen mit Nebenwirkungen künftige Impfbereitschaft senken.</w:t>
      </w:r>
    </w:p>
    <w:p>
      <w:r>
        <w:rPr>
          <w:b/>
          <w:sz w:val="19"/>
        </w:rPr>
        <w:t xml:space="preserve">Übertragbarkeit: </w:t>
      </w:r>
      <w:r>
        <w:rPr>
          <w:sz w:val="19"/>
        </w:rPr>
        <w:t>Niederlande mit Impfregister; deutsche Routinedaten vergleichbar.</w:t>
      </w:r>
    </w:p>
    <w:p>
      <w:r>
        <w:rPr>
          <w:color w:val="5A7D3A"/>
          <w:sz w:val="18"/>
        </w:rPr>
        <w:t>https://pubmed.ncbi.nlm.nih.gov/42603508/</w:t>
      </w:r>
    </w:p>
    <w:p>
      <w:pPr>
        <w:pStyle w:val="Heading2"/>
      </w:pPr>
      <w:r>
        <w:t>Messaging zu ‚gesundem Altern' erhöht Impfbereitschaft bei älteren Erwachsenen in Frankreich</w:t>
      </w:r>
    </w:p>
    <w:p>
      <w:r>
        <w:rPr>
          <w:i/>
          <w:color w:val="666666"/>
          <w:sz w:val="18"/>
        </w:rPr>
        <w:t>Addario A et al.  ·  Vaccine  ·  17.09.2026  ·  PMID 42594637</w:t>
      </w:r>
    </w:p>
    <w:p>
      <w:r>
        <w:t>Eine französische Querschnittsumfrage mit Social-Marketing-Ansatz testete, welche Botschaften und Zugangsmerkmale die Impfintention bei Älteren (≥60 Jahren) verbessern.</w:t>
      </w:r>
    </w:p>
    <w:p>
      <w:r>
        <w:rPr>
          <w:b/>
        </w:rPr>
        <w:t xml:space="preserve">Ergebnis: </w:t>
      </w:r>
      <w:r>
        <w:t>Von 2.416 Befragten hatten 15,6 % hohe, 81,7 % mittlere und 2,8 % niedrige Impfbereitschaft. Zustimmung, dass Impfung zu gesundem Altern beiträgt, stieg von 3 % (niedrig) auf 56 % (mittel) und 78 % (hoch). Botschaften zu Schlag- und Herzinfarktrisiko zeigten höchste Intention (69–67 %). Gültigkeitsvoucher wurden positiv aufgenommen (57–81 % würden impfen lassen). Ärzte waren vertrauteste Informationsquelle (93–95 %).</w:t>
      </w:r>
    </w:p>
    <w:p>
      <w:r>
        <w:rPr>
          <w:b/>
          <w:sz w:val="19"/>
        </w:rPr>
        <w:t xml:space="preserve">Übertragbarkeit: </w:t>
      </w:r>
      <w:r>
        <w:rPr>
          <w:sz w:val="19"/>
        </w:rPr>
        <w:t>Frankreich mit ähnlichem Versicherungssystem; Fokus auf Rahmung und Zugang in DACH übertragbar.</w:t>
      </w:r>
    </w:p>
    <w:p>
      <w:r>
        <w:rPr>
          <w:color w:val="5A7D3A"/>
          <w:sz w:val="18"/>
        </w:rPr>
        <w:t>https://pubmed.ncbi.nlm.nih.gov/42594637/</w:t>
      </w:r>
    </w:p>
    <w:p>
      <w:pPr>
        <w:pStyle w:val="Heading2"/>
      </w:pPr>
      <w:r>
        <w:t>Omicron-JN.1-Impfstoff bot in den Niederlanden nur begrenzte Zusatzschutzwirkung</w:t>
      </w:r>
    </w:p>
    <w:p>
      <w:r>
        <w:rPr>
          <w:i/>
          <w:color w:val="666666"/>
          <w:sz w:val="18"/>
        </w:rPr>
        <w:t>Huiberts AJ et al.  ·  Vaccine  ·  17.09.2026  ·  PMID 42585808</w:t>
      </w:r>
    </w:p>
    <w:p>
      <w:r>
        <w:t>Eine prospektive holländische Kohortenstudie quantifizierte die Wirksamkeit der JN.1-Varianten-angepassten COVID-19-Impfung gegen Infektionen von September 2024 bis Februar 2025.</w:t>
      </w:r>
    </w:p>
    <w:p>
      <w:r>
        <w:rPr>
          <w:b/>
        </w:rPr>
        <w:t xml:space="preserve">Ergebnis: </w:t>
      </w:r>
      <w:r>
        <w:t>Von 4.490 Teilnehmern &lt;60 Jahren waren 29 % geimpft, von 19.349 Älteren 74 %. Bei 2.142 Infektionen betrug die Impfwirksamkeit 16 % (&lt;60 Jahre, 95%-KI –11–36) und 13 % (≥60 Jahre, 95%-KI 2–23). Gegen KP.3.1.1 und XEC unterschied sich der Schutz nicht signifikant. Die begrenzte Schutzwirkung in einer Phase niedriger Inzidenz deutet auf waning immunity hin.</w:t>
      </w:r>
    </w:p>
    <w:p>
      <w:r>
        <w:rPr>
          <w:b/>
          <w:sz w:val="19"/>
        </w:rPr>
        <w:t xml:space="preserve">Übertragbarkeit: </w:t>
      </w:r>
      <w:r>
        <w:rPr>
          <w:sz w:val="19"/>
        </w:rPr>
        <w:t>Niederlande mit vollständiger Impfdokumentation und genetischer Variantenbestimmung.</w:t>
      </w:r>
    </w:p>
    <w:p>
      <w:r>
        <w:rPr>
          <w:color w:val="5A7D3A"/>
          <w:sz w:val="18"/>
        </w:rPr>
        <w:t>https://pubmed.ncbi.nlm.nih.gov/42585808/</w:t>
      </w:r>
    </w:p>
    <w:p>
      <w:pPr>
        <w:pStyle w:val="Heading1"/>
      </w:pPr>
      <w:r>
        <w:t>Aufgenommen am 26.08.2026</w:t>
      </w:r>
    </w:p>
    <w:p>
      <w:pPr>
        <w:pStyle w:val="Heading2"/>
      </w:pPr>
      <w:r>
        <w:t>Influenza-Impfskepsis bei georgischen Gesundheitspersonal senkt Impfquote über drei Jahre</w:t>
      </w:r>
    </w:p>
    <w:p>
      <w:r>
        <w:rPr>
          <w:i/>
          <w:color w:val="666666"/>
          <w:sz w:val="18"/>
        </w:rPr>
        <w:t>Artemchuk O et al.  ·  PLoS One  ·  25.08.2026  ·  PMID 42640914</w:t>
      </w:r>
    </w:p>
    <w:p>
      <w:r>
        <w:t>Prospektive Kohortenstudie in Georgien mit 403 Krankenhausmitarbeitenden über drei Influenza-Saisons (2021–2024): Welche Faktoren beeinflussen die Annahme der jährlichen Influenza-Impfung?</w:t>
      </w:r>
    </w:p>
    <w:p>
      <w:r>
        <w:rPr>
          <w:b/>
        </w:rPr>
        <w:t xml:space="preserve">Ergebnis: </w:t>
      </w:r>
      <w:r>
        <w:t>72 % erhielten mindestens einmal die Impfung, 28 % nie. Mangelndes Vertrauen in Sicherheit (aOR 0,27) und Wirksamkeit (aOR 0,36) sowie das Alter 40–49 Jahre (aOR 2,67) waren die Hauptfaktoren. Eine Klinik hatte deutlich niedrigere Quoten (aOR 0,06).</w:t>
      </w:r>
    </w:p>
    <w:p>
      <w:r>
        <w:rPr>
          <w:b/>
          <w:sz w:val="19"/>
        </w:rPr>
        <w:t xml:space="preserve">Übertragbarkeit: </w:t>
      </w:r>
      <w:r>
        <w:rPr>
          <w:sz w:val="19"/>
        </w:rPr>
        <w:t>Kaukasus-Region mit WHO-Partner, aber begrenzte Übertragbarkeit auf deutsches System ohne Impfregister.</w:t>
      </w:r>
    </w:p>
    <w:p>
      <w:r>
        <w:rPr>
          <w:color w:val="5A7D3A"/>
          <w:sz w:val="18"/>
        </w:rPr>
        <w:t>https://pubmed.ncbi.nlm.nih.gov/42640914/</w:t>
      </w:r>
    </w:p>
    <w:p>
      <w:pPr>
        <w:pStyle w:val="Heading2"/>
      </w:pPr>
      <w:r>
        <w:t>Impfquote bei 24-Monate-Alten in Italien von 92,75 % auf 94,57 % durch Reorganisation der Dienste</w:t>
      </w:r>
    </w:p>
    <w:p>
      <w:r>
        <w:rPr>
          <w:i/>
          <w:color w:val="666666"/>
          <w:sz w:val="18"/>
        </w:rPr>
        <w:t>Scala A et al.  ·  Front Public Health  ·  10.08.2026  ·  PMID 42638716</w:t>
      </w:r>
    </w:p>
    <w:p>
      <w:r>
        <w:t>Qualitäts-Verbesserungsprojekt in ASL Napoli 3 Sud 2022–2024 mit M.A.S.T.E.R.-Framework: Wie ließ sich die gefallene Abdeckung von Primärserien wieder heben?</w:t>
      </w:r>
    </w:p>
    <w:p>
      <w:r>
        <w:rPr>
          <w:b/>
        </w:rPr>
        <w:t xml:space="preserve">Ergebnis: </w:t>
      </w:r>
      <w:r>
        <w:t>Quote 2023: 92,75 % (Rückgang von 94,57 % 2022). Nach Interventionen (standardisierte Erinnerungen, digitale Kalender, Schulung, Logistik-Überprüfung): 2024 → 94,57 % (+1,82 Pp.). Erinnerungen stiegen von 1.248 auf 2.136, vollendete Nachholtermine von 286 auf 612. Pädiater-Kooperation von 54,2 % auf 87,3 %.</w:t>
      </w:r>
    </w:p>
    <w:p>
      <w:r>
        <w:rPr>
          <w:b/>
          <w:sz w:val="19"/>
        </w:rPr>
        <w:t xml:space="preserve">Übertragbarkeit: </w:t>
      </w:r>
      <w:r>
        <w:rPr>
          <w:sz w:val="19"/>
        </w:rPr>
        <w:t>Italien, südeuropäisches Sozialversicherungssystem, Dokumentation ähnlich Deutschland-Anforderungen.</w:t>
      </w:r>
    </w:p>
    <w:p>
      <w:r>
        <w:rPr>
          <w:color w:val="5A7D3A"/>
          <w:sz w:val="18"/>
        </w:rPr>
        <w:t>https://pubmed.ncbi.nlm.nih.gov/42638716/</w:t>
      </w:r>
    </w:p>
    <w:p>
      <w:pPr>
        <w:pStyle w:val="Heading2"/>
      </w:pPr>
      <w:r>
        <w:t>Schwangere in Gambia: Lücken beim COVID-19-Impfstoffzugang trotz neuer Leitlinien</w:t>
      </w:r>
    </w:p>
    <w:p>
      <w:r>
        <w:rPr>
          <w:i/>
          <w:color w:val="666666"/>
          <w:sz w:val="18"/>
        </w:rPr>
        <w:t>Nkereuwem O et al.  ·  BMJ Open  ·  20.08.2026  ·  PMID 42624601</w:t>
      </w:r>
    </w:p>
    <w:p>
      <w:r>
        <w:t>Qualitative Studie in Gambia mit 15 Fachpersonen und 29 Workshop-Teilnehmenden: Welche Barrieren verhindern, dass Schwangere COVID-19-Impfstoffe erhalten?</w:t>
      </w:r>
    </w:p>
    <w:p>
      <w:r>
        <w:rPr>
          <w:b/>
        </w:rPr>
        <w:t xml:space="preserve">Ergebnis: </w:t>
      </w:r>
      <w:r>
        <w:t>Evolvierende Sicherheitsleitlinien minderten Beratungsvertrauen und verstärkten Vaccine Hesitancy. Fragmentierte Dienste (nicht in Schwangerenvorsorge integriert), schwache Dokumentation von Nebenwirkungen und Misinformation waren Kernprobleme. Strategien: frühe Schulung, Koordination über Berufsgruppen, gestärkte Logistik und Sicherheitsmeldung.</w:t>
      </w:r>
    </w:p>
    <w:p>
      <w:r>
        <w:rPr>
          <w:b/>
          <w:sz w:val="19"/>
        </w:rPr>
        <w:t xml:space="preserve">Übertragbarkeit: </w:t>
      </w:r>
      <w:r>
        <w:rPr>
          <w:sz w:val="19"/>
        </w:rPr>
        <w:t>Subsahara-Afrika, aber Befunde zu systemischer Fragmentierung relevant für Integrationsfragen.</w:t>
      </w:r>
    </w:p>
    <w:p>
      <w:r>
        <w:rPr>
          <w:color w:val="5A7D3A"/>
          <w:sz w:val="18"/>
        </w:rPr>
        <w:t>https://pubmed.ncbi.nlm.nih.gov/42624601/</w:t>
      </w:r>
    </w:p>
    <w:p>
      <w:pPr>
        <w:pStyle w:val="Heading1"/>
      </w:pPr>
      <w:r>
        <w:t>Aufgenommen am 24.08.2026</w:t>
      </w:r>
    </w:p>
    <w:p>
      <w:pPr>
        <w:pStyle w:val="Heading2"/>
      </w:pPr>
      <w:r>
        <w:t>Hochdosis-Grippeimpfstoff senkte Krankenhauseinweisungen bei Altenheimbewohnern um 31 Prozent</w:t>
      </w:r>
    </w:p>
    <w:p>
      <w:r>
        <w:rPr>
          <w:i/>
          <w:color w:val="666666"/>
          <w:sz w:val="18"/>
        </w:rPr>
        <w:t>Bricout H et al.  ·  Age Ageing  ·  03.08.2026  ·  PMID 42632918</w:t>
      </w:r>
    </w:p>
    <w:p>
      <w:r>
        <w:t>Französische Kohortenstudie verglich Wirksamkeit von Hochdosis- versus Standarddosis-Grippeimpfstoff gegen grippebedingte Krankenhauseinweisungen bei Bewohnern von Altenpflegeeinrichtungen (2022–2023).</w:t>
      </w:r>
    </w:p>
    <w:p>
      <w:r>
        <w:rPr>
          <w:b/>
        </w:rPr>
        <w:t xml:space="preserve">Ergebnis: </w:t>
      </w:r>
      <w:r>
        <w:t>Hochdosis-Impfstoff reduzierte grippebedingte Krankenhauseinweisungen um 30,8 % (95 % KI: 11,8–45,7 %; p = 0,0029), verglichen mit Standarddosis. Bei Pneumonie oder kombinierten Ergebnissen zeigte sich kein signifikanter Unterschied. Die Studie stützt bevorzugte Verwendung des Hochdosis-Impfstoffs in dieser Hochrisikogruppe.</w:t>
      </w:r>
    </w:p>
    <w:p>
      <w:r>
        <w:rPr>
          <w:b/>
          <w:sz w:val="19"/>
        </w:rPr>
        <w:t xml:space="preserve">Übertragbarkeit: </w:t>
      </w:r>
      <w:r>
        <w:rPr>
          <w:sz w:val="19"/>
        </w:rPr>
        <w:t>Frankreich mit vergleichbarem Sozialversicherungssystem und Langzeitpflege-Dokumentation wie Deutschland.</w:t>
      </w:r>
    </w:p>
    <w:p>
      <w:r>
        <w:rPr>
          <w:color w:val="5A7D3A"/>
          <w:sz w:val="18"/>
        </w:rPr>
        <w:t>https://pubmed.ncbi.nlm.nih.gov/42632918/</w:t>
      </w:r>
    </w:p>
    <w:p>
      <w:pPr>
        <w:pStyle w:val="Heading1"/>
      </w:pPr>
      <w:r>
        <w:t>Aufgenommen am 22.08.2026</w:t>
      </w:r>
    </w:p>
    <w:p>
      <w:pPr>
        <w:pStyle w:val="Heading2"/>
      </w:pPr>
      <w:r>
        <w:t>HPV-Impfung senkt Häufigkeit von Larynx- und Bindehautpapillomen in Dänemark</w:t>
      </w:r>
    </w:p>
    <w:p>
      <w:r>
        <w:rPr>
          <w:i/>
          <w:color w:val="666666"/>
          <w:sz w:val="18"/>
        </w:rPr>
        <w:t>Aakilde M et al.  ·  APMIS  ·  Aug. 2026  ·  PMID 42619272</w:t>
      </w:r>
    </w:p>
    <w:p>
      <w:r>
        <w:t>Register-Studie: 33 juvenile Larynx-, 134 Bindehautpapillom-Patienten 2005–2024 mit HPV-Subtypisierung und Impfstatus-Abfrage.</w:t>
      </w:r>
    </w:p>
    <w:p>
      <w:r>
        <w:rPr>
          <w:b/>
        </w:rPr>
        <w:t xml:space="preserve">Ergebnis: </w:t>
      </w:r>
      <w:r>
        <w:t>Larynxpapillom-Inzidenz sank von 0,190 pro 100.000 (2005–2013) auf 0,107 (2014–2024), nicht signifikant (p=0,145); keine Fälle bei geimpften Müttern. Bindehautpapillom-Inzidenz sank signifikant um 5,3 % pro Jahr (p=0,002). HPV-6/-11 in 74,1 % nachgewiesen. Studie zeigt Schutzeffekt des Impfprogramms auf Bindehautpapillome, juvenile Larynxpapillome bleiben selten und nur bei ungeimpften Müttern.</w:t>
      </w:r>
    </w:p>
    <w:p>
      <w:r>
        <w:rPr>
          <w:b/>
          <w:sz w:val="19"/>
        </w:rPr>
        <w:t xml:space="preserve">Übertragbarkeit: </w:t>
      </w:r>
      <w:r>
        <w:rPr>
          <w:sz w:val="19"/>
        </w:rPr>
        <w:t>Dänemark, nationales Register, vergleichbare nordeuropäische Impfpraxis</w:t>
      </w:r>
    </w:p>
    <w:p>
      <w:r>
        <w:rPr>
          <w:color w:val="5A7D3A"/>
          <w:sz w:val="18"/>
        </w:rPr>
        <w:t>https://pubmed.ncbi.nlm.nih.gov/42619272/</w:t>
      </w:r>
    </w:p>
    <w:p>
      <w:pPr>
        <w:pStyle w:val="Heading2"/>
      </w:pPr>
      <w:r>
        <w:t>Hepatitis-B-Impfquoten bei trans und nicht-binären Menschen in Deutschland: Wer bleibt ungeimpft?</w:t>
      </w:r>
    </w:p>
    <w:p>
      <w:r>
        <w:rPr>
          <w:i/>
          <w:color w:val="666666"/>
          <w:sz w:val="18"/>
        </w:rPr>
        <w:t>Biallas R et al.  ·  BMC Public Health  ·  11.08.2026  ·  PMID 42576212</w:t>
      </w:r>
    </w:p>
    <w:p>
      <w:r>
        <w:t>Online-Survey von 2.358 trans und nicht-binären Personen zu Hepatitis-B-Diagnosen und Impfstatus, RKI-Studie.</w:t>
      </w:r>
    </w:p>
    <w:p>
      <w:r>
        <w:rPr>
          <w:b/>
        </w:rPr>
        <w:t xml:space="preserve">Ergebnis: </w:t>
      </w:r>
      <w:r>
        <w:t>HBV-Prävalenz 0,6 %, Impfquote 56,3 %. Quote höher bei Personen auf dem männlichen Spektrum (PR 1,29) als weiblich/nicht-binär; höher mit Hochschulbildung (PR 1,44) und in Großstädten (PR 1,22). 550 (21,7 %) waren impfempfohlen; von 213 mit negativem Impfstatus waren 65 % unter 30 und hätten Routine-Impfung erhalten sollen. Wissenslücken zu Hepatitis als Hauptprädiktor für niedrige Quote identifiziert.</w:t>
      </w:r>
    </w:p>
    <w:p>
      <w:r>
        <w:rPr>
          <w:b/>
          <w:sz w:val="19"/>
        </w:rPr>
        <w:t xml:space="preserve">Übertragbarkeit: </w:t>
      </w:r>
      <w:r>
        <w:rPr>
          <w:sz w:val="19"/>
        </w:rPr>
        <w:t>RKI-Studie, deutsche Hochrisikopopulation; Ungleichheit nach Bildung, Geschlechtsidentität und Urbanisierung</w:t>
      </w:r>
    </w:p>
    <w:p>
      <w:r>
        <w:rPr>
          <w:color w:val="5A7D3A"/>
          <w:sz w:val="18"/>
        </w:rPr>
        <w:t>https://pubmed.ncbi.nlm.nih.gov/42576212/</w:t>
      </w:r>
    </w:p>
    <w:p>
      <w:pPr>
        <w:pStyle w:val="Heading1"/>
      </w:pPr>
      <w:r>
        <w:t>Aufgenommen am 21.08.2026</w:t>
      </w:r>
    </w:p>
    <w:p>
      <w:pPr>
        <w:pStyle w:val="Heading2"/>
      </w:pPr>
      <w:r>
        <w:t>MenACWY-Impfung und Meningokokken-Carriage bei Studierenden: Wirksamkeitsevidenz aus Carriage-Monitoring</w:t>
      </w:r>
    </w:p>
    <w:p>
      <w:r>
        <w:rPr>
          <w:i/>
          <w:color w:val="666666"/>
          <w:sz w:val="18"/>
        </w:rPr>
        <w:t>Harvey-Cowlishaw T et al.  ·  Front Public Health  ·  05.08.2026  ·  PMID 42621093</w:t>
      </w:r>
    </w:p>
    <w:p>
      <w:r>
        <w:t>Querschnittstudie (September + November 2024) an 400 Studierenden einer UK-Universität mit Keimkultur/PCR und Vollgenomsequenzierung von Meningokokken-Carriern.</w:t>
      </w:r>
    </w:p>
    <w:p>
      <w:r>
        <w:rPr>
          <w:b/>
        </w:rPr>
        <w:t xml:space="preserve">Ergebnis: </w:t>
      </w:r>
      <w:r>
        <w:t>Carriage-Rate Sepember 12,5 %, November 25,3 % (p&lt;0,05). Genogruppe C: null Isolate (100 % Reduktion durch MenACWY-Vakzinierung). Genogruppe Y: null verkappselte Isolate in dieser Kohorte, konsistent mit Impfeffektivität. Genogruppe B: 34,3 % (multipler Clonal Complex, teils hyperinvasiv). MenACWY schützt Studierende effektiv vor W/Y-Carriage; Genogruppe B bleibt Risiko.</w:t>
      </w:r>
    </w:p>
    <w:p>
      <w:r>
        <w:rPr>
          <w:b/>
          <w:sz w:val="19"/>
        </w:rPr>
        <w:t xml:space="preserve">Übertragbarkeit: </w:t>
      </w:r>
      <w:r>
        <w:rPr>
          <w:sz w:val="19"/>
        </w:rPr>
        <w:t>UK, Kariologie-Surveillance, vergleichbare adoleszente Impfprogramme</w:t>
      </w:r>
    </w:p>
    <w:p>
      <w:r>
        <w:rPr>
          <w:color w:val="5A7D3A"/>
          <w:sz w:val="18"/>
        </w:rPr>
        <w:t>https://pubmed.ncbi.nlm.nih.gov/42621093/</w:t>
      </w:r>
    </w:p>
    <w:p>
      <w:pPr>
        <w:pStyle w:val="Heading2"/>
      </w:pPr>
      <w:r>
        <w:t>Vorbuchte Impftermine für COVID-19: Burden-Vergleich und Wirkung auf Uptake-Intention</w:t>
      </w:r>
    </w:p>
    <w:p>
      <w:r>
        <w:rPr>
          <w:i/>
          <w:color w:val="666666"/>
          <w:sz w:val="18"/>
        </w:rPr>
        <w:t>Sanders JG et al.  ·  Vaccine  ·  30.08.2026  ·  PMID 42546637</w:t>
      </w:r>
    </w:p>
    <w:p>
      <w:r>
        <w:t>Formative Evaluationsstudie (Niederlande) in zwei Phasen – qualitativ (15 Interviews) und experimentell (n=1.886) – zur Wirkung von Vorbuchung vs. Selbstbuchung auf Impfintention.</w:t>
      </w:r>
    </w:p>
    <w:p>
      <w:r>
        <w:rPr>
          <w:b/>
        </w:rPr>
        <w:t xml:space="preserve">Ergebnis: </w:t>
      </w:r>
      <w:r>
        <w:t>Phase 1: Vorbuchung wurde als fürsorglich und auch als bevormundend wahrgenommen. Phase 2: Selbstbuchung wurde als weniger belastend wahrgenommen (β=−0,23, p&lt;0,05), führte aber nicht zu höherer Impfintention (aOR=1,11). Auch bei zögerlichen Personen kein Unterschied (aOR=0,88). Vorbuchung verändert COVID-19-Intention nicht – konservative Empfehlung: Selbstbuchung für bereits geimpfte Ältere.</w:t>
      </w:r>
    </w:p>
    <w:p>
      <w:r>
        <w:rPr>
          <w:b/>
          <w:sz w:val="19"/>
        </w:rPr>
        <w:t xml:space="preserve">Übertragbarkeit: </w:t>
      </w:r>
      <w:r>
        <w:rPr>
          <w:sz w:val="19"/>
        </w:rPr>
        <w:t>Niederlande (RIVM), vergleichbares Versicherungssystem und Impfinfrastruktur</w:t>
      </w:r>
    </w:p>
    <w:p>
      <w:r>
        <w:rPr>
          <w:color w:val="5A7D3A"/>
          <w:sz w:val="18"/>
        </w:rPr>
        <w:t>https://pubmed.ncbi.nlm.nih.gov/42546637/</w:t>
      </w:r>
    </w:p>
    <w:p>
      <w:pPr>
        <w:pStyle w:val="Heading1"/>
      </w:pPr>
      <w:r>
        <w:t>Aufgenommen am 20.08.2026</w:t>
      </w:r>
    </w:p>
    <w:p>
      <w:pPr>
        <w:pStyle w:val="Heading2"/>
      </w:pPr>
      <w:r>
        <w:t>Impfquoten in der Schwangerschaft in Deutschland 2004–2022: Was bleibt ungenutzt?</w:t>
      </w:r>
    </w:p>
    <w:p>
      <w:r>
        <w:rPr>
          <w:i/>
          <w:color w:val="666666"/>
          <w:sz w:val="18"/>
        </w:rPr>
        <w:t>Mulanje L et al.  ·  Sci Rep  ·  18.08.2026  ·  PMID 42613346</w:t>
      </w:r>
    </w:p>
    <w:p>
      <w:r>
        <w:t>Eine Analyse von über 2,8 Mio. Schwangerschaften in deutschen Krankenkassendaten zeigte, wie sich Impfquoten in der Schwangerschaft entwickelten.</w:t>
      </w:r>
    </w:p>
    <w:p>
      <w:r>
        <w:rPr>
          <w:b/>
        </w:rPr>
        <w:t xml:space="preserve">Ergebnis: </w:t>
      </w:r>
      <w:r>
        <w:t>Influenza-Impfquote bei Schwangeren stieg von 2 % (2004–2009) auf 19 % (2020–2022), Pertussis von 3 % (2015–2019) auf 37 % (2020–2022). Weniger als 50 % der empfohlenen Schwangerschaftsimpfungen wurden durchgeführt; Gründe bleiben unklar. Etwa 0,3 % erhielten kontraindizierte Lebendimpfstoffe.</w:t>
      </w:r>
    </w:p>
    <w:p>
      <w:r>
        <w:rPr>
          <w:b/>
          <w:sz w:val="19"/>
        </w:rPr>
        <w:t xml:space="preserve">Übertragbarkeit: </w:t>
      </w:r>
      <w:r>
        <w:rPr>
          <w:sz w:val="19"/>
        </w:rPr>
        <w:t>Deutsche Krankenkassendaten mit vollständiger Erfassung, direkt übertragbar auf deutsches Versorgungssystem.</w:t>
      </w:r>
    </w:p>
    <w:p>
      <w:r>
        <w:rPr>
          <w:color w:val="5A7D3A"/>
          <w:sz w:val="18"/>
        </w:rPr>
        <w:t>https://pubmed.ncbi.nlm.nih.gov/42613346/</w:t>
      </w:r>
    </w:p>
    <w:p>
      <w:pPr>
        <w:pStyle w:val="Heading2"/>
      </w:pPr>
      <w:r>
        <w:t>HPV-Impfung für Adoleszente: Verhaltenswissenschaftliche Entwicklung einer Intervention (15–17 Jahre)</w:t>
      </w:r>
    </w:p>
    <w:p>
      <w:r>
        <w:rPr>
          <w:i/>
          <w:color w:val="666666"/>
          <w:sz w:val="18"/>
        </w:rPr>
        <w:t>Flood T et al.  ·  PLoS One  ·  14.08.2026  ·  PMID 42599892</w:t>
      </w:r>
    </w:p>
    <w:p>
      <w:r>
        <w:t>Qualitative Studie mit fokussierten Interviews (Impfschwestern n=26, Schüler n=34, Lehrer/Schulnursen n=18) zur Entwicklung eines theoriegestützten HPV-Interventionsangebots.</w:t>
      </w:r>
    </w:p>
    <w:p>
      <w:r>
        <w:rPr>
          <w:b/>
        </w:rPr>
        <w:t xml:space="preserve">Ergebnis: </w:t>
      </w:r>
      <w:r>
        <w:t>Systematische Übersicht fand Mangel an Interventionen für diese Altersgruppe. Identifiziert wurden 12 Barrieren für drei Zielverhalten (Schülerentscheidung, Professionalisierung, öffentliche Akzeptanz). Entwickelte Intervention: schulgestützte HPV-Bildung mit Impfangebot, öffentliche Medienkampagne; Erfolg hängt von Unterstützung durch Behörden und Lehrplanintegration ab.</w:t>
      </w:r>
    </w:p>
    <w:p>
      <w:r>
        <w:rPr>
          <w:b/>
          <w:sz w:val="19"/>
        </w:rPr>
        <w:t xml:space="preserve">Übertragbarkeit: </w:t>
      </w:r>
      <w:r>
        <w:rPr>
          <w:sz w:val="19"/>
        </w:rPr>
        <w:t>Nordirland, ähnliche schulbasierte Impfstrukturen wie Deutschland, Barrier-Identifizierung übertragbar.</w:t>
      </w:r>
    </w:p>
    <w:p>
      <w:r>
        <w:rPr>
          <w:color w:val="5A7D3A"/>
          <w:sz w:val="18"/>
        </w:rPr>
        <w:t>https://pubmed.ncbi.nlm.nih.gov/42599892/</w:t>
      </w:r>
    </w:p>
    <w:p>
      <w:pPr>
        <w:pStyle w:val="Heading2"/>
      </w:pPr>
      <w:r>
        <w:t>COVID-19-Sterblichkeit bei Menschen mit schweren psychischen Erkrankungen: Übersterblichkeit trotz Impfung</w:t>
      </w:r>
    </w:p>
    <w:p>
      <w:r>
        <w:rPr>
          <w:i/>
          <w:color w:val="666666"/>
          <w:sz w:val="18"/>
        </w:rPr>
        <w:t>Chilman N et al.  ·  Lancet Psychiatry  ·  Sept. 2026  ·  PMID 42586081</w:t>
      </w:r>
    </w:p>
    <w:p>
      <w:r>
        <w:t>Gesamtbevölkerungsstudie in England (n=13.463.945 COVID-19-Fälle, davon 1,19 % mit schwerer psychischer Erkrankung) auf Mortalität über drei Pandemiephasen mit unterschiedlichem Impfzugang.</w:t>
      </w:r>
    </w:p>
    <w:p>
      <w:r>
        <w:rPr>
          <w:b/>
        </w:rPr>
        <w:t xml:space="preserve">Ergebnis: </w:t>
      </w:r>
      <w:r>
        <w:t>Übersterblichkeit bei schwerer psychischer Erkrankung: aHR 1,56 (95%-KI 1,53–1,59). In Phase 1 (vor Impfung): aHR 1,27; Phase 2 (Impfstart): aHR 1,56; Phase 3 (nach Impfung): aHR 1,55. Impfquoten initial höher (73,2 % vs. 67,4 %), am Ende aber niedriger (79,4 % vs. 87,2 %). Impfung minderte Risiko nur partiell (aHR 1,25, 95%-KI 1,17–1,34).</w:t>
      </w:r>
    </w:p>
    <w:p>
      <w:r>
        <w:rPr>
          <w:b/>
          <w:sz w:val="19"/>
        </w:rPr>
        <w:t xml:space="preserve">Übertragbarkeit: </w:t>
      </w:r>
      <w:r>
        <w:rPr>
          <w:sz w:val="19"/>
        </w:rPr>
        <w:t>England-Gesamtbevölkerung, nationales Gesundheitssystem wie Deutschland, Ungleichheitsfrage zentral.</w:t>
      </w:r>
    </w:p>
    <w:p>
      <w:r>
        <w:rPr>
          <w:color w:val="5A7D3A"/>
          <w:sz w:val="18"/>
        </w:rPr>
        <w:t>https://pubmed.ncbi.nlm.nih.gov/42586081/</w:t>
      </w:r>
    </w:p>
    <w:p>
      <w:pPr>
        <w:pStyle w:val="Heading1"/>
      </w:pPr>
      <w:r>
        <w:t>Aufgenommen am 19.08.2026</w:t>
      </w:r>
    </w:p>
    <w:p>
      <w:pPr>
        <w:pStyle w:val="Heading2"/>
      </w:pPr>
      <w:r>
        <w:t>Psychisches Wohlbefinden und COVID-19-Impfquote: 2,68-fach höherer Impfanteil bei hohem CASP-Wohlbefind</w:t>
      </w:r>
    </w:p>
    <w:p>
      <w:r>
        <w:rPr>
          <w:i/>
          <w:color w:val="666666"/>
          <w:sz w:val="18"/>
        </w:rPr>
        <w:t>Gao Y et al.  ·  Hum Vaccin Immunother  ·  18.08.2026  ·  PMID 42610257</w:t>
      </w:r>
    </w:p>
    <w:p>
      <w:r>
        <w:t>Prospektive Analyse von 29.597 europäischen Erwachsenen ≥50 Jahren (SHARE-Studie, 27 Länder + Israel) zur Assoziation zwischen psychischem Wohlbefinden (CASP-12-Skala) und COVID-19-Impfung, Infektion und Long COVID.</w:t>
      </w:r>
    </w:p>
    <w:p>
      <w:r>
        <w:rPr>
          <w:b/>
        </w:rPr>
        <w:t xml:space="preserve">Ergebnis: </w:t>
      </w:r>
      <w:r>
        <w:t>Personen mit höchster CASP-12-Punktzahl vs. niedrigster: OR für COVID-19-Impfung 2,68 (95%-KI 2,44–2,96). Reduktion von Long COVID um 23% (OR 0,77, 95%-KI 0,64–0,93). Kein signifikanter Effekt auf Infektionsrisiko (OR 0,87, 95%-KI 0,74–1,02). Höheres psychisches Wohlbefinden mit verbessertem Impfstatus und reduziertem Long-COVID-Risiko assoziiert.</w:t>
      </w:r>
    </w:p>
    <w:p>
      <w:r>
        <w:rPr>
          <w:b/>
          <w:sz w:val="19"/>
        </w:rPr>
        <w:t xml:space="preserve">Übertragbarkeit: </w:t>
      </w:r>
      <w:r>
        <w:rPr>
          <w:sz w:val="19"/>
        </w:rPr>
        <w:t>27 europäische Länder, generalisierbar auf deutschsprachigen Raum</w:t>
      </w:r>
    </w:p>
    <w:p>
      <w:r>
        <w:rPr>
          <w:color w:val="5A7D3A"/>
          <w:sz w:val="18"/>
        </w:rPr>
        <w:t>https://pubmed.ncbi.nlm.nih.gov/42610257/</w:t>
      </w:r>
    </w:p>
    <w:p>
      <w:pPr>
        <w:pStyle w:val="Heading2"/>
      </w:pPr>
      <w:r>
        <w:t>Pädiater-Wissenlücken zur RSV-Immunisierung: 55,9% mit durchschnittlichem bis niedrigem Nirsevimab-Wissen</w:t>
      </w:r>
    </w:p>
    <w:p>
      <w:r>
        <w:rPr>
          <w:i/>
          <w:color w:val="666666"/>
          <w:sz w:val="18"/>
        </w:rPr>
        <w:t>Di Chiara C et al.  ·  PLoS One  ·  17.08.2026  ·  PMID 42607062</w:t>
      </w:r>
    </w:p>
    <w:p>
      <w:r>
        <w:t>Befragung von 578 Pädiatern (Rücklaufquote 19,3%) in Spanien, Italien und Zypern/Griechenland zu Wissen, Einstellungen und Barrieren bezüglich neuer RSV-Impfstrategen.</w:t>
      </w:r>
    </w:p>
    <w:p>
      <w:r>
        <w:rPr>
          <w:b/>
        </w:rPr>
        <w:t xml:space="preserve">Ergebnis: </w:t>
      </w:r>
      <w:r>
        <w:t>50% Spanien, 40% Italien, 10% Zypern/Griechenland. Nur 245 Befragte (55,9%) berichteten durchschnittliches bis niedriges Nirsevimab-Wissen, 375 (86,0%) zeigten gleiches für Mutterimpfstoff (p=0,002). Trotz Wissenslücken: 311 (85,9%) bereit, Nirsevimab zu verabreichen, 319 (92,2%) unterstützten es für alle Neugeborenen. Barrieren (20,0% genannt): Unbekannt und logistische Herausforderungen. 165 (47,4%) bevorzugten die Mutterimpfung gegenüber Nirsevimab.</w:t>
      </w:r>
    </w:p>
    <w:p>
      <w:r>
        <w:rPr>
          <w:b/>
          <w:sz w:val="19"/>
        </w:rPr>
        <w:t xml:space="preserve">Übertragbarkeit: </w:t>
      </w:r>
      <w:r>
        <w:rPr>
          <w:sz w:val="19"/>
        </w:rPr>
        <w:t>Südeuropa, aber spanische Erfahrung mit Nirsevimab bereits verfügbar</w:t>
      </w:r>
    </w:p>
    <w:p>
      <w:r>
        <w:rPr>
          <w:color w:val="5A7D3A"/>
          <w:sz w:val="18"/>
        </w:rPr>
        <w:t>https://pubmed.ncbi.nlm.nih.gov/42607062/</w:t>
      </w:r>
    </w:p>
    <w:p>
      <w:pPr>
        <w:pStyle w:val="Heading2"/>
      </w:pPr>
      <w:r>
        <w:t>HPV-Impfung und Schwangerschaftsergebnisse: Registerstudie zeigt keine erhöhten Fehlgeburtsrisiken</w:t>
      </w:r>
    </w:p>
    <w:p>
      <w:r>
        <w:rPr>
          <w:i/>
          <w:color w:val="666666"/>
          <w:sz w:val="18"/>
        </w:rPr>
        <w:t>Koivisto T et al.  ·  Eur J Public Health  ·  04.08.2026  ·  PMID 42586610</w:t>
      </w:r>
    </w:p>
    <w:p>
      <w:r>
        <w:t>Register-Follow-up von 20.426 HPV-geimpften und 19.473 ungeimpften Frauen (Finland, Geburtskohorte 1990-1995) über 11 Jahre zu frühen Schwangerschaftskomplikationen.</w:t>
      </w:r>
    </w:p>
    <w:p>
      <w:r>
        <w:rPr>
          <w:b/>
        </w:rPr>
        <w:t xml:space="preserve">Ergebnis: </w:t>
      </w:r>
      <w:r>
        <w:t>Fehlgeburtsquote in der geimpften Gruppe 1,6% versus 5,3% in der ungeimpften Kontrollgruppe (p&lt;0,0001). Keine zeitliche Assoziation zwischen Impfung und Fehlgeburten. Eileiterschwangerschaften waren selten und vergleichbar (0,6–1,0%). Bei Frauen mit Vorgeschichte von Komplikationen hatten 55,6% der Geimpften mindestens eine Lebendgeburt versus 70,3% der Ungeimpften. Die Impfung war nicht mit erhöhtem Fehlgeburts- oder anderem Schwangerschaftsrisiko verbunden.</w:t>
      </w:r>
    </w:p>
    <w:p>
      <w:r>
        <w:rPr>
          <w:b/>
          <w:sz w:val="19"/>
        </w:rPr>
        <w:t xml:space="preserve">Übertragbarkeit: </w:t>
      </w:r>
      <w:r>
        <w:rPr>
          <w:sz w:val="19"/>
        </w:rPr>
        <w:t>Finnland, Register mit hoher Datenqualität</w:t>
      </w:r>
    </w:p>
    <w:p>
      <w:r>
        <w:rPr>
          <w:color w:val="5A7D3A"/>
          <w:sz w:val="18"/>
        </w:rPr>
        <w:t>https://pubmed.ncbi.nlm.nih.gov/42586610/</w:t>
      </w:r>
    </w:p>
    <w:p>
      <w:pPr>
        <w:pStyle w:val="Heading2"/>
      </w:pPr>
      <w:r>
        <w:t>Influenza-Impfeffektivität gegen Krankenhausaufnahmen: 46% Gesamtschutz in Nordirland 2024/25</w:t>
      </w:r>
    </w:p>
    <w:p>
      <w:r>
        <w:rPr>
          <w:i/>
          <w:color w:val="666666"/>
          <w:sz w:val="18"/>
        </w:rPr>
        <w:t>Bucholc M et al.  ·  Influenza Other Respir Viruses  ·  Aug. 2026  ·  PMID 42560010</w:t>
      </w:r>
    </w:p>
    <w:p>
      <w:r>
        <w:t>Test-Negativ-Design mit 2.024 influenzapositiven Fällen und 13.109 Kontrollen in 15.133 hospitalisierten Patienten zur Schätzung der Impfeffektivität gegen laborbestätigte Influenza.</w:t>
      </w:r>
    </w:p>
    <w:p>
      <w:r>
        <w:rPr>
          <w:b/>
        </w:rPr>
        <w:t xml:space="preserve">Ergebnis: </w:t>
      </w:r>
      <w:r>
        <w:t>Impfeffektivität gegen Influenza insgesamt 46,0% (95%-KI 39,7–51,8%), höher bei Kindern 2-17 Jahren (60,8%, 48,3–70,5%) als Erwachsenen 18-64 Jahren (40,5%, 24,9–53,2%) oder ≥65 Jahren (42,3%, 33,2–50,1%). Gegen Influenza-B: 76,4% (64,9–84,7%). Effektivität gegen A(H1) 44,3%, gegen A(H3) 49,9%. Die Wirksamkeit war höchsten 2-8 Wochen post-Impfung (51,9%) und nahm ab.</w:t>
      </w:r>
    </w:p>
    <w:p>
      <w:r>
        <w:rPr>
          <w:b/>
          <w:sz w:val="19"/>
        </w:rPr>
        <w:t xml:space="preserve">Übertragbarkeit: </w:t>
      </w:r>
      <w:r>
        <w:rPr>
          <w:sz w:val="19"/>
        </w:rPr>
        <w:t>UK-Daten, vergleichbar mit deutschem Gesundheitssystem</w:t>
      </w:r>
    </w:p>
    <w:p>
      <w:r>
        <w:rPr>
          <w:color w:val="5A7D3A"/>
          <w:sz w:val="18"/>
        </w:rPr>
        <w:t>https://pubmed.ncbi.nlm.nih.gov/42560010/</w:t>
      </w:r>
    </w:p>
    <w:p>
      <w:pPr>
        <w:pStyle w:val="Heading2"/>
      </w:pPr>
      <w:r>
        <w:t>Impfluecken bei Kindern in Deutschland: Sozioökonomische Unterschiede und Rolle des Versorgungstyps</w:t>
      </w:r>
    </w:p>
    <w:p>
      <w:r>
        <w:rPr>
          <w:i/>
          <w:color w:val="666666"/>
          <w:sz w:val="18"/>
        </w:rPr>
        <w:t>Nussbaum C et al.  ·  BMC Med  ·  04.08.2026  ·  PMID 42557557</w:t>
      </w:r>
    </w:p>
    <w:p>
      <w:r>
        <w:t>Analyse von 430.000 Kindern aus Versicherungsdaten 2016-2019 zur Erfassung von Impfquoten und sozioökonomischen Gradienten bei von STIKO empfohlenen Impfungen.</w:t>
      </w:r>
    </w:p>
    <w:p>
      <w:r>
        <w:rPr>
          <w:b/>
        </w:rPr>
        <w:t xml:space="preserve">Ergebnis: </w:t>
      </w:r>
      <w:r>
        <w:t>Etwa 80% der empfohlenen Impfserien waren vollständig und rechtzeitig durchgeführt. Ein kleiner, aber signifikanter sozioökonomischer Gradient zugunsten höherer Einkommen zeigte sich (Konzentrationsindex 0,024). Der Anbietertyp erklärt den größten Teil des Gradienten: Hausarztpraxen hatten niedrigere Abschlussquoten als Kinderarztpraxen. Reisezeit trug weniger bei.</w:t>
      </w:r>
    </w:p>
    <w:p>
      <w:r>
        <w:rPr>
          <w:b/>
          <w:sz w:val="19"/>
        </w:rPr>
        <w:t xml:space="preserve">Übertragbarkeit: </w:t>
      </w:r>
      <w:r>
        <w:rPr>
          <w:sz w:val="19"/>
        </w:rPr>
        <w:t>Deutsche Krankenkassendaten, vergleichbare Dokumentationspflichten</w:t>
      </w:r>
    </w:p>
    <w:p>
      <w:r>
        <w:rPr>
          <w:color w:val="5A7D3A"/>
          <w:sz w:val="18"/>
        </w:rPr>
        <w:t>https://pubmed.ncbi.nlm.nih.gov/42557557/</w:t>
      </w:r>
    </w:p>
    <w:p>
      <w:pPr>
        <w:pStyle w:val="Heading2"/>
      </w:pPr>
      <w:r>
        <w:t>Keuchhusten-Impfeffektivität im Säuglingsalter in den Niederlanden: 98,2% Schutz bei vollständiger Impfung</w:t>
      </w:r>
    </w:p>
    <w:p>
      <w:r>
        <w:rPr>
          <w:i/>
          <w:color w:val="666666"/>
          <w:sz w:val="18"/>
        </w:rPr>
        <w:t>van Meijeren DL et al.  ·  Vaccine  ·  13.08.2026  ·  PMID 42526173</w:t>
      </w:r>
    </w:p>
    <w:p>
      <w:r>
        <w:t>Fall-Kontroll-Studie mit 1.156 Fällen und 4.624 Kontrollen (laborbestätigt, 12-35 Monate, 2013-2024) zur Wirksamkeit der Grundimmunisierung gegen Pertussis.</w:t>
      </w:r>
    </w:p>
    <w:p>
      <w:r>
        <w:rPr>
          <w:b/>
        </w:rPr>
        <w:t xml:space="preserve">Ergebnis: </w:t>
      </w:r>
      <w:r>
        <w:t>Gesamteffektivität 98,2% (95%-KI 97,6–98,6) bei vollständiger Impfung, nach der Screening-Methode 96,4% (95%-KI 95,9–96,8). Von den Fällen waren 27% vollständig geimpft, von den Kontrollen 89%. Die Wirksamkeit nahm mit der Zeit seit der Impfung ab (p&lt;0,001), in der Programmphase mit dem älteren DT3aP-Impfstoff etwas stärker als danach.</w:t>
      </w:r>
    </w:p>
    <w:p>
      <w:r>
        <w:rPr>
          <w:b/>
          <w:sz w:val="19"/>
        </w:rPr>
        <w:t xml:space="preserve">Übertragbarkeit: </w:t>
      </w:r>
      <w:r>
        <w:rPr>
          <w:sz w:val="19"/>
        </w:rPr>
        <w:t>Niederlande, vergleichbares Versicherungssystem und Vakzine</w:t>
      </w:r>
    </w:p>
    <w:p>
      <w:r>
        <w:rPr>
          <w:color w:val="5A7D3A"/>
          <w:sz w:val="18"/>
        </w:rPr>
        <w:t>https://pubmed.ncbi.nlm.nih.gov/42526173/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Impfen und Praevention</dc:title>
  <dc:subject/>
  <dc:creator>Monitor Versorgungsforschung</dc:creator>
  <cp:keywords/>
  <dc:description>generated by python-docx</dc:description>
  <cp:lastModifiedBy/>
  <cp:revision>1</cp:revision>
  <dcterms:created xsi:type="dcterms:W3CDTF">2026-10-16T06:00:00Z</dcterms:created>
  <dcterms:modified xsi:type="dcterms:W3CDTF">2026-10-16T06:00:00Z</dcterms:modified>
  <cp:category/>
</cp:coreProperties>
</file>