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26.10.2026  |  6 Studien  |  impfen.m-vf.de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RSV-Schutz: Mütterliche Impfung und Nirsevimab wirksam bei Neugeborenen</w:t>
      </w:r>
    </w:p>
    <w:p>
      <w:r>
        <w:rPr>
          <w:i/>
          <w:color w:val="666666"/>
          <w:sz w:val="18"/>
        </w:rPr>
        <w:t>Jacobson KB et al.  ·  JAMA Netw Open  ·  01.10.2026  ·  PMID 42925481</w:t>
      </w:r>
    </w:p>
    <w:p>
      <w:r>
        <w:t>Vergleich der Wirksamkeit von mütterlicher RSV-Impfung (RSVpreF) versus Nirsevimab-Prophylaxe bei Neugeborenen gegen RSV-Infektionen in zwei Saisons (2023–2025) an einem großen US-Versicherungssystem.</w:t>
      </w:r>
    </w:p>
    <w:p>
      <w:r>
        <w:rPr>
          <w:b/>
        </w:rPr>
        <w:t xml:space="preserve">Ergebnis: </w:t>
      </w:r>
      <w:r>
        <w:t>Von 15.124 Neugeborenen hatten 0,97% eine bestätigte RSV-Infektion (0,94% RSVpreF-Gruppe, 1,04% Nirsevimab). Relative Produkteffektivität RSVpreF vs. Nirsevimab betrug −5,3% (95%-CI −44,8 bis 23,4%) gegen Infektionen und 61,5% (95%-CI −10,8 bis 86,7%) gegen Hospitalisierung – kein statistisch signifikanter Unterschied. Beide Produkte waren RSVpreF 69,3% (59,9–76,6%) bzw. Nirsevimab 65,2% (51,0–75,4%) wirksam gegen Infektion im Vergleich zu keinem Schutz.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mit hohem Registrierungsstandard; begrenzt auf High-Income-Setting</w:t>
      </w:r>
    </w:p>
    <w:p>
      <w:r>
        <w:rPr>
          <w:color w:val="5A7D3A"/>
          <w:sz w:val="18"/>
        </w:rPr>
        <w:t>https://pubmed.ncbi.nlm.nih.gov/42925481/</w:t>
      </w:r>
    </w:p>
    <w:p>
      <w:pPr>
        <w:pStyle w:val="Heading2"/>
      </w:pPr>
      <w:r>
        <w:t>Pneumokokken-Impfung bei Dialyse- und Transplantationspatienten: Antikörperreaktion über 12 Monate</w:t>
      </w:r>
    </w:p>
    <w:p>
      <w:r>
        <w:rPr>
          <w:i/>
          <w:color w:val="666666"/>
          <w:sz w:val="18"/>
        </w:rPr>
        <w:t>Novelli S et al.  ·  Front Immunol  ·  08.10.2026  ·  PMID 42923341</w:t>
      </w:r>
    </w:p>
    <w:p>
      <w:r>
        <w:t>Serologische Nachverfolgung der Immunantwort gegen 7 Pneumokokken-Serotypen bei Dialyse- und Nierentransplantationspatienten nach Standardschema (Prevenar 13 + Pneumo 23) über 12 Monate.</w:t>
      </w:r>
    </w:p>
    <w:p>
      <w:r>
        <w:rPr>
          <w:b/>
        </w:rPr>
        <w:t xml:space="preserve">Ergebnis: </w:t>
      </w:r>
      <w:r>
        <w:t>Insgesamt stärkere Immunantwort bei Dialysepatienten (DP) als Transplantationspatienten (KTR). Kumulative Serokonversionsrate bei KTR vs. DP: 32,3% vs. 62,2% (3 Monate), 35,5% vs. 73,6% (6 Monate), 39,3% vs. 73,6% (12 Monate). Unterschiede bei Serotypen 6B, 19F, 23F gering.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Frankreich-Studie; vergleichbare Impfkalender und Patientengruppen; direkt auf deutsche Nierenpatienten übertragbar</w:t>
      </w:r>
    </w:p>
    <w:p>
      <w:r>
        <w:rPr>
          <w:color w:val="5A7D3A"/>
          <w:sz w:val="18"/>
        </w:rPr>
        <w:t>https://pubmed.ncbi.nlm.nih.gov/42923341/</w:t>
      </w:r>
    </w:p>
    <w:p>
      <w:pPr>
        <w:pStyle w:val="Heading2"/>
      </w:pPr>
      <w:r>
        <w:t>Adjuvierte Grippeimpfung für Ältere: Wirtschaftlichkeit im koreanischen Impfprogramm</w:t>
      </w:r>
    </w:p>
    <w:p>
      <w:r>
        <w:rPr>
          <w:i/>
          <w:color w:val="666666"/>
          <w:sz w:val="18"/>
        </w:rPr>
        <w:t>Shim E et al.  ·  Front Public Health  ·  08.10.2026  ·  PMID 42923232</w:t>
      </w:r>
    </w:p>
    <w:p>
      <w:r>
        <w:t>Budgetauswirkungen der Einführung von MF59-adjuvierter Influenza-Impfung (aTIV) für Erwachsene ≥65 Jahren in Südkorea mittels dynamischem Transmissionsmodell zur Erfassung direkter und indirekter Schutzeffekte.</w:t>
      </w:r>
    </w:p>
    <w:p>
      <w:r>
        <w:rPr>
          <w:b/>
        </w:rPr>
        <w:t xml:space="preserve">Ergebnis: </w:t>
      </w:r>
      <w:r>
        <w:t>Strategie I (aTIV ab 75 Jahren): +24,6 Mio. USD Zusatzkosten, 52% durch Behandlungseinsparungen ausgeglichen, Netto +11,7 Mio. USD (+0,9% Influenza-Gesamtbudget). Strategie II (aTIV ab 65 Jahren): +54,4 Mio. USD mit 57% Offset, Netto +23,2 Mio. USD (+1,8%), verhinderte aber 535 Todesfälle und 15.000+ Hospitalisierungen (2,2× höher als Strategie I).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Ähnliche Altersstruktur und Gesundheitssystemaufbau wie Deutschland; dynamische Modellierung anwendbar</w:t>
      </w:r>
    </w:p>
    <w:p>
      <w:r>
        <w:rPr>
          <w:color w:val="5A7D3A"/>
          <w:sz w:val="18"/>
        </w:rPr>
        <w:t>https://pubmed.ncbi.nlm.nih.gov/42923232/</w:t>
      </w:r>
    </w:p>
    <w:p>
      <w:pPr>
        <w:pStyle w:val="Heading2"/>
      </w:pPr>
      <w:r>
        <w:t>Impfquoten und COVID-19-Risiko bei Kindern: Regionale Ungleichheit in Brasilien</w:t>
      </w:r>
    </w:p>
    <w:p>
      <w:r>
        <w:rPr>
          <w:i/>
          <w:color w:val="666666"/>
          <w:sz w:val="18"/>
        </w:rPr>
        <w:t>Tavares RBV et al.  ·  Epidemiol Serv Saude  ·  24.07.2026  ·  PMID 42922896</w:t>
      </w:r>
    </w:p>
    <w:p>
      <w:r>
        <w:t>Räumlich-zeitliche Analyse von COVID-19-Fällen und -Todesfällen sowie Impfabdeckung bei Kindern/Jugendlichen (0–19 Jahre) in allen 5.570 brasilianischen Gemeinden (2020–2024) mittels Scan-Statistik.</w:t>
      </w:r>
    </w:p>
    <w:p>
      <w:r>
        <w:rPr>
          <w:b/>
        </w:rPr>
        <w:t xml:space="preserve">Ergebnis: </w:t>
      </w:r>
      <w:r>
        <w:t>74.470 Fälle und 3.749 Todesfälle erfasst. Schutzcluster für Fälle (RR 0,28; 95%-CI 0,27–0,29), Hochrisiko-Cluster für Todesfälle Nord/Nordost/Mitte-West (RR 3,28; 95%-CI 3,00–3,59). Grundimpfung erreichte 85,2%, aber Auffrischung nur 23,1%; heterogene räumliche Verteilung mit niedrigerer Abdeckung Nord und Mitte-West.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Brasilien-Daten; räumliche Ungleichheit relevant für deutsche Regionsanalyse; begrenzte direkte Übertragbarkeit</w:t>
      </w:r>
    </w:p>
    <w:p>
      <w:r>
        <w:rPr>
          <w:color w:val="5A7D3A"/>
          <w:sz w:val="18"/>
        </w:rPr>
        <w:t>https://pubmed.ncbi.nlm.nih.gov/42922896/</w:t>
      </w:r>
    </w:p>
    <w:p>
      <w:pPr>
        <w:pStyle w:val="Heading2"/>
      </w:pPr>
      <w:r>
        <w:t>COVID-19-Impfquoten und Gründe für Ablehnung bei Erwachsenen in Brasilien</w:t>
      </w:r>
    </w:p>
    <w:p>
      <w:r>
        <w:rPr>
          <w:i/>
          <w:color w:val="666666"/>
          <w:sz w:val="18"/>
        </w:rPr>
        <w:t>Rutz AAM et al.  ·  Epidemiol Serv Saude  ·  10.03.2026  ·  PMID 42922771</w:t>
      </w:r>
    </w:p>
    <w:p>
      <w:r>
        <w:t>Bevölkerungsbasierte Querschnittsstudie zur Vollständigkeit der COVID-19-Impfserie (≥3 Dosen) sowie Gründen für Nichtimpfung bei Erwachsenen/Älteren in Rio Grande (2022–2023).</w:t>
      </w:r>
    </w:p>
    <w:p>
      <w:r>
        <w:rPr>
          <w:b/>
        </w:rPr>
        <w:t xml:space="preserve">Ergebnis: </w:t>
      </w:r>
      <w:r>
        <w:t>83,3% erhielten alle drei Dosen. Höhere Impfquote bei Frauen (85,5%), Älteren (92,6%), Nichtrauchern (83,3%) und mit bekannter Impfwichtigkeit (85,1%). Gründe für unvollständige Serie: Impfreaktion (15,8%), Impfstoff nicht verfügbar (8,5%), bekannte Reaktionen bei anderen (8,1%), bereits COVID-19 gehabt (7,3%).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Brasilien; Sprachenhindernis und Gesundheitssystemunterschiede; relevante Faktoren für Vaccine Hesitancy-Forschung</w:t>
      </w:r>
    </w:p>
    <w:p>
      <w:r>
        <w:rPr>
          <w:color w:val="5A7D3A"/>
          <w:sz w:val="18"/>
        </w:rPr>
        <w:t>https://pubmed.ncbi.nlm.nih.gov/42922771/</w:t>
      </w:r>
    </w:p>
    <w:p>
      <w:pPr>
        <w:pStyle w:val="Heading2"/>
      </w:pPr>
      <w:r>
        <w:t>Impfskepsis gegen Gürtelrose: Barrieren und wirksame Interventionen</w:t>
      </w:r>
    </w:p>
    <w:p>
      <w:r>
        <w:rPr>
          <w:i/>
          <w:color w:val="666666"/>
          <w:sz w:val="18"/>
        </w:rPr>
        <w:t>Hamdan Almutairi A  ·  Clin Ter  ·  Nov. 2026  ·  PMID 42922214</w:t>
      </w:r>
    </w:p>
    <w:p>
      <w:r>
        <w:t>Querschnittsstudie zu Prädiktoren von Vaccine Hesitancy gegen Herpes-Zoster-Impfung sowie simulierte Interventionsstrategien bei 385 Erwachsenen in Saudi-Arabien.</w:t>
      </w:r>
    </w:p>
    <w:p>
      <w:r>
        <w:rPr>
          <w:b/>
        </w:rPr>
        <w:t xml:space="preserve">Ergebnis: </w:t>
      </w:r>
      <w:r>
        <w:t>Nur 15% mit Impfung geimpft, 85% nicht. Hauptbarrieren: Wissensmangel (50%), Kosten (25%), wahrgenommenes niedriges Risiko (20%). Ärztliche Empfehlung (signifikant), Impfbewusstsein und kulturelle Überzeugungen waren unabhängige Prädiktoren. Simulation zeigte: Kombination aus Aufklärungskampagne + Arztempfehlung erreichte höchste vorhergesagte Impfquote.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Saudi-Arabien; Kultubelemente unterscheiden sich; aber Barrieren-Framework übertragbar</w:t>
      </w:r>
    </w:p>
    <w:p>
      <w:r>
        <w:rPr>
          <w:color w:val="5A7D3A"/>
          <w:sz w:val="18"/>
        </w:rPr>
        <w:t>https://pubmed.ncbi.nlm.nih.gov/42922214/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