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Impfen und Praevention</w:t>
      </w:r>
    </w:p>
    <w:p>
      <w:r>
        <w:rPr>
          <w:i/>
          <w:color w:val="666666"/>
          <w:sz w:val="18"/>
        </w:rPr>
        <w:t>Stand: 26.10.2026  |  385 Studien  |  impfen.m-vf.de</w:t>
      </w:r>
    </w:p>
    <w:p>
      <w:pPr>
        <w:pStyle w:val="Heading1"/>
      </w:pPr>
      <w:r>
        <w:t>Aufgenommen am 26.10.2026</w:t>
      </w:r>
    </w:p>
    <w:p>
      <w:pPr>
        <w:pStyle w:val="Heading2"/>
      </w:pPr>
      <w:r>
        <w:t>RSV-Schutz: Mütterliche Impfung und Nirsevimab wirksam bei Neugeborenen</w:t>
      </w:r>
    </w:p>
    <w:p>
      <w:r>
        <w:rPr>
          <w:i/>
          <w:color w:val="666666"/>
          <w:sz w:val="18"/>
        </w:rPr>
        <w:t>Jacobson KB et al.  ·  JAMA Netw Open  ·  01.10.2026  ·  PMID 42925481</w:t>
      </w:r>
    </w:p>
    <w:p>
      <w:r>
        <w:t>Vergleich der Wirksamkeit von mütterlicher RSV-Impfung (RSVpreF) versus Nirsevimab-Prophylaxe bei Neugeborenen gegen RSV-Infektionen in zwei Saisons (2023–2025) an einem großen US-Versicherungssystem.</w:t>
      </w:r>
    </w:p>
    <w:p>
      <w:r>
        <w:rPr>
          <w:b/>
        </w:rPr>
        <w:t xml:space="preserve">Ergebnis: </w:t>
      </w:r>
      <w:r>
        <w:t>Von 15.124 Neugeborenen hatten 0,97% eine bestätigte RSV-Infektion (0,94% RSVpreF-Gruppe, 1,04% Nirsevimab). Relative Produkteffektivität RSVpreF vs. Nirsevimab betrug −5,3% (95%-CI −44,8 bis 23,4%) gegen Infektionen und 61,5% (95%-CI −10,8 bis 86,7%) gegen Hospitalisierung – kein statistisch signifikanter Unterschied. Beide Produkte waren RSVpreF 69,3% (59,9–76,6%) bzw. Nirsevimab 65,2% (51,0–75,4%) wirksam gegen Infektion im Vergleich zu keinem Schutz.</w:t>
      </w:r>
    </w:p>
    <w:p>
      <w:r>
        <w:rPr>
          <w:b/>
          <w:sz w:val="19"/>
        </w:rPr>
        <w:t xml:space="preserve">Übertragbarkeit: </w:t>
      </w:r>
      <w:r>
        <w:rPr>
          <w:sz w:val="19"/>
        </w:rPr>
        <w:t>USA-Daten mit hohem Registrierungsstandard; begrenzt auf High-Income-Setting</w:t>
      </w:r>
    </w:p>
    <w:p>
      <w:r>
        <w:rPr>
          <w:color w:val="5A7D3A"/>
          <w:sz w:val="18"/>
        </w:rPr>
        <w:t>https://pubmed.ncbi.nlm.nih.gov/42925481/</w:t>
      </w:r>
    </w:p>
    <w:p>
      <w:pPr>
        <w:pStyle w:val="Heading2"/>
      </w:pPr>
      <w:r>
        <w:t>Pneumokokken-Impfung bei Dialyse- und Transplantationspatienten: Antikörperreaktion über 12 Monate</w:t>
      </w:r>
    </w:p>
    <w:p>
      <w:r>
        <w:rPr>
          <w:i/>
          <w:color w:val="666666"/>
          <w:sz w:val="18"/>
        </w:rPr>
        <w:t>Novelli S et al.  ·  Front Immunol  ·  08.10.2026  ·  PMID 42923341</w:t>
      </w:r>
    </w:p>
    <w:p>
      <w:r>
        <w:t>Serologische Nachverfolgung der Immunantwort gegen 7 Pneumokokken-Serotypen bei Dialyse- und Nierentransplantationspatienten nach Standardschema (Prevenar 13 + Pneumo 23) über 12 Monate.</w:t>
      </w:r>
    </w:p>
    <w:p>
      <w:r>
        <w:rPr>
          <w:b/>
        </w:rPr>
        <w:t xml:space="preserve">Ergebnis: </w:t>
      </w:r>
      <w:r>
        <w:t>Insgesamt stärkere Immunantwort bei Dialysepatienten (DP) als Transplantationspatienten (KTR). Kumulative Serokonversionsrate bei KTR vs. DP: 32,3% vs. 62,2% (3 Monate), 35,5% vs. 73,6% (6 Monate), 39,3% vs. 73,6% (12 Monate). Unterschiede bei Serotypen 6B, 19F, 23F gering.</w:t>
      </w:r>
    </w:p>
    <w:p>
      <w:r>
        <w:rPr>
          <w:b/>
          <w:sz w:val="19"/>
        </w:rPr>
        <w:t xml:space="preserve">Übertragbarkeit: </w:t>
      </w:r>
      <w:r>
        <w:rPr>
          <w:sz w:val="19"/>
        </w:rPr>
        <w:t>Frankreich-Studie; vergleichbare Impfkalender und Patientengruppen; direkt auf deutsche Nierenpatienten übertragbar</w:t>
      </w:r>
    </w:p>
    <w:p>
      <w:r>
        <w:rPr>
          <w:color w:val="5A7D3A"/>
          <w:sz w:val="18"/>
        </w:rPr>
        <w:t>https://pubmed.ncbi.nlm.nih.gov/42923341/</w:t>
      </w:r>
    </w:p>
    <w:p>
      <w:pPr>
        <w:pStyle w:val="Heading2"/>
      </w:pPr>
      <w:r>
        <w:t>Adjuvierte Grippeimpfung für Ältere: Wirtschaftlichkeit im koreanischen Impfprogramm</w:t>
      </w:r>
    </w:p>
    <w:p>
      <w:r>
        <w:rPr>
          <w:i/>
          <w:color w:val="666666"/>
          <w:sz w:val="18"/>
        </w:rPr>
        <w:t>Shim E et al.  ·  Front Public Health  ·  08.10.2026  ·  PMID 42923232</w:t>
      </w:r>
    </w:p>
    <w:p>
      <w:r>
        <w:t>Budgetauswirkungen der Einführung von MF59-adjuvierter Influenza-Impfung (aTIV) für Erwachsene ≥65 Jahren in Südkorea mittels dynamischem Transmissionsmodell zur Erfassung direkter und indirekter Schutzeffekte.</w:t>
      </w:r>
    </w:p>
    <w:p>
      <w:r>
        <w:rPr>
          <w:b/>
        </w:rPr>
        <w:t xml:space="preserve">Ergebnis: </w:t>
      </w:r>
      <w:r>
        <w:t>Strategie I (aTIV ab 75 Jahren): +24,6 Mio. USD Zusatzkosten, 52% durch Behandlungseinsparungen ausgeglichen, Netto +11,7 Mio. USD (+0,9% Influenza-Gesamtbudget). Strategie II (aTIV ab 65 Jahren): +54,4 Mio. USD mit 57% Offset, Netto +23,2 Mio. USD (+1,8%), verhinderte aber 535 Todesfälle und 15.000+ Hospitalisierungen (2,2× höher als Strategie I).</w:t>
      </w:r>
    </w:p>
    <w:p>
      <w:r>
        <w:rPr>
          <w:b/>
          <w:sz w:val="19"/>
        </w:rPr>
        <w:t xml:space="preserve">Übertragbarkeit: </w:t>
      </w:r>
      <w:r>
        <w:rPr>
          <w:sz w:val="19"/>
        </w:rPr>
        <w:t>Ähnliche Altersstruktur und Gesundheitssystemaufbau wie Deutschland; dynamische Modellierung anwendbar</w:t>
      </w:r>
    </w:p>
    <w:p>
      <w:r>
        <w:rPr>
          <w:color w:val="5A7D3A"/>
          <w:sz w:val="18"/>
        </w:rPr>
        <w:t>https://pubmed.ncbi.nlm.nih.gov/42923232/</w:t>
      </w:r>
    </w:p>
    <w:p>
      <w:pPr>
        <w:pStyle w:val="Heading2"/>
      </w:pPr>
      <w:r>
        <w:t>Impfquoten und COVID-19-Risiko bei Kindern: Regionale Ungleichheit in Brasilien</w:t>
      </w:r>
    </w:p>
    <w:p>
      <w:r>
        <w:rPr>
          <w:i/>
          <w:color w:val="666666"/>
          <w:sz w:val="18"/>
        </w:rPr>
        <w:t>Tavares RBV et al.  ·  Epidemiol Serv Saude  ·  24.07.2026  ·  PMID 42922896</w:t>
      </w:r>
    </w:p>
    <w:p>
      <w:r>
        <w:t>Räumlich-zeitliche Analyse von COVID-19-Fällen und -Todesfällen sowie Impfabdeckung bei Kindern/Jugendlichen (0–19 Jahre) in allen 5.570 brasilianischen Gemeinden (2020–2024) mittels Scan-Statistik.</w:t>
      </w:r>
    </w:p>
    <w:p>
      <w:r>
        <w:rPr>
          <w:b/>
        </w:rPr>
        <w:t xml:space="preserve">Ergebnis: </w:t>
      </w:r>
      <w:r>
        <w:t>74.470 Fälle und 3.749 Todesfälle erfasst. Schutzcluster für Fälle (RR 0,28; 95%-CI 0,27–0,29), Hochrisiko-Cluster für Todesfälle Nord/Nordost/Mitte-West (RR 3,28; 95%-CI 3,00–3,59). Grundimpfung erreichte 85,2%, aber Auffrischung nur 23,1%; heterogene räumliche Verteilung mit niedrigerer Abdeckung Nord und Mitte-West.</w:t>
      </w:r>
    </w:p>
    <w:p>
      <w:r>
        <w:rPr>
          <w:b/>
          <w:sz w:val="19"/>
        </w:rPr>
        <w:t xml:space="preserve">Übertragbarkeit: </w:t>
      </w:r>
      <w:r>
        <w:rPr>
          <w:sz w:val="19"/>
        </w:rPr>
        <w:t>Brasilien-Daten; räumliche Ungleichheit relevant für deutsche Regionsanalyse; begrenzte direkte Übertragbarkeit</w:t>
      </w:r>
    </w:p>
    <w:p>
      <w:r>
        <w:rPr>
          <w:color w:val="5A7D3A"/>
          <w:sz w:val="18"/>
        </w:rPr>
        <w:t>https://pubmed.ncbi.nlm.nih.gov/42922896/</w:t>
      </w:r>
    </w:p>
    <w:p>
      <w:pPr>
        <w:pStyle w:val="Heading2"/>
      </w:pPr>
      <w:r>
        <w:t>COVID-19-Impfquoten und Gründe für Ablehnung bei Erwachsenen in Brasilien</w:t>
      </w:r>
    </w:p>
    <w:p>
      <w:r>
        <w:rPr>
          <w:i/>
          <w:color w:val="666666"/>
          <w:sz w:val="18"/>
        </w:rPr>
        <w:t>Rutz AAM et al.  ·  Epidemiol Serv Saude  ·  10.03.2026  ·  PMID 42922771</w:t>
      </w:r>
    </w:p>
    <w:p>
      <w:r>
        <w:t>Bevölkerungsbasierte Querschnittsstudie zur Vollständigkeit der COVID-19-Impfserie (≥3 Dosen) sowie Gründen für Nichtimpfung bei Erwachsenen/Älteren in Rio Grande (2022–2023).</w:t>
      </w:r>
    </w:p>
    <w:p>
      <w:r>
        <w:rPr>
          <w:b/>
        </w:rPr>
        <w:t xml:space="preserve">Ergebnis: </w:t>
      </w:r>
      <w:r>
        <w:t>83,3% erhielten alle drei Dosen. Höhere Impfquote bei Frauen (85,5%), Älteren (92,6%), Nichtrauchern (83,3%) und mit bekannter Impfwichtigkeit (85,1%). Gründe für unvollständige Serie: Impfreaktion (15,8%), Impfstoff nicht verfügbar (8,5%), bekannte Reaktionen bei anderen (8,1%), bereits COVID-19 gehabt (7,3%).</w:t>
      </w:r>
    </w:p>
    <w:p>
      <w:r>
        <w:rPr>
          <w:b/>
          <w:sz w:val="19"/>
        </w:rPr>
        <w:t xml:space="preserve">Übertragbarkeit: </w:t>
      </w:r>
      <w:r>
        <w:rPr>
          <w:sz w:val="19"/>
        </w:rPr>
        <w:t>Brasilien; Sprachenhindernis und Gesundheitssystemunterschiede; relevante Faktoren für Vaccine Hesitancy-Forschung</w:t>
      </w:r>
    </w:p>
    <w:p>
      <w:r>
        <w:rPr>
          <w:color w:val="5A7D3A"/>
          <w:sz w:val="18"/>
        </w:rPr>
        <w:t>https://pubmed.ncbi.nlm.nih.gov/42922771/</w:t>
      </w:r>
    </w:p>
    <w:p>
      <w:pPr>
        <w:pStyle w:val="Heading2"/>
      </w:pPr>
      <w:r>
        <w:t>Impfskepsis gegen Gürtelrose: Barrieren und wirksame Interventionen</w:t>
      </w:r>
    </w:p>
    <w:p>
      <w:r>
        <w:rPr>
          <w:i/>
          <w:color w:val="666666"/>
          <w:sz w:val="18"/>
        </w:rPr>
        <w:t>Hamdan Almutairi A  ·  Clin Ter  ·  Nov. 2026  ·  PMID 42922214</w:t>
      </w:r>
    </w:p>
    <w:p>
      <w:r>
        <w:t>Querschnittsstudie zu Prädiktoren von Vaccine Hesitancy gegen Herpes-Zoster-Impfung sowie simulierte Interventionsstrategien bei 385 Erwachsenen in Saudi-Arabien.</w:t>
      </w:r>
    </w:p>
    <w:p>
      <w:r>
        <w:rPr>
          <w:b/>
        </w:rPr>
        <w:t xml:space="preserve">Ergebnis: </w:t>
      </w:r>
      <w:r>
        <w:t>Nur 15% mit Impfung geimpft, 85% nicht. Hauptbarrieren: Wissensmangel (50%), Kosten (25%), wahrgenommenes niedriges Risiko (20%). Ärztliche Empfehlung (signifikant), Impfbewusstsein und kulturelle Überzeugungen waren unabhängige Prädiktoren. Simulation zeigte: Kombination aus Aufklärungskampagne + Arztempfehlung erreichte höchste vorhergesagte Impfquote.</w:t>
      </w:r>
    </w:p>
    <w:p>
      <w:r>
        <w:rPr>
          <w:b/>
          <w:sz w:val="19"/>
        </w:rPr>
        <w:t xml:space="preserve">Übertragbarkeit: </w:t>
      </w:r>
      <w:r>
        <w:rPr>
          <w:sz w:val="19"/>
        </w:rPr>
        <w:t>Saudi-Arabien; Kultubelemente unterscheiden sich; aber Barrieren-Framework übertragbar</w:t>
      </w:r>
    </w:p>
    <w:p>
      <w:r>
        <w:rPr>
          <w:color w:val="5A7D3A"/>
          <w:sz w:val="18"/>
        </w:rPr>
        <w:t>https://pubmed.ncbi.nlm.nih.gov/42922214/</w:t>
      </w:r>
    </w:p>
    <w:p>
      <w:pPr>
        <w:pStyle w:val="Heading1"/>
      </w:pPr>
      <w:r>
        <w:t>Aufgenommen am 25.10.2026</w:t>
      </w:r>
    </w:p>
    <w:p>
      <w:pPr>
        <w:pStyle w:val="Heading2"/>
      </w:pPr>
      <w:r>
        <w:t>Meningokokken-B-Impfstoff induziert Antikörper gegen Gonorrhö-Antigene</w:t>
      </w:r>
    </w:p>
    <w:p>
      <w:r>
        <w:rPr>
          <w:i/>
          <w:color w:val="666666"/>
          <w:sz w:val="18"/>
        </w:rPr>
        <w:t>Phadke VK et al.  ·  Nat Commun  ·  23.09.2026  ·  PMID 42918783</w:t>
      </w:r>
    </w:p>
    <w:p>
      <w:r>
        <w:t>Randomisierte Phase-II-Studie an 52 gesunden Erwachsenen (41 Impfstoff, 11 Placebo), die Antikörperresponses gegen Gonorrhö-Oberflächenantigene nach 4CMenB-Impfung maß.</w:t>
      </w:r>
    </w:p>
    <w:p>
      <w:r>
        <w:rPr>
          <w:b/>
        </w:rPr>
        <w:t xml:space="preserve">Ergebnis: </w:t>
      </w:r>
      <w:r>
        <w:t>4CMenB erzeugte robuste Serum-IgG-Antworten gegen Gonorrhö-Antigene mit Peak am Tag 43 und Persistenz bis Tag 181. Mukosale IgG-Antworten waren niedrig ausgeprägt, mit höchsten Werten in Vaginalsekreten. Bei Placebo-Empfängern keine relevanten Antworten. Die Ergebnisse unterstützen potenziellen Einsatz von 4CMenB zur Gonorrhö-Prävention.</w:t>
      </w:r>
    </w:p>
    <w:p>
      <w:r>
        <w:rPr>
          <w:b/>
          <w:sz w:val="19"/>
        </w:rPr>
        <w:t xml:space="preserve">Übertragbarkeit: </w:t>
      </w:r>
      <w:r>
        <w:rPr>
          <w:sz w:val="19"/>
        </w:rPr>
        <w:t>USA, Antikörpertiter gemessen, aber Wirksamkeit in der Versorgung unklar</w:t>
      </w:r>
    </w:p>
    <w:p>
      <w:r>
        <w:rPr>
          <w:color w:val="5A7D3A"/>
          <w:sz w:val="18"/>
        </w:rPr>
        <w:t>https://pubmed.ncbi.nlm.nih.gov/42918783/</w:t>
      </w:r>
    </w:p>
    <w:p>
      <w:pPr>
        <w:pStyle w:val="Heading2"/>
      </w:pPr>
      <w:r>
        <w:t>Impfbereitschaft in Moskau während COVID-19: Polarisierung trotz abnehmender Prävention</w:t>
      </w:r>
    </w:p>
    <w:p>
      <w:r>
        <w:rPr>
          <w:i/>
          <w:color w:val="666666"/>
          <w:sz w:val="18"/>
        </w:rPr>
        <w:t>Bogdan IV et al.  ·  Probl Sotsialnoi Gig Zdravookhranenniiai Istor Med  ·  15.12.2026  ·  PMID 42904709</w:t>
      </w:r>
    </w:p>
    <w:p>
      <w:r>
        <w:t>Wiederholte Bevölkerungsbefragung in Moskau (Februar und Juli/August 2021, je ~1000 Teilnehmer) zur Entwicklung von Impfbereitschaft und Vertrauen während der Pandemie.</w:t>
      </w:r>
    </w:p>
    <w:p>
      <w:r>
        <w:rPr>
          <w:b/>
        </w:rPr>
        <w:t xml:space="preserve">Ergebnis: </w:t>
      </w:r>
      <w:r>
        <w:t>Bis Welle 5 sank Einhaltung der meisten Präventionsmaßnahmen (Abstand, Kontaktlimit, Desinfektionsmittel). Durchschnittliche Selbstbewertung des emotionalen Zustands fiel auf 3,47 Punkte. Institutionelles Vertrauen sank, Einstellung zur Impfung wurde polarisierter. Empfehlung: konsistente Wissenschaftskommunikation und gezielte Arbeit mit Vaccine Hesitancy-Gruppen.</w:t>
      </w:r>
    </w:p>
    <w:p>
      <w:r>
        <w:rPr>
          <w:b/>
          <w:sz w:val="19"/>
        </w:rPr>
        <w:t xml:space="preserve">Übertragbarkeit: </w:t>
      </w:r>
      <w:r>
        <w:rPr>
          <w:sz w:val="19"/>
        </w:rPr>
        <w:t>Russland – Bevölkerungsänderungen, aber Zeitraum und System nur begrenzt übertragbar</w:t>
      </w:r>
    </w:p>
    <w:p>
      <w:r>
        <w:rPr>
          <w:color w:val="5A7D3A"/>
          <w:sz w:val="18"/>
        </w:rPr>
        <w:t>https://pubmed.ncbi.nlm.nih.gov/42904709/</w:t>
      </w:r>
    </w:p>
    <w:p>
      <w:pPr>
        <w:pStyle w:val="Heading2"/>
      </w:pPr>
      <w:r>
        <w:t>Bioengineering von BCG: Strategien für verbesserte Blasenkrebs-Immuntherapie</w:t>
      </w:r>
    </w:p>
    <w:p>
      <w:r>
        <w:rPr>
          <w:i/>
          <w:color w:val="666666"/>
          <w:sz w:val="18"/>
        </w:rPr>
        <w:t>Li S et al.  ·  Front Immunol  ·  05.10.2026  ·  PMID 42898624</w:t>
      </w:r>
    </w:p>
    <w:p>
      <w:r>
        <w:t>Narrative Review zu genetischen Modifikationen, synthetischer Biologie und Delivery-Systemen zur Optimierung von BCG als Immuntherapie bei nicht-muskelinvasivem Blasenkrebs; Mechanismen und aktuelle Forschungsansätze.</w:t>
      </w:r>
    </w:p>
    <w:p>
      <w:r>
        <w:rPr>
          <w:b/>
        </w:rPr>
        <w:t xml:space="preserve">Ergebnis: </w:t>
      </w:r>
      <w:r>
        <w:t>Überblick über BCG-induzierte Antitumorimmunantwort (Typ-1- und Typ-2-Effekte, trainierte Immunität), biotech-gestützte Strategien zur Verbesserung von Tumor-Interaktion, angeborener Immunaktivierung und Immunmilieumodulierung. Keine primären Outcomes berichtet, nur Literaturübersicht.</w:t>
      </w:r>
    </w:p>
    <w:p>
      <w:r>
        <w:rPr>
          <w:b/>
          <w:sz w:val="19"/>
        </w:rPr>
        <w:t xml:space="preserve">Übertragbarkeit: </w:t>
      </w:r>
      <w:r>
        <w:rPr>
          <w:sz w:val="19"/>
        </w:rPr>
        <w:t>Methodische Übersicht ohne Versorgungsdaten – grenzwertiger Einschluss, konzeptueller Nutzen</w:t>
      </w:r>
    </w:p>
    <w:p>
      <w:r>
        <w:rPr>
          <w:color w:val="5A7D3A"/>
          <w:sz w:val="18"/>
        </w:rPr>
        <w:t>https://pubmed.ncbi.nlm.nih.gov/42898624/</w:t>
      </w:r>
    </w:p>
    <w:p>
      <w:pPr>
        <w:pStyle w:val="Heading2"/>
      </w:pPr>
      <w:r>
        <w:t>CAR-T-Zellen bei Autoimmunerkrankungen: Harmonisierte europäische Empfehlungen</w:t>
      </w:r>
    </w:p>
    <w:p>
      <w:r>
        <w:rPr>
          <w:i/>
          <w:color w:val="666666"/>
          <w:sz w:val="18"/>
        </w:rPr>
        <w:t>Greco R et al.  ·  Lancet Rheumatol  ·  05.10.2026  ·  PMID 42833234</w:t>
      </w:r>
    </w:p>
    <w:p>
      <w:r>
        <w:t>Europäische Konsensus-Update von EBMT, ISCT und JACIE zu CAR-T-Zelltherapie bei schweren refraktären Autoimmunerkrankungen, basierend auf aktuellem Evidenzstand 2024–2026.</w:t>
      </w:r>
    </w:p>
    <w:p>
      <w:r>
        <w:rPr>
          <w:b/>
        </w:rPr>
        <w:t xml:space="preserve">Ergebnis: </w:t>
      </w:r>
      <w:r>
        <w:t>Aktualisierte Empfehlungen zu Patientenauswahl, Diagnostik, klinischem Management, Nachbeobachtung und Immunmonitoring für rheumatische, neurologische, hämatologische und pädiatrische Indikationen. Unerfüllte Bedarfe und Forschungspriorit­äten identifiziert. Spezifische Zahlen zur Häufigkeit oder Effektivität nicht berichtet.</w:t>
      </w:r>
    </w:p>
    <w:p>
      <w:r>
        <w:rPr>
          <w:b/>
          <w:sz w:val="19"/>
        </w:rPr>
        <w:t xml:space="preserve">Übertragbarkeit: </w:t>
      </w:r>
      <w:r>
        <w:rPr>
          <w:sz w:val="19"/>
        </w:rPr>
        <w:t>Deutschland, österreich, Schweiz – europäisches Expertenkonsens, direkt übertragbar</w:t>
      </w:r>
    </w:p>
    <w:p>
      <w:r>
        <w:rPr>
          <w:color w:val="5A7D3A"/>
          <w:sz w:val="18"/>
        </w:rPr>
        <w:t>https://pubmed.ncbi.nlm.nih.gov/42833234/</w:t>
      </w:r>
    </w:p>
    <w:p>
      <w:pPr>
        <w:pStyle w:val="Heading2"/>
      </w:pPr>
      <w:r>
        <w:t>Digitale Nachsorge nach Zelltransplantation in Deutschland: SPIZ-Studie mit 306 Patienten</w:t>
      </w:r>
    </w:p>
    <w:p>
      <w:r>
        <w:rPr>
          <w:i/>
          <w:color w:val="666666"/>
          <w:sz w:val="18"/>
        </w:rPr>
        <w:t>Schneider MMK et al.  ·  Ann Hematol  ·  26.09.2026  ·  PMID 42799871</w:t>
      </w:r>
    </w:p>
    <w:p>
      <w:r>
        <w:t>Deutsches RCT-Protokoll (SPIZ) zur Optimierung der posttherapeutischen Versorgung nach allogener Stammzelltransplantation und CAR-T-Therapie durch digitale Unterstützung, Fallmanagement und regionale Vernetzung.</w:t>
      </w:r>
    </w:p>
    <w:p>
      <w:r>
        <w:rPr>
          <w:b/>
        </w:rPr>
        <w:t xml:space="preserve">Ergebnis: </w:t>
      </w:r>
      <w:r>
        <w:t>306 Patienten erfolgreich in 3 Zentren rekrutiert und 1:1 randomisiert. Intervention: Fallmanager, Pflegefachbesuche, mobiles App-Monitoring, Videokonferenzen. Primäre Endpunkte: Mortalität und Rehospitalisierungsraten. Studienabschluss und Auswertung laufen. G-BA-Förderung mit Ziel der Routineintegration.</w:t>
      </w:r>
    </w:p>
    <w:p>
      <w:r>
        <w:rPr>
          <w:b/>
          <w:sz w:val="19"/>
        </w:rPr>
        <w:t xml:space="preserve">Übertragbarkeit: </w:t>
      </w:r>
      <w:r>
        <w:rPr>
          <w:sz w:val="19"/>
        </w:rPr>
        <w:t>Deutschland – deutsches Versicherungs- und Gesundheitssystem, direkt übertragbar</w:t>
      </w:r>
    </w:p>
    <w:p>
      <w:r>
        <w:rPr>
          <w:color w:val="5A7D3A"/>
          <w:sz w:val="18"/>
        </w:rPr>
        <w:t>https://pubmed.ncbi.nlm.nih.gov/42799871/</w:t>
      </w:r>
    </w:p>
    <w:p>
      <w:pPr>
        <w:pStyle w:val="Heading2"/>
      </w:pPr>
      <w:r>
        <w:t>BCG plus Immun-Checkpoint-Inhibitoren: Toxizität steigt deutlich</w:t>
      </w:r>
    </w:p>
    <w:p>
      <w:r>
        <w:rPr>
          <w:i/>
          <w:color w:val="666666"/>
          <w:sz w:val="18"/>
        </w:rPr>
        <w:t>Ciccarese C et al.  ·  ESMO Open  ·  23.09.2026  ·  PMID 42777327</w:t>
      </w:r>
    </w:p>
    <w:p>
      <w:r>
        <w:t>Systematische Übersicht und Metaanalyse von 3 Phase-III-RCTs (1895 Patienten) zur Sicherheit von BCG kombiniert mit Anti-PD-1/PD-L1-Inhibitoren bei High-Risk-NMIBC.</w:t>
      </w:r>
    </w:p>
    <w:p>
      <w:r>
        <w:rPr>
          <w:b/>
        </w:rPr>
        <w:t xml:space="preserve">Ergebnis: </w:t>
      </w:r>
      <w:r>
        <w:t>BCG+ICI versus BCG allein: RR für Grad ≥3 TRAE 4,02 (95%-KI 3,06–5,30, p&lt;0,00001), RR für schwere Unerwünschte Ereignisse 4,54 (2,09–9,85, p=0,0001), RR für Immun-bedingte AE (jeder Grad) 15,18 (4,34–53,14, p&lt;0,0001). Behandlungsabbruch RR 2,87 (1,50–5,52, p=0,002). Toxizität hauptsächlich durch systemische Immunereignisse.</w:t>
      </w:r>
    </w:p>
    <w:p>
      <w:r>
        <w:rPr>
          <w:b/>
          <w:sz w:val="19"/>
        </w:rPr>
        <w:t xml:space="preserve">Übertragbarkeit: </w:t>
      </w:r>
      <w:r>
        <w:rPr>
          <w:sz w:val="19"/>
        </w:rPr>
        <w:t>Europa, Behandlungsdaten vergleichbare klinische Systeme, übertragbar</w:t>
      </w:r>
    </w:p>
    <w:p>
      <w:r>
        <w:rPr>
          <w:color w:val="5A7D3A"/>
          <w:sz w:val="18"/>
        </w:rPr>
        <w:t>https://pubmed.ncbi.nlm.nih.gov/42777327/</w:t>
      </w:r>
    </w:p>
    <w:p>
      <w:pPr>
        <w:pStyle w:val="Heading1"/>
      </w:pPr>
      <w:r>
        <w:t>Aufgenommen am 24.10.2026</w:t>
      </w:r>
    </w:p>
    <w:p>
      <w:pPr>
        <w:pStyle w:val="Heading2"/>
      </w:pPr>
      <w:r>
        <w:t>Dengue-Impfung in Lateinamerika: Wissenshieroglyphen und Umsetzungslücken</w:t>
      </w:r>
    </w:p>
    <w:p>
      <w:r>
        <w:rPr>
          <w:i/>
          <w:color w:val="666666"/>
          <w:sz w:val="18"/>
        </w:rPr>
        <w:t>Arredondo-Nontol MR et al.  ·  Cad Saude Publica  ·  12.10.2026  ·  PMID 42912039</w:t>
      </w:r>
    </w:p>
    <w:p>
      <w:r>
        <w:t>Scoping Review über Wissen, Einstellungen und Praktiken zur Dengue-Impfung in Lateinamerika und der Karibik mit Fokus auf den Unterschied zwischen Einstellungen und tatsächlicher Inanspruchnahme.</w:t>
      </w:r>
    </w:p>
    <w:p>
      <w:r>
        <w:rPr>
          <w:b/>
        </w:rPr>
        <w:t xml:space="preserve">Ergebnis: </w:t>
      </w:r>
      <w:r>
        <w:t>16 Studien zeigten begrenzte Kenntnisse über Impfverfügbarkeit und Sicherheit, aber grundsätzlich positive Einstellungen (hohe Akzeptanz, Zahlungsbereitschaft ca. 23 USD für dreiteilige Serie). Jedoch persistierte eine große Lücke zwischen Einstellung und Umsetzung mit niedriger Impfquotenerfüllung. Besondere Herausforderungen: Sicherheits- und Vertrauensbedenken bei Studienteilnahmen, Wissenslücken zu Wirkungsmechanismen.</w:t>
      </w:r>
    </w:p>
    <w:p>
      <w:r>
        <w:rPr>
          <w:b/>
          <w:sz w:val="19"/>
        </w:rPr>
        <w:t xml:space="preserve">Übertragbarkeit: </w:t>
      </w:r>
      <w:r>
        <w:rPr>
          <w:sz w:val="19"/>
        </w:rPr>
        <w:t>Lateinamerika, aber Erkenntnisse zur Diskrepanz Einstellung/Verhalten übertragbar auf deutsche Vakzin-Skepsis-Strategien</w:t>
      </w:r>
    </w:p>
    <w:p>
      <w:r>
        <w:rPr>
          <w:color w:val="5A7D3A"/>
          <w:sz w:val="18"/>
        </w:rPr>
        <w:t>https://pubmed.ncbi.nlm.nih.gov/42912039/</w:t>
      </w:r>
    </w:p>
    <w:p>
      <w:pPr>
        <w:pStyle w:val="Heading2"/>
      </w:pPr>
      <w:r>
        <w:t>Auffrischungsimpfung in der Pandemie: Was Müdigkeit und Misstrauen bewirken</w:t>
      </w:r>
    </w:p>
    <w:p>
      <w:r>
        <w:rPr>
          <w:i/>
          <w:color w:val="666666"/>
          <w:sz w:val="18"/>
        </w:rPr>
        <w:t>Jin J et al.  ·  Glob Health Action  ·  22.10.2026  ·  PMID 42910459</w:t>
      </w:r>
    </w:p>
    <w:p>
      <w:r>
        <w:t>Längsschnittstudie (689 Erwachsene, Hongkong) zu psychosozialen Faktoren der Bereitschaft für zusätzliche COVID-19-Impfdosen während Pandemiedauer.</w:t>
      </w:r>
    </w:p>
    <w:p>
      <w:r>
        <w:rPr>
          <w:b/>
        </w:rPr>
        <w:t xml:space="preserve">Ergebnis: </w:t>
      </w:r>
      <w:r>
        <w:t>58,2 % zu zusätzlicher Dosis bereit, 18,9 % ablehnend, 22,9 % unentschieden. Erhöhte Pandemie-Müdigkeit assoziiert mit Ablehnung (OR 1,63), niedriges Vertrauen in Behörden mit Ablehnung (OR 0,60), höhere wahrgenommene Bequemlichkeit mit Akzeptanz (OR 1,29). Alltägliche Belastungen bidirektional: erhöhte Chancen sowohl für Ablehnung als auch Akzeptanz je nach subjektiver Maßnahmenbequemlichkeit.</w:t>
      </w:r>
    </w:p>
    <w:p>
      <w:r>
        <w:rPr>
          <w:b/>
          <w:sz w:val="19"/>
        </w:rPr>
        <w:t xml:space="preserve">Übertragbarkeit: </w:t>
      </w:r>
      <w:r>
        <w:rPr>
          <w:sz w:val="19"/>
        </w:rPr>
        <w:t>Hong Kong-Kontext, aber Befunde zu Pandemie-Ermüdung und Vertrauensverlust auf Deutschland übertragbar</w:t>
      </w:r>
    </w:p>
    <w:p>
      <w:r>
        <w:rPr>
          <w:color w:val="5A7D3A"/>
          <w:sz w:val="18"/>
        </w:rPr>
        <w:t>https://pubmed.ncbi.nlm.nih.gov/42910459/</w:t>
      </w:r>
    </w:p>
    <w:p>
      <w:pPr>
        <w:pStyle w:val="Heading2"/>
      </w:pPr>
      <w:r>
        <w:t>Impfeffektivität gegen COVID-19: Schnelltests verzerren die Ergebnisse je nach Impfstatus</w:t>
      </w:r>
    </w:p>
    <w:p>
      <w:r>
        <w:rPr>
          <w:i/>
          <w:color w:val="666666"/>
          <w:sz w:val="18"/>
        </w:rPr>
        <w:t>Wiegand RE et al.  ·  Int J Epidemiol  ·  14.10.2026  ·  PMID 42909463</w:t>
      </w:r>
    </w:p>
    <w:p>
      <w:r>
        <w:t>Individuell-level Simulationen mit US-Surveillance-Daten zu Verzerrungsrisiken in Test-Negativ-Studien (TND) zur Impfeffektivität durch unterschiedliche RDT-Nutzung zwischen Geimpften und Ungeimpften.</w:t>
      </w:r>
    </w:p>
    <w:p>
      <w:r>
        <w:rPr>
          <w:b/>
        </w:rPr>
        <w:t xml:space="preserve">Ergebnis: </w:t>
      </w:r>
      <w:r>
        <w:t>Impfeffektivität unterschätzt (−5,8 bis −6,1 Prozentpunkte), wenn Geimpfte häufiger nach positivem RDT oder Ungeimpfte häufiger nach negativem RDT Gesundheitseinrichtungen aufsuchen; überschätzt (+5,2 bis +8,4 Prozentpunkte) bei umgekehrtem Muster. Verzerrung abhängig von Wahrscheinlichkeiten: Geimpfte Klinik-Besuch nach positiv RDT 0,5 vs. Ungeimpfte 0,3 → Bias −5,8 pp (95 % UI −9,1 bis −2,4).</w:t>
      </w:r>
    </w:p>
    <w:p>
      <w:r>
        <w:rPr>
          <w:b/>
          <w:sz w:val="19"/>
        </w:rPr>
        <w:t xml:space="preserve">Übertragbarkeit: </w:t>
      </w:r>
      <w:r>
        <w:rPr>
          <w:sz w:val="19"/>
        </w:rPr>
        <w:t>USA-Datenbasis, aber methodische Verzerrungsanalyse zu TND-Studien auf deutsche COVID-Impfeffektivitätsbewertung übertragbar</w:t>
      </w:r>
    </w:p>
    <w:p>
      <w:r>
        <w:rPr>
          <w:color w:val="5A7D3A"/>
          <w:sz w:val="18"/>
        </w:rPr>
        <w:t>https://pubmed.ncbi.nlm.nih.gov/42909463/</w:t>
      </w:r>
    </w:p>
    <w:p>
      <w:pPr>
        <w:pStyle w:val="Heading2"/>
      </w:pPr>
      <w:r>
        <w:t>HPV-Impfung an chinesischen Unis: Wissen schlecht, Bereitschaft mittel, Uptake schwach</w:t>
      </w:r>
    </w:p>
    <w:p>
      <w:r>
        <w:rPr>
          <w:i/>
          <w:color w:val="666666"/>
          <w:sz w:val="18"/>
        </w:rPr>
        <w:t>Zhu M et al.  ·  Front Public Health  ·  07.10.2026  ·  PMID 42909026</w:t>
      </w:r>
    </w:p>
    <w:p>
      <w:r>
        <w:t>Querschnittstudie (959 Studierende, Shandong) zur HPV-Impfakzeptanz mittels Knowledge-Attitude-Practice-Framework mit Strukturgleichungsmodellierung.</w:t>
      </w:r>
    </w:p>
    <w:p>
      <w:r>
        <w:rPr>
          <w:b/>
        </w:rPr>
        <w:t xml:space="preserve">Ergebnis: </w:t>
      </w:r>
      <w:r>
        <w:t>Durchschnittliches Wissensscore 54,8 % (schwach), Einstellung 74,8 % (moderat), Praxis 67,1 % (moderat). Wissen direkt mit Einstellung (β=0,119, p=0,012) und Praxis assoziiert (β=0,461, p=0,014); Einstellung auch indirekt relevant (β=0,014 indirekt, p=0,003). Männeranteil 58 %, HPV-bezogene Wissenslücken erheblich, Zugang zu Untersuchung und Impfung beschränkt.</w:t>
      </w:r>
    </w:p>
    <w:p>
      <w:r>
        <w:rPr>
          <w:b/>
          <w:sz w:val="19"/>
        </w:rPr>
        <w:t xml:space="preserve">Übertragbarkeit: </w:t>
      </w:r>
      <w:r>
        <w:rPr>
          <w:sz w:val="19"/>
        </w:rPr>
        <w:t>China, aber KAP-Struktur und Geschlechtseffekte auf deutsche Männer-Impfquoten anwendbar</w:t>
      </w:r>
    </w:p>
    <w:p>
      <w:r>
        <w:rPr>
          <w:color w:val="5A7D3A"/>
          <w:sz w:val="18"/>
        </w:rPr>
        <w:t>https://pubmed.ncbi.nlm.nih.gov/42909026/</w:t>
      </w:r>
    </w:p>
    <w:p>
      <w:pPr>
        <w:pStyle w:val="Heading2"/>
      </w:pPr>
      <w:r>
        <w:t>24-valente Pneumokokken-Konjugatimpfung: sichere Immunantwort in Phase-1/2-Studien</w:t>
      </w:r>
    </w:p>
    <w:p>
      <w:r>
        <w:rPr>
          <w:i/>
          <w:color w:val="666666"/>
          <w:sz w:val="18"/>
        </w:rPr>
        <w:t>Wang K et al.  ·  Expert Rev Vaccines  ·  22.10.2026  ·  PMID 42908339</w:t>
      </w:r>
    </w:p>
    <w:p>
      <w:r>
        <w:t>Zwei RCTs (Phase 1: n=240, Phase 2: n=992, chinesische Erwachsene) zur Sicherheit und Immunogenität von PCV24 vs. PPSV23 und Placebo.</w:t>
      </w:r>
    </w:p>
    <w:p>
      <w:r>
        <w:rPr>
          <w:b/>
        </w:rPr>
        <w:t xml:space="preserve">Ergebnis: </w:t>
      </w:r>
      <w:r>
        <w:t>Post-Impf-Nebenwirkungen überwiegend Grad 1–2, seltene Grad-3-Ereignisse nur Tag 0–7; keine impfbedingten schwerwiegenden Nebenwirkungen über 6 Monate. PCV24-Hochdosis erreichte Nicht-Unterlegenheit für IgG-Serokonversion aller 24 Serotpyen vs. PPSV23. Verträglichkeitsprofil günstig, robuste Immunantwort dokumentiert.</w:t>
      </w:r>
    </w:p>
    <w:p>
      <w:r>
        <w:rPr>
          <w:b/>
          <w:sz w:val="19"/>
        </w:rPr>
        <w:t xml:space="preserve">Übertragbarkeit: </w:t>
      </w:r>
      <w:r>
        <w:rPr>
          <w:sz w:val="19"/>
        </w:rPr>
        <w:t>China, Sicherheitsdaten aber zu Pneumokokkenimpfung kohärent mit europäischem Sicherheitsreglement; Nutzbar für Risikoabwägung</w:t>
      </w:r>
    </w:p>
    <w:p>
      <w:r>
        <w:rPr>
          <w:color w:val="5A7D3A"/>
          <w:sz w:val="18"/>
        </w:rPr>
        <w:t>https://pubmed.ncbi.nlm.nih.gov/42908339/</w:t>
      </w:r>
    </w:p>
    <w:p>
      <w:pPr>
        <w:pStyle w:val="Heading2"/>
      </w:pPr>
      <w:r>
        <w:t>Tollwutimpfung bei Hunden: Strukturen schlagen Wissen, Einstellung und Appelle</w:t>
      </w:r>
    </w:p>
    <w:p>
      <w:r>
        <w:rPr>
          <w:i/>
          <w:color w:val="666666"/>
          <w:sz w:val="18"/>
        </w:rPr>
        <w:t>Sun K et al.  ·  Transbound Emerg Dis  ·  2026  ·  PMID 42905874</w:t>
      </w:r>
    </w:p>
    <w:p>
      <w:r>
        <w:t>Mehrebenen-Querschnittsstudie (2.148 ländliche Bewohner, 282 Hundehalter, China) zu Determinanten der Hundertollwut-Impfung mittels multilevel mixed effects und SEM.</w:t>
      </w:r>
    </w:p>
    <w:p>
      <w:r>
        <w:rPr>
          <w:b/>
        </w:rPr>
        <w:t xml:space="preserve">Ergebnis: </w:t>
      </w:r>
      <w:r>
        <w:t>Wissensquote 68,0 %, positive Einstellung 88,1 %, aber nur 26,5 % aktive Praxis bei Menschen; Hundimpfquote 36,2 %. Einstellung mediierte Wissenseffekt (91,0 % des indirekten Pfads). Strukturelle Faktoren dominierten jedoch: erworbene Hunde 3,4× höhere Impfquote als Eigenaufzucht (OR 3,38), angebundene Hunde 3,8× höher als frei laufende (OR 3,77). Wissen/Einstellung unzureichend ohne Managementreformen.</w:t>
      </w:r>
    </w:p>
    <w:p>
      <w:r>
        <w:rPr>
          <w:b/>
          <w:sz w:val="19"/>
        </w:rPr>
        <w:t xml:space="preserve">Übertragbarkeit: </w:t>
      </w:r>
      <w:r>
        <w:rPr>
          <w:sz w:val="19"/>
        </w:rPr>
        <w:t>China ländlich, aber Befund zu Strukturbarrieren über KAP hinaus auf deutsche Tierimpfprogramme und deren Umsetzungshindernisse übertragbar</w:t>
      </w:r>
    </w:p>
    <w:p>
      <w:r>
        <w:rPr>
          <w:color w:val="5A7D3A"/>
          <w:sz w:val="18"/>
        </w:rPr>
        <w:t>https://pubmed.ncbi.nlm.nih.gov/42905874/</w:t>
      </w:r>
    </w:p>
    <w:p>
      <w:pPr>
        <w:pStyle w:val="Heading2"/>
      </w:pPr>
      <w:r>
        <w:t>Strategien gegen Impfskepsis: Was Systemreformen leisten</w:t>
      </w:r>
    </w:p>
    <w:p>
      <w:r>
        <w:rPr>
          <w:i/>
          <w:color w:val="666666"/>
          <w:sz w:val="18"/>
        </w:rPr>
        <w:t>Marques APDC et al.  ·  Epidemiol Serv Saude  ·  12.10.2026  ·  PMID 42903010</w:t>
      </w:r>
    </w:p>
    <w:p>
      <w:r>
        <w:t>Systematische Übersicht von 48 Systematic Reviews zu Maßnahmen gegen Impfhesitanz in Brasilien (urban, Erwachsene ab 18 Jahren, Schwangere).</w:t>
      </w:r>
    </w:p>
    <w:p>
      <w:r>
        <w:rPr>
          <w:b/>
        </w:rPr>
        <w:t xml:space="preserve">Ergebnis: </w:t>
      </w:r>
      <w:r>
        <w:t>Wirksame Strategien erfordern Kombination von fünf Handlungsfeldern: (1) zielgruppenbezogene Kommunikationsverstärkung, (2) permanente Fortbildung für Gesundheitsfachpersonen, (3) Zugangsverbesserung (Infrastruktur und Verfügbarkeit), (4) Desinformationsbekämpfung, (5) integrierte Schwangerschafts-Impfstrategien. Einzelmaßnahmen unzureichend; systemische Koordination erforderlich.</w:t>
      </w:r>
    </w:p>
    <w:p>
      <w:r>
        <w:rPr>
          <w:b/>
          <w:sz w:val="19"/>
        </w:rPr>
        <w:t xml:space="preserve">Übertragbarkeit: </w:t>
      </w:r>
      <w:r>
        <w:rPr>
          <w:sz w:val="19"/>
        </w:rPr>
        <w:t>Brasilien, aber Befunde zu kombinierter Systemstrategie relevant für deutsches Impfprogramm-Design</w:t>
      </w:r>
    </w:p>
    <w:p>
      <w:r>
        <w:rPr>
          <w:color w:val="5A7D3A"/>
          <w:sz w:val="18"/>
        </w:rPr>
        <w:t>https://pubmed.ncbi.nlm.nih.gov/42903010/</w:t>
      </w:r>
    </w:p>
    <w:p>
      <w:pPr>
        <w:pStyle w:val="Heading1"/>
      </w:pPr>
      <w:r>
        <w:t>Aufgenommen am 23.10.2026</w:t>
      </w:r>
    </w:p>
    <w:p>
      <w:pPr>
        <w:pStyle w:val="Heading2"/>
      </w:pPr>
      <w:r>
        <w:t>Ärztliche Impf-Verordnung hebt Impfquoten bei älteren Erwachsenen deutlich</w:t>
      </w:r>
    </w:p>
    <w:p>
      <w:r>
        <w:rPr>
          <w:i/>
          <w:color w:val="666666"/>
          <w:sz w:val="18"/>
        </w:rPr>
        <w:t>Yan XT et al.  ·  Zhonghua Liu Xing Bing Xue Za Zhi  ·  10.10.2026  ·  PMID 42907186</w:t>
      </w:r>
    </w:p>
    <w:p>
      <w:r>
        <w:t>Vorher-nachher-Querschnittsstudie an 10.500 Patienten in Zhejiang, China (März–April 2024 und September–Oktober 2025), mit multistufiger Stichprobenziehung über 175 Standorte, zur Evaluation eines Impf-Verordnungs-Programms für Influenza, Pneumokokken und Zoster.</w:t>
      </w:r>
    </w:p>
    <w:p>
      <w:r>
        <w:rPr>
          <w:b/>
        </w:rPr>
        <w:t xml:space="preserve">Ergebnis: </w:t>
      </w:r>
      <w:r>
        <w:t>Impfquoten stiegen für Influenza von 45,16 % auf 65,72 %, Pneumokokken von 16,42 % auf 22,74 %, Zoster von 1,93 % auf 5,74 % (alle p &lt; 0,001). Bei Patienten mit Impf-Verordnung: Influenza 79,69 %, Pneumokokken 33,31 %, Zoster 11,13 % – alle signifikant höher als ohne Verordnung. Multivariate Analyse (adjustiert für Demografie und Standortcluster): Influenza aOR = 3,16 (95 %-KI 2,68–3,72), Pneumokokken aOR = 1,56 (1,30–1,87), Zoster aOR = 3,05 (2,18–4,26). Ärztliche Empfehlung als Hauptförderfaktor.</w:t>
      </w:r>
    </w:p>
    <w:p>
      <w:r>
        <w:rPr>
          <w:b/>
          <w:sz w:val="19"/>
        </w:rPr>
        <w:t xml:space="preserve">Übertragbarkeit: </w:t>
      </w:r>
      <w:r>
        <w:rPr>
          <w:sz w:val="19"/>
        </w:rPr>
        <w:t>China, strukturell vergleichbar mit aufsuchenden Programmen; Versorgungspraxis</w:t>
      </w:r>
    </w:p>
    <w:p>
      <w:r>
        <w:rPr>
          <w:color w:val="5A7D3A"/>
          <w:sz w:val="18"/>
        </w:rPr>
        <w:t>https://pubmed.ncbi.nlm.nih.gov/42907186/</w:t>
      </w:r>
    </w:p>
    <w:p>
      <w:pPr>
        <w:pStyle w:val="Heading2"/>
      </w:pPr>
      <w:r>
        <w:t>Verhaltensinterventionen mit Community-Beteiligung erhöhen Impfakzeptanz in fragilen Kontexten</w:t>
      </w:r>
    </w:p>
    <w:p>
      <w:r>
        <w:rPr>
          <w:i/>
          <w:color w:val="666666"/>
          <w:sz w:val="18"/>
        </w:rPr>
        <w:t>Malik FA et al.  ·  Behav Med  ·  21.10.2026  ·  PMID 42904418</w:t>
      </w:r>
    </w:p>
    <w:p>
      <w:r>
        <w:t>Qualitative Prozessevaluationen an vier Gesundheitszentren im Tschad (2022–2023) mit 48 Interviews und Feldbeobachtungen zu Integration einer Paket-Intervention (Impfbotschaften, Champions, Erinnerungsaktivitäten) ins Routine-Impfsystem, geleitet von WHO-BeSD-Rahmen und IA2030.</w:t>
      </w:r>
    </w:p>
    <w:p>
      <w:r>
        <w:rPr>
          <w:b/>
        </w:rPr>
        <w:t xml:space="preserve">Ergebnis: </w:t>
      </w:r>
      <w:r>
        <w:t>Kernfindungen: Partizipative Co-Kreation und aktive Impf-Champions waren zentral für Akzeptanz und Teilnahme. Intervention wurde trotz früher Unterbrechung in Routinepraxen integriert. Akteure beschrieben gestiegenes Community-Vertrauen und erhöhtes Engagement für Impfung, insbesondere in Zero-Dose- und Unter-Immunisierten-Gruppen. Mechanismen für lokale Eigenverantwortung und kontextresponsive Lieferung identifiziert.</w:t>
      </w:r>
    </w:p>
    <w:p>
      <w:r>
        <w:rPr>
          <w:b/>
          <w:sz w:val="19"/>
        </w:rPr>
        <w:t xml:space="preserve">Übertragbarkeit: </w:t>
      </w:r>
      <w:r>
        <w:rPr>
          <w:sz w:val="19"/>
        </w:rPr>
        <w:t>Tschad (fragiler Kontext), übertragbar auf Engagement-Strategien in heterogenen Populationen</w:t>
      </w:r>
    </w:p>
    <w:p>
      <w:r>
        <w:rPr>
          <w:color w:val="5A7D3A"/>
          <w:sz w:val="18"/>
        </w:rPr>
        <w:t>https://pubmed.ncbi.nlm.nih.gov/42904418/</w:t>
      </w:r>
    </w:p>
    <w:p>
      <w:pPr>
        <w:pStyle w:val="Heading2"/>
      </w:pPr>
      <w:r>
        <w:t>Verhaltensprogramm für Zahnpraxen könnte HPV-Impfquoten erhöhen</w:t>
      </w:r>
    </w:p>
    <w:p>
      <w:r>
        <w:rPr>
          <w:i/>
          <w:color w:val="666666"/>
          <w:sz w:val="18"/>
        </w:rPr>
        <w:t>Mabry PL et al.  ·  Behav Med  ·  21.10.2026  ·  PMID 42904413</w:t>
      </w:r>
    </w:p>
    <w:p>
      <w:r>
        <w:t>Entwicklungsstudie einer theoriegestützten Verhaltensintervention für Zahnärzte zur Promotion der HPV-Impfung, geleitet durch Behavior Change Wheel und COM-B-Modell, mit Rapid-Review, Interviews mit Zahnpraktikern und Umfragen bei Eltern und geeigneten Patienten (2024–2026).</w:t>
      </w:r>
    </w:p>
    <w:p>
      <w:r>
        <w:rPr>
          <w:b/>
        </w:rPr>
        <w:t xml:space="preserve">Ergebnis: </w:t>
      </w:r>
      <w:r>
        <w:t>Zentrale Barrieren identifiziert: mangelndes Wissen zu HPV/HPV-Impfstoff, niedrige Selbstwirksamkeit, Befürchtungen vor negativen Konsequenzen. Finale Intervention: Didaktische Schulung, Skripte, tailorierte Botschaften in klinischem Entscheidungshilfe-Tool und Leistungs-Feedback. Pilottests: Zeiteffizient, akzeptabel für Praktiker und Patienten/Eltern. Keine Förderung für Effektivitätsstudie – Autoren suchten Unterstützung.</w:t>
      </w:r>
    </w:p>
    <w:p>
      <w:r>
        <w:rPr>
          <w:b/>
          <w:sz w:val="19"/>
        </w:rPr>
        <w:t xml:space="preserve">Übertragbarkeit: </w:t>
      </w:r>
      <w:r>
        <w:rPr>
          <w:sz w:val="19"/>
        </w:rPr>
        <w:t>USA; Studiendesign übertragbar auf Setting-basierte Impfpromotion</w:t>
      </w:r>
    </w:p>
    <w:p>
      <w:r>
        <w:rPr>
          <w:color w:val="5A7D3A"/>
          <w:sz w:val="18"/>
        </w:rPr>
        <w:t>https://pubmed.ncbi.nlm.nih.gov/42904413/</w:t>
      </w:r>
    </w:p>
    <w:p>
      <w:pPr>
        <w:pStyle w:val="Heading2"/>
      </w:pPr>
      <w:r>
        <w:t>COVID-19- und Influenza-Impfbereitschaft folgen teilweise unterschiedlichen Mustern</w:t>
      </w:r>
    </w:p>
    <w:p>
      <w:r>
        <w:rPr>
          <w:i/>
          <w:color w:val="666666"/>
          <w:sz w:val="18"/>
        </w:rPr>
        <w:t>Duplaga M et al.  ·  Front Public Health  ·  06.10.2026  ·  PMID 42903207</w:t>
      </w:r>
    </w:p>
    <w:p>
      <w:r>
        <w:t>Querschnittsbefragung von 3.000 polnischen Erwachsenen (Mai 2026) mit COM-B-Modell zu Impfabsichten für COVID-19 und Influenza sowie Vaccine-Hesitancy-Skala, Gesundheitskompetenz und Verschwörungsmentalität.</w:t>
      </w:r>
    </w:p>
    <w:p>
      <w:r>
        <w:rPr>
          <w:b/>
        </w:rPr>
        <w:t xml:space="preserve">Ergebnis: </w:t>
      </w:r>
      <w:r>
        <w:t>Impfabsicht: 18,2 % für COVID-19, 31,5 % für Influenza. Fähigkeit (Capability) assoziiert mit beiden Absichten (COVID-19 OR = 1,31; Influenza OR = 1,74). Motivation erhöhte beide (COVID-19 OR = 2,64; Influenza OR = 1,56). Impfskepsis trug zusätzlich erklärende Kraft bei. Politische Präferenz zeigte Impfstoff-spezifisches Muster: Anhänger der Rechtspartei hatten niedrigere COVID-19-Absicht (OR = 0,50), aber keine Assoziation für Influenza. Modellgüte (Nagelkerke R² 0,387–0,392).</w:t>
      </w:r>
    </w:p>
    <w:p>
      <w:r>
        <w:rPr>
          <w:b/>
          <w:sz w:val="19"/>
        </w:rPr>
        <w:t xml:space="preserve">Übertragbarkeit: </w:t>
      </w:r>
      <w:r>
        <w:rPr>
          <w:sz w:val="19"/>
        </w:rPr>
        <w:t>Polen, vergleichbare Sozialversicherung; COVID-19-Ergebnis überlastet Portfolio aber</w:t>
      </w:r>
    </w:p>
    <w:p>
      <w:r>
        <w:rPr>
          <w:color w:val="5A7D3A"/>
          <w:sz w:val="18"/>
        </w:rPr>
        <w:t>https://pubmed.ncbi.nlm.nih.gov/42903207/</w:t>
      </w:r>
    </w:p>
    <w:p>
      <w:pPr>
        <w:pStyle w:val="Heading2"/>
      </w:pPr>
      <w:r>
        <w:t>Influenza-Impfantwort unterschied sich zwischen ethnischen Gruppen in England</w:t>
      </w:r>
    </w:p>
    <w:p>
      <w:r>
        <w:rPr>
          <w:i/>
          <w:color w:val="666666"/>
          <w:sz w:val="18"/>
        </w:rPr>
        <w:t>Nazareth J et al.  ·  J Infect  ·  29.09.2026  ·  PMID 42810690</w:t>
      </w:r>
    </w:p>
    <w:p>
      <w:r>
        <w:t>Prospektive Kohorte von 815 Gesundheitsfachpersonen in Großbritannien (2020–2022) mit Bestimmung von Hämagglutinin-Hemmtiteln nach Influenza-Impfung.</w:t>
      </w:r>
    </w:p>
    <w:p>
      <w:r>
        <w:rPr>
          <w:b/>
        </w:rPr>
        <w:t xml:space="preserve">Ergebnis: </w:t>
      </w:r>
      <w:r>
        <w:t>Im ersten Jahr zeigten sich keine signifikanten ethnischen Unterschiede. Im zweiten Jahr hatten südasiatische Teilnehmer einen stärkeren Anstieg der A/H1N1-Antikörper während der Booster-Phase (geometrisches Mittel-Ratio 1,77; 95 %-KI 1,26–2,48; p = 0,001). Eine vorherige Influenza-Impfung erklärte die beobachteten Unterschiede teilweise. Die Befunde deuten auf unterschiedliche Immunantworten hin, möglicherweise bedingt durch unterschiedliche Vorimmunsierung.</w:t>
      </w:r>
    </w:p>
    <w:p>
      <w:r>
        <w:rPr>
          <w:b/>
          <w:sz w:val="19"/>
        </w:rPr>
        <w:t xml:space="preserve">Übertragbarkeit: </w:t>
      </w:r>
      <w:r>
        <w:rPr>
          <w:sz w:val="19"/>
        </w:rPr>
        <w:t>UK-Klinikdaten, vergleichbare Dokumentationspflichten und Impfkalendar</w:t>
      </w:r>
    </w:p>
    <w:p>
      <w:r>
        <w:rPr>
          <w:color w:val="5A7D3A"/>
          <w:sz w:val="18"/>
        </w:rPr>
        <w:t>https://pubmed.ncbi.nlm.nih.gov/42810690/</w:t>
      </w:r>
    </w:p>
    <w:p>
      <w:pPr>
        <w:pStyle w:val="Heading2"/>
      </w:pPr>
      <w:r>
        <w:t>Mütterliche Keuchhusten-Impfung schützt Neugeborene auch nach COVID-19</w:t>
      </w:r>
    </w:p>
    <w:p>
      <w:r>
        <w:rPr>
          <w:i/>
          <w:color w:val="666666"/>
          <w:sz w:val="18"/>
        </w:rPr>
        <w:t>Walker JL et al.  ·  J Infect  ·  31.08.2026  ·  PMID 42674297</w:t>
      </w:r>
    </w:p>
    <w:p>
      <w:r>
        <w:t>Fallkontrollstudie mit 188 laborbestätigten Pertussis-Fällen bei unter 3 Monate alten Säuglingen (Januar 2020–März 2024) und Deckungsdaten von 453.740 Schwangerschaften in Großbritannien.</w:t>
      </w:r>
    </w:p>
    <w:p>
      <w:r>
        <w:rPr>
          <w:b/>
        </w:rPr>
        <w:t xml:space="preserve">Ergebnis: </w:t>
      </w:r>
      <w:r>
        <w:t>Impfeffektivität gegen laborbestätigte Pertussis 84,6 % (95 %-KI 76,9–89,7 %), gegen Hospitalisierung 88,2 % (95 %-KI 81–92,7 %), gegen Tod 91,5 % (95 %-KI 75,4–97,1 %). Hohe Wirksamkeit über alle Gestationsalter-Kategorien hinweg; kein statistisch signifikanter Unterschied. Das Programm hat seine hohe Schutzwirkung beibehalten und war nicht Ursache des post-pandemischen Pertussis-Anstiegs.</w:t>
      </w:r>
    </w:p>
    <w:p>
      <w:r>
        <w:rPr>
          <w:b/>
          <w:sz w:val="19"/>
        </w:rPr>
        <w:t xml:space="preserve">Übertragbarkeit: </w:t>
      </w:r>
      <w:r>
        <w:rPr>
          <w:sz w:val="19"/>
        </w:rPr>
        <w:t>England-Daten, vergleichbare Mutterschaftshilfe und Impfregister</w:t>
      </w:r>
    </w:p>
    <w:p>
      <w:r>
        <w:rPr>
          <w:color w:val="5A7D3A"/>
          <w:sz w:val="18"/>
        </w:rPr>
        <w:t>https://pubmed.ncbi.nlm.nih.gov/42674297/</w:t>
      </w:r>
    </w:p>
    <w:p>
      <w:pPr>
        <w:pStyle w:val="Heading1"/>
      </w:pPr>
      <w:r>
        <w:t>Aufgenommen am 22.10.2026</w:t>
      </w:r>
    </w:p>
    <w:p>
      <w:pPr>
        <w:pStyle w:val="Heading2"/>
      </w:pPr>
      <w:r>
        <w:t>COVID-19-Impfquote bei schwangeren und stillenden Frauen in Uganda deutlich unter Erwartung</w:t>
      </w:r>
    </w:p>
    <w:p>
      <w:r>
        <w:rPr>
          <w:i/>
          <w:color w:val="666666"/>
          <w:sz w:val="18"/>
        </w:rPr>
        <w:t>Katana EB et al.  ·  BMC Pregnancy Childbirth  ·  25.07.2026  ·  PMID 42902272</w:t>
      </w:r>
    </w:p>
    <w:p>
      <w:r>
        <w:t>Querschnittsstudie an 424 schwangeren und stillenden Frauen in Uganda zur Akzeptanz und Inanspruchnahme von COVID-19-Impfungen im Vergleich zu anderen Mütterimpfungen.</w:t>
      </w:r>
    </w:p>
    <w:p>
      <w:r>
        <w:rPr>
          <w:b/>
        </w:rPr>
        <w:t xml:space="preserve">Ergebnis: </w:t>
      </w:r>
      <w:r>
        <w:t>51,6% hatten mind. eine COVID-19-Impfdosis erhalten, 94,1% waren gegen Tetanus geimpft; 48,4% waren bereit, COVID-19-Impfungen zu erhalten. Nur 2,4% waren während Stillzeit geimpft worden, keine während Schwangerschaft. Schutzfaktoren: COVID-19-Test in der Vorgeschichte (aRR=1,92, 95%-KI 1,46–2,54) und geimpftes Haushaltsmitglied (aRR=1,34, 95%-KI 1,03–1,84).</w:t>
      </w:r>
    </w:p>
    <w:p>
      <w:r>
        <w:rPr>
          <w:b/>
          <w:sz w:val="19"/>
        </w:rPr>
        <w:t xml:space="preserve">Übertragbarkeit: </w:t>
      </w:r>
      <w:r>
        <w:rPr>
          <w:sz w:val="19"/>
        </w:rPr>
        <w:t>Uganda-Daten; transferierbar für Länder mit ähnlicher Gesundheitskommunikation und Ressourcenlage.</w:t>
      </w:r>
    </w:p>
    <w:p>
      <w:r>
        <w:rPr>
          <w:color w:val="5A7D3A"/>
          <w:sz w:val="18"/>
        </w:rPr>
        <w:t>https://pubmed.ncbi.nlm.nih.gov/42902272/</w:t>
      </w:r>
    </w:p>
    <w:p>
      <w:pPr>
        <w:pStyle w:val="Heading2"/>
      </w:pPr>
      <w:r>
        <w:t>Wie Desinformation in sozialen Medien Impfbereitschaft politisiert: Fallstudie Saskatchewan</w:t>
      </w:r>
    </w:p>
    <w:p>
      <w:r>
        <w:rPr>
          <w:i/>
          <w:color w:val="666666"/>
          <w:sz w:val="18"/>
        </w:rPr>
        <w:t>Dyck E et al.  ·  Can J Health Hist  ·  20.10.2026  ·  PMID 42900833</w:t>
      </w:r>
    </w:p>
    <w:p>
      <w:r>
        <w:t>Qualitative Analyse mit Interviews und Medienquellen zu Verschiebung der Impfakzeptanz in Saskatchewan während COVID-19: von Konsens für Impfung 2020 zu Anti-Impf-Bewegung 2021–2022.</w:t>
      </w:r>
    </w:p>
    <w:p>
      <w:r>
        <w:rPr>
          <w:b/>
        </w:rPr>
        <w:t xml:space="preserve">Ergebnis: </w:t>
      </w:r>
      <w:r>
        <w:t>Saskatchewan wandelte sich von Hochburg der Impfstoffproduktion zu Zentrum der Anti-Impf-Bewegung. Unmoderierte Diskurse in sozialen Medien überlagerten kollektive Reaktionen und politisierten Impfungen als pro-regierungspolitisch. Premierminister Scott Moe wechselte von pro-Impf- zu kritischer Haltung gegenüber Bundesimpfpolitik.</w:t>
      </w:r>
    </w:p>
    <w:p>
      <w:r>
        <w:rPr>
          <w:b/>
          <w:sz w:val="19"/>
        </w:rPr>
        <w:t xml:space="preserve">Übertragbarkeit: </w:t>
      </w:r>
      <w:r>
        <w:rPr>
          <w:sz w:val="19"/>
        </w:rPr>
        <w:t>Kanada, vergleichbare föderale Struktur und Medienlandschaft; Mechanismen der Vaccine Hesitancy übertragbar auf DACH-Region.</w:t>
      </w:r>
    </w:p>
    <w:p>
      <w:r>
        <w:rPr>
          <w:color w:val="5A7D3A"/>
          <w:sz w:val="18"/>
        </w:rPr>
        <w:t>https://pubmed.ncbi.nlm.nih.gov/42900833/</w:t>
      </w:r>
    </w:p>
    <w:p>
      <w:pPr>
        <w:pStyle w:val="Heading2"/>
      </w:pPr>
      <w:r>
        <w:t>RSV-Impfung in der Schwangerschaft: Evidenz zur Wirksamkeit und Sicherheit der Prefusion-F-Vakzine</w:t>
      </w:r>
    </w:p>
    <w:p>
      <w:r>
        <w:rPr>
          <w:i/>
          <w:color w:val="666666"/>
          <w:sz w:val="18"/>
        </w:rPr>
        <w:t>Xiao MR et al.  ·  Zhonghua Yu Fang Yi Xue Za Zhi  ·  06.10.2026  ·  PMID 42893914</w:t>
      </w:r>
    </w:p>
    <w:p>
      <w:r>
        <w:t>Narrative Übersichtsarbeit zu RSV-Impfung schwangerer Frauen: Entwicklung, klinische Wirksamkeit, Sicherheit und Strategieempfehlungen von WHO und EMA.</w:t>
      </w:r>
    </w:p>
    <w:p>
      <w:r>
        <w:rPr>
          <w:b/>
        </w:rPr>
        <w:t xml:space="preserve">Ergebnis: </w:t>
      </w:r>
      <w:r>
        <w:t>RSVpreF-Impfstoff zeigt wirksame Übertragung maternaler Antikörper auf Neugeborene und verhindert RSV-Erkrankungen in frühem Säuglingsalter. Sicherheitsdaten positiv, aber langfristige Überwachung erforderlich. Mehrheitlich WHO und EMA empfehlen Impfung schwangerer Frauen ab Trimester 2 oder 3.</w:t>
      </w:r>
    </w:p>
    <w:p>
      <w:r>
        <w:rPr>
          <w:b/>
          <w:sz w:val="19"/>
        </w:rPr>
        <w:t xml:space="preserve">Übertragbarkeit: </w:t>
      </w:r>
      <w:r>
        <w:rPr>
          <w:sz w:val="19"/>
        </w:rPr>
        <w:t>China-Review; Empfehlungen von EMA/WHO gelten für deutsche Versorgung, Transfer jedoch an Impfkalender und Datenverfügbarkeit gebunden.</w:t>
      </w:r>
    </w:p>
    <w:p>
      <w:r>
        <w:rPr>
          <w:color w:val="5A7D3A"/>
          <w:sz w:val="18"/>
        </w:rPr>
        <w:t>https://pubmed.ncbi.nlm.nih.gov/42893914/</w:t>
      </w:r>
    </w:p>
    <w:p>
      <w:pPr>
        <w:pStyle w:val="Heading2"/>
      </w:pPr>
      <w:r>
        <w:t>Melioidose in Asien: Unterschätzte Last und Bedarf für Impfstoffentwicklung</w:t>
      </w:r>
    </w:p>
    <w:p>
      <w:r>
        <w:rPr>
          <w:i/>
          <w:color w:val="666666"/>
          <w:sz w:val="18"/>
        </w:rPr>
        <w:t>Afnani MR et al.  ·  Trop Biomed  ·  01.09.2026  ·  PMID 42891935</w:t>
      </w:r>
    </w:p>
    <w:p>
      <w:r>
        <w:t>Narrative Übersichtsarbeit zu Epidemiologie, Risikofaktoren, Therapie und Impfstoffentwicklung der Melioidose in Asien mit Fokus auf Impfkandidaten und Versorgungslücken.</w:t>
      </w:r>
    </w:p>
    <w:p>
      <w:r>
        <w:rPr>
          <w:b/>
        </w:rPr>
        <w:t xml:space="preserve">Ergebnis: </w:t>
      </w:r>
      <w:r>
        <w:t>Südostasien endemisch, Südasien trägt großen Teil der globalen Last. Mehrere Impfkandidaten (live-attenuiert, rekombinant, Glykoknjugate, Vesikel, Nanopartikel) zeigen präklinische Schutzeffekte, aber kein zugelassener Impfstoff vorhanden. One-Health-Ansatz und Kapazitätsaufbau erforderlich.</w:t>
      </w:r>
    </w:p>
    <w:p>
      <w:r>
        <w:rPr>
          <w:b/>
          <w:sz w:val="19"/>
        </w:rPr>
        <w:t xml:space="preserve">Übertragbarkeit: </w:t>
      </w:r>
      <w:r>
        <w:rPr>
          <w:sz w:val="19"/>
        </w:rPr>
        <w:t>Narrative Übersicht; Impfkandidaten vorwiegend präklinisch, klinische Daten fehlen.</w:t>
      </w:r>
    </w:p>
    <w:p>
      <w:r>
        <w:rPr>
          <w:color w:val="5A7D3A"/>
          <w:sz w:val="18"/>
        </w:rPr>
        <w:t>https://pubmed.ncbi.nlm.nih.gov/42891935/</w:t>
      </w:r>
    </w:p>
    <w:p>
      <w:pPr>
        <w:pStyle w:val="Heading2"/>
      </w:pPr>
      <w:r>
        <w:t>Darm-Mikrobiom und Impfantwort: Ist personalisierte Impfung nach Mikrobiom-Profiling reif für die Praxis?</w:t>
      </w:r>
    </w:p>
    <w:p>
      <w:r>
        <w:rPr>
          <w:i/>
          <w:color w:val="666666"/>
          <w:sz w:val="18"/>
        </w:rPr>
        <w:t>Sun G et al.  ·  Front Immunol  ·  01.10.2026  ·  PMID 42889669</w:t>
      </w:r>
    </w:p>
    <w:p>
      <w:r>
        <w:t>Systematische Übersichtsarbeit zu Mechanismen, über die das Darm-Mikrobiom die Impfantwort moduliert, mit Fokus auf Short-Chain-Fatty-Acids und Kandidaten für Mikrobiom-gesteuerte Impfoptimierung.</w:t>
      </w:r>
    </w:p>
    <w:p>
      <w:r>
        <w:rPr>
          <w:b/>
        </w:rPr>
        <w:t xml:space="preserve">Ergebnis: </w:t>
      </w:r>
      <w:r>
        <w:t>Taxa replizieren selten über Geographien, Alter und Impfplattformen hinweg. Short-Chain-Fatty-Acids zeigen größte mechanistische Evidenz (vorwiegend präklinisch); Acetate, Propionat und Butyrat unterscheiden sich in Targets, Exposition und Effektrichtung. Probiotika-Studien bei älteren Erwachsenen neutral; BNT162b2 in Mikrobiota-verarmten Mäusen nicht sensitiv. Microbiome-gesteuerte Impfung bleibt Forschungsstrategie, keine etablierte klinische Praxis.</w:t>
      </w:r>
    </w:p>
    <w:p>
      <w:r>
        <w:rPr>
          <w:b/>
          <w:sz w:val="19"/>
        </w:rPr>
        <w:t xml:space="preserve">Übertragbarkeit: </w:t>
      </w:r>
      <w:r>
        <w:rPr>
          <w:sz w:val="19"/>
        </w:rPr>
        <w:t>Systematische Übersicht ohne neue empirische Daten; Befunde zu Mechanismen teilweise präklinisch, klinische Übertragbarkeit noch ungeklärt.</w:t>
      </w:r>
    </w:p>
    <w:p>
      <w:r>
        <w:rPr>
          <w:color w:val="5A7D3A"/>
          <w:sz w:val="18"/>
        </w:rPr>
        <w:t>https://pubmed.ncbi.nlm.nih.gov/42889669/</w:t>
      </w:r>
    </w:p>
    <w:p>
      <w:pPr>
        <w:pStyle w:val="Heading2"/>
      </w:pPr>
      <w:r>
        <w:t>Candida-Impfstoffe: Erste klinische Phase-II-Daten mit NDV-3A, aber Translationshürden bleiben</w:t>
      </w:r>
    </w:p>
    <w:p>
      <w:r>
        <w:rPr>
          <w:i/>
          <w:color w:val="666666"/>
          <w:sz w:val="18"/>
        </w:rPr>
        <w:t>Krier J et al.  ·  Int J Mol Sci  ·  23.09.2026  ·  PMID 42883739</w:t>
      </w:r>
    </w:p>
    <w:p>
      <w:r>
        <w:t>Strukturierte narrative Übersichtsarbeit zu Fortschritten und Barrieren in der Candida-Impfstoffentwicklung 2015–2025, mit Fokus auf NDV-3A und klinische sowie präklinische Evidenz.</w:t>
      </w:r>
    </w:p>
    <w:p>
      <w:r>
        <w:rPr>
          <w:b/>
        </w:rPr>
        <w:t xml:space="preserve">Ergebnis: </w:t>
      </w:r>
      <w:r>
        <w:t>NDV-3A erreichte Phase-II-Validierung—erste großangelegte klinische Studie eines Pilzimpfstoffs. Standardisierung A/J-Maus-Modell für C. auris; Computational-Plattformen mit &gt;94% HLA-Populationsabdeckung. Hindernisse: Kommensale-zu-Pathogen-Dualität, Immunsuppression, antigene Plastizität, Unterinvestition. Nächste Generation könnte Bench-zu-Klinik-Lücke schließen.</w:t>
      </w:r>
    </w:p>
    <w:p>
      <w:r>
        <w:rPr>
          <w:b/>
          <w:sz w:val="19"/>
        </w:rPr>
        <w:t xml:space="preserve">Übertragbarkeit: </w:t>
      </w:r>
      <w:r>
        <w:rPr>
          <w:sz w:val="19"/>
        </w:rPr>
        <w:t>Narrative Übersicht; NDV-3A Phase-II-Daten begrenzt, Translationsreife noch nicht erreicht.</w:t>
      </w:r>
    </w:p>
    <w:p>
      <w:r>
        <w:rPr>
          <w:color w:val="5A7D3A"/>
          <w:sz w:val="18"/>
        </w:rPr>
        <w:t>https://pubmed.ncbi.nlm.nih.gov/42883739/</w:t>
      </w:r>
    </w:p>
    <w:p>
      <w:pPr>
        <w:pStyle w:val="Heading1"/>
      </w:pPr>
      <w:r>
        <w:t>Aufgenommen am 21.10.2026</w:t>
      </w:r>
    </w:p>
    <w:p>
      <w:pPr>
        <w:pStyle w:val="Heading2"/>
      </w:pPr>
      <w:r>
        <w:t>Einführung der Einfachdosis-HPV-Impfung in Kanada</w:t>
      </w:r>
    </w:p>
    <w:p>
      <w:r>
        <w:rPr>
          <w:i/>
          <w:color w:val="666666"/>
          <w:sz w:val="18"/>
        </w:rPr>
        <w:t>Leggatt M et al.  ·  Hum Vaccin Immunother  ·  20.10.2026  ·  PMID 42899377</w:t>
      </w:r>
    </w:p>
    <w:p>
      <w:r>
        <w:t>Analyse von Implementierungshürden und -chancen beim Übergang zu Einfachdosis-HPV-Impfschema für Jugendliche in kanadischen Provinzen.</w:t>
      </w:r>
    </w:p>
    <w:p>
      <w:r>
        <w:rPr>
          <w:b/>
        </w:rPr>
        <w:t xml:space="preserve">Ergebnis: </w:t>
      </w:r>
      <w:r>
        <w:t>Schlüsselfaktoren für Erfolg: transparente Kommunikation zur Begründung der Schemaänderung, ausreichende Vorbereitung von Fachleuten und Impfpersonal, Elterninformation sowie robuste Catch-up-Programme und gezielte Aufsuchung für Risikogruppen. Ohne diese Maßnahmen droht Vertrauensverlust und ungleiche Impfquoten.</w:t>
      </w:r>
    </w:p>
    <w:p>
      <w:r>
        <w:rPr>
          <w:b/>
          <w:sz w:val="19"/>
        </w:rPr>
        <w:t xml:space="preserve">Übertragbarkeit: </w:t>
      </w:r>
      <w:r>
        <w:rPr>
          <w:sz w:val="19"/>
        </w:rPr>
        <w:t>Kanada, vergleichbares öffentliches Impfwesen; Schemaänderungen gelten europaweit.</w:t>
      </w:r>
    </w:p>
    <w:p>
      <w:r>
        <w:rPr>
          <w:color w:val="5A7D3A"/>
          <w:sz w:val="18"/>
        </w:rPr>
        <w:t>https://pubmed.ncbi.nlm.nih.gov/42899377/</w:t>
      </w:r>
    </w:p>
    <w:p>
      <w:pPr>
        <w:pStyle w:val="Heading2"/>
      </w:pPr>
      <w:r>
        <w:t>Politische Polarisierung senkt Impfquoten bei Kindern in US-Bundesstaaten</w:t>
      </w:r>
    </w:p>
    <w:p>
      <w:r>
        <w:rPr>
          <w:i/>
          <w:color w:val="666666"/>
          <w:sz w:val="18"/>
        </w:rPr>
        <w:t>Lin W et al.  ·  BMC Public Health  ·  23.07.2026  ·  PMID 42897547</w:t>
      </w:r>
    </w:p>
    <w:p>
      <w:r>
        <w:t>Querschnittsökologie mit Bundesstaaten-Paneldaten 2014–2024: Zusammenhang zwischen republikanischem Wählerstimmenanteil und Masernimpfquoten nach Kontrolle für Bildung und Einkommen.</w:t>
      </w:r>
    </w:p>
    <w:p>
      <w:r>
        <w:rPr>
          <w:b/>
        </w:rPr>
        <w:t xml:space="preserve">Ergebnis: </w:t>
      </w:r>
      <w:r>
        <w:t>Bundesstaaten mit höherem republikanischem Wahlanteil hatten niedrigere MMR-Quoten (−10,9%-Punkte pro 10%-Punkte Anstieg, 95%-KI −16,69 bis −5,10; p&lt;0,001). Persistenzanalyse mit Bundesstaaten konstanter Wahlausrichtung über vier Wahlen verstärkte den Befund (b=−14,30, p&lt;0,001). Effekt verstärkte sich zeitlich nicht; Bildungsschicht und Politik interagierten nicht.</w:t>
      </w:r>
    </w:p>
    <w:p>
      <w:r>
        <w:rPr>
          <w:b/>
          <w:sz w:val="19"/>
        </w:rPr>
        <w:t xml:space="preserve">Übertragbarkeit: </w:t>
      </w:r>
      <w:r>
        <w:rPr>
          <w:sz w:val="19"/>
        </w:rPr>
        <w:t>USA mit anderer Systemfinanzierung; Befund zur politischen Polarisierung als Impfquoten-Prediktor dennoch übertragbar.</w:t>
      </w:r>
    </w:p>
    <w:p>
      <w:r>
        <w:rPr>
          <w:color w:val="5A7D3A"/>
          <w:sz w:val="18"/>
        </w:rPr>
        <w:t>https://pubmed.ncbi.nlm.nih.gov/42897547/</w:t>
      </w:r>
    </w:p>
    <w:p>
      <w:pPr>
        <w:pStyle w:val="Heading2"/>
      </w:pPr>
      <w:r>
        <w:t>Absichts-Umsetzungs-Lücke bei HPV-Impfung in türkischer Frauenklinik</w:t>
      </w:r>
    </w:p>
    <w:p>
      <w:r>
        <w:rPr>
          <w:i/>
          <w:color w:val="666666"/>
          <w:sz w:val="18"/>
        </w:rPr>
        <w:t>Öncü E et al.  ·  BMC Public Health  ·  24.07.2026  ·  PMID 42897523</w:t>
      </w:r>
    </w:p>
    <w:p>
      <w:r>
        <w:t>Querschnittstudie an 305 Frauen (Mittel 38 Jahre) in einer Gynäkologieklinik Istanbul: Erfassung von HPV-Wissen, Einstellungen, Absicht zu impfen und tatsächliche Inanspruchnahme.</w:t>
      </w:r>
    </w:p>
    <w:p>
      <w:r>
        <w:rPr>
          <w:b/>
        </w:rPr>
        <w:t xml:space="preserve">Ergebnis: </w:t>
      </w:r>
      <w:r>
        <w:t>Wissens-Score 7,25±1,65 (0–10); 36,7% wussten nicht, dass Männer HPV-Träger sind; 86,6% erklärten Impfbereitschaft, aber nur 38,7% waren geimpft (Lücke: 47,9%-Punkte). Kostbarrier bei 71,0% der Ungeimpften; Fachleute für Gesundheit wiesen 2,01× höhere Quote (p=0,030). Bildung und Wissensstand waren nicht assoziiert mit tatsächlicher Inanspruchnahme.</w:t>
      </w:r>
    </w:p>
    <w:p>
      <w:r>
        <w:rPr>
          <w:b/>
          <w:sz w:val="19"/>
        </w:rPr>
        <w:t xml:space="preserve">Übertragbarkeit: </w:t>
      </w:r>
      <w:r>
        <w:rPr>
          <w:sz w:val="19"/>
        </w:rPr>
        <w:t>Türkei, mittlere Übertragbarkeit; Kernbefund (Absichts-Umset-zungs-Lücke durch Kostenbarriere) für Deutschland relevant.</w:t>
      </w:r>
    </w:p>
    <w:p>
      <w:r>
        <w:rPr>
          <w:color w:val="5A7D3A"/>
          <w:sz w:val="18"/>
        </w:rPr>
        <w:t>https://pubmed.ncbi.nlm.nih.gov/42897523/</w:t>
      </w:r>
    </w:p>
    <w:p>
      <w:pPr>
        <w:pStyle w:val="Heading2"/>
      </w:pPr>
      <w:r>
        <w:t>Multi-Omics zeigt plattformspezifische Immunsignaturen nach COVID-19-Impfung</w:t>
      </w:r>
    </w:p>
    <w:p>
      <w:r>
        <w:rPr>
          <w:i/>
          <w:color w:val="666666"/>
          <w:sz w:val="18"/>
        </w:rPr>
        <w:t>Klein AH et al.  ·  Front Immunol  ·  02.10.2026  ·  PMID 42890872</w:t>
      </w:r>
    </w:p>
    <w:p>
      <w:r>
        <w:t>Integrierte Plasma-Proteomic, Lipidomic und Metabolomic bei 53 SARS-CoV-2-naiven Erwachsenen nach Impfung mit Pfizer, Moderna oder AstraZeneca; Analyse über mehrere Zeitpunkte mit DIABLO-Integration.</w:t>
      </w:r>
    </w:p>
    <w:p>
      <w:r>
        <w:rPr>
          <w:b/>
        </w:rPr>
        <w:t xml:space="preserve">Ergebnis: </w:t>
      </w:r>
      <w:r>
        <w:t>Pfizer assoziiert mit breitem Anstieg Immunglobulin/Komplement-Proteine, Lipidabnahme und bidirektionalen Metabolit-Änderungen. Moderna: Lipidanstieg, minimale Proteomic-Änderungen. AstraZeneca: subtilere, aber kohärente cross-omics-Verschiebungen (nur bei integrativem Modellieren sichtbar). Pfizer und Moderna teilten Metabolit-Konkordanz (Aminosäuren, TCA-Zyklus) bei divergenten Lipidomics. Plattformspezifische Unterschiede zeigen: Multi-Omics-Integration ist aussagekräftiger als einzelne Analysen.</w:t>
      </w:r>
    </w:p>
    <w:p>
      <w:r>
        <w:rPr>
          <w:b/>
          <w:sz w:val="19"/>
        </w:rPr>
        <w:t xml:space="preserve">Übertragbarkeit: </w:t>
      </w:r>
      <w:r>
        <w:rPr>
          <w:sz w:val="19"/>
        </w:rPr>
        <w:t>Australien; Befund zur Plattformvergleichbarkeit für europäische Impfplanung relevant.</w:t>
      </w:r>
    </w:p>
    <w:p>
      <w:r>
        <w:rPr>
          <w:color w:val="5A7D3A"/>
          <w:sz w:val="18"/>
        </w:rPr>
        <w:t>https://pubmed.ncbi.nlm.nih.gov/42890872/</w:t>
      </w:r>
    </w:p>
    <w:p>
      <w:pPr>
        <w:pStyle w:val="Heading2"/>
      </w:pPr>
      <w:r>
        <w:t>Impfparadoxon Ebolavakzin: Erfolg schafft Erwartungen, die künftige Ausbrüche nicht erfüllen</w:t>
      </w:r>
    </w:p>
    <w:p>
      <w:r>
        <w:rPr>
          <w:i/>
          <w:color w:val="666666"/>
          <w:sz w:val="18"/>
        </w:rPr>
        <w:t>Ugwu OP et al.  ·  Front Public Health  ·  02.10.2026  ·  PMID 42890191</w:t>
      </w:r>
    </w:p>
    <w:p>
      <w:r>
        <w:t>Perspektive auf East African Public Health: Analyse, wie Erfolg mit Zaire-ebolavirus-Impfstoff zu Erwartungshaltung auf artspezifische Vakzine auch gegen Sudan- und Bundibugyo-Virus führte, was bei deren Fehlen zu Vertrauensverlust droht.</w:t>
      </w:r>
    </w:p>
    <w:p>
      <w:r>
        <w:rPr>
          <w:b/>
        </w:rPr>
        <w:t xml:space="preserve">Ergebnis: </w:t>
      </w:r>
      <w:r>
        <w:t>Zentral ist die Vaccine Expectation Gap zwischen verfügbaren (artspezifisch limitiert) und erwarteten Impfstoffen. Sudan- und Bundibugyo-Ausbrüche zeigen: Immunisierungserfolg verstärkt Erwartungen, schafft aber auch Risiko bei nicht-Erfüllbarkeit. Empfohlen: Transparent kommunizieren (Rationale für artspezifische Unterschiede), Preparedness Trust Contract etablieren, Community Engagement ausbauen.</w:t>
      </w:r>
    </w:p>
    <w:p>
      <w:r>
        <w:rPr>
          <w:b/>
          <w:sz w:val="19"/>
        </w:rPr>
        <w:t xml:space="preserve">Übertragbarkeit: </w:t>
      </w:r>
      <w:r>
        <w:rPr>
          <w:sz w:val="19"/>
        </w:rPr>
        <w:t>Uganda/East Africa; Framework zur Erwartungsmanagement bei Impf-Kampagnen auf Deutschland übertragbar.</w:t>
      </w:r>
    </w:p>
    <w:p>
      <w:r>
        <w:rPr>
          <w:color w:val="5A7D3A"/>
          <w:sz w:val="18"/>
        </w:rPr>
        <w:t>https://pubmed.ncbi.nlm.nih.gov/42890191/</w:t>
      </w:r>
    </w:p>
    <w:p>
      <w:pPr>
        <w:pStyle w:val="Heading2"/>
      </w:pPr>
      <w:r>
        <w:t>Fachgerechte Ressourcen gegen Vaccine Hesitancy für Angehörige von Gesundheitsberufen</w:t>
      </w:r>
    </w:p>
    <w:p>
      <w:r>
        <w:rPr>
          <w:i/>
          <w:color w:val="666666"/>
          <w:sz w:val="18"/>
        </w:rPr>
        <w:t>Ansell M et al.  ·  J Med Libr Assoc  ·  01.10.2026  ·  PMID 42889793</w:t>
      </w:r>
    </w:p>
    <w:p>
      <w:r>
        <w:t>Qualitative Studie: Interviews mit 20 Fachleuten aus Gesundheitsberufen in Florida zu Erfahrungen mit impfskeptischen Patienten, gefolgt von Ko-Design eines evidenzgestützten Ressourcen-Leitfadens.</w:t>
      </w:r>
    </w:p>
    <w:p>
      <w:r>
        <w:rPr>
          <w:b/>
        </w:rPr>
        <w:t xml:space="preserve">Ergebnis: </w:t>
      </w:r>
      <w:r>
        <w:t>Zentrale Themen aus Inhaltsanalyse: Vertrauen in Arzt-Patient-Beziehung, Notwendigkeit individualisierter Gespräche, Kampf gegen Desinformation. Fachleute wünschten vielfältige, leicht zugängliche Materialien zur Unterstützung. Ressourcen-Leitfaden entwickelt, lokal in Gesundheitsnetzwerken verteilt; Librarians als kritische Akteure für Public-Health-Kampagnen identifiziert.</w:t>
      </w:r>
    </w:p>
    <w:p>
      <w:r>
        <w:rPr>
          <w:b/>
          <w:sz w:val="19"/>
        </w:rPr>
        <w:t xml:space="preserve">Übertragbarkeit: </w:t>
      </w:r>
      <w:r>
        <w:rPr>
          <w:sz w:val="19"/>
        </w:rPr>
        <w:t>USA; Befund zu Vertrauensbau und Desinformationsgegenwehr für alle Systeme relevant.</w:t>
      </w:r>
    </w:p>
    <w:p>
      <w:r>
        <w:rPr>
          <w:color w:val="5A7D3A"/>
          <w:sz w:val="18"/>
        </w:rPr>
        <w:t>https://pubmed.ncbi.nlm.nih.gov/42889793/</w:t>
      </w:r>
    </w:p>
    <w:p>
      <w:pPr>
        <w:pStyle w:val="Heading2"/>
      </w:pPr>
      <w:r>
        <w:t>Influenza-Vakzin-Effizienz 2024–2025 und Barrieren bei Impfquoten</w:t>
      </w:r>
    </w:p>
    <w:p>
      <w:r>
        <w:rPr>
          <w:i/>
          <w:color w:val="666666"/>
          <w:sz w:val="18"/>
        </w:rPr>
        <w:t>Naik H  ·  FP Essent  ·  Okt. 2026  ·  PMID 42879808</w:t>
      </w:r>
    </w:p>
    <w:p>
      <w:r>
        <w:t>Übersicht zur Influenza-Epidemiologie USA 2024/2025 und Impfeffektivität, Risikogruppen, Impfstoffzugang, Barrieren gegen Immunisierung sowie Antivirale-Therapien.</w:t>
      </w:r>
    </w:p>
    <w:p>
      <w:r>
        <w:rPr>
          <w:b/>
        </w:rPr>
        <w:t xml:space="preserve">Ergebnis: </w:t>
      </w:r>
      <w:r>
        <w:t>2024–2025 schwerste Saison seit 2017/2018: 47–82 Mio. Fälle, bis zu 1,3 Mio. Hospitalisierungen, bis zu 130.000 Todesfälle USA. Impfeffektivität 2024–2025 32–78% je nach Alter/Endpunkt. Barrieren: Desinformation, begrenzte Zugänge, Misstrauen, Ungleichheit. Empfehlungen: Impfzugang verbessern, Desinformation bekämpfen, Community Outreach, Antivirale-Forschung voranbringen.</w:t>
      </w:r>
    </w:p>
    <w:p>
      <w:r>
        <w:rPr>
          <w:b/>
          <w:sz w:val="19"/>
        </w:rPr>
        <w:t xml:space="preserve">Übertragbarkeit: </w:t>
      </w:r>
      <w:r>
        <w:rPr>
          <w:sz w:val="19"/>
        </w:rPr>
        <w:t>USA; Barrieren und Quoten-Strategien für Deutschland adaptierbar.</w:t>
      </w:r>
    </w:p>
    <w:p>
      <w:r>
        <w:rPr>
          <w:color w:val="5A7D3A"/>
          <w:sz w:val="18"/>
        </w:rPr>
        <w:t>https://pubmed.ncbi.nlm.nih.gov/42879808/</w:t>
      </w:r>
    </w:p>
    <w:p>
      <w:pPr>
        <w:pStyle w:val="Heading1"/>
      </w:pPr>
      <w:r>
        <w:t>Aufgenommen am 20.10.2026</w:t>
      </w:r>
    </w:p>
    <w:p>
      <w:pPr>
        <w:pStyle w:val="Heading2"/>
      </w:pPr>
      <w:r>
        <w:t>Kosteneffektivität der RSV-mRNA-Impfung für Ältere in Italien</w:t>
      </w:r>
    </w:p>
    <w:p>
      <w:r>
        <w:rPr>
          <w:i/>
          <w:color w:val="666666"/>
          <w:sz w:val="18"/>
        </w:rPr>
        <w:t>Dronova M et al.  ·  J Med Econ  ·  19.10.2026  ·  PMID 42895511</w:t>
      </w:r>
    </w:p>
    <w:p>
      <w:r>
        <w:t>Health-Technology-Assessment mit Entscheidungsmodell zur RSV-Impfung (mRNA-1345, Einzeldosis) gegenüber Nichtimpfung bei Italienern ≥60 Jahren mit chronischen Erkrankungen und allen ≥75-Jährigen über 5 Jahre.</w:t>
      </w:r>
    </w:p>
    <w:p>
      <w:r>
        <w:rPr>
          <w:b/>
        </w:rPr>
        <w:t xml:space="preserve">Ergebnis: </w:t>
      </w:r>
      <w:r>
        <w:t>RSV-Impfung hätte über 5 Jahre 19.800 Krankenhauseinweisungen, 6.000 Todesfälle und 212.000 Antibiotikaverordnungen verhindert. Inkrementelle Kosten: 1.143 Mio. €, Gesundheitsgewinn: 47.477 QALYs, ICER 24.078 €/QALY (unterhalb der Kostenschwelle von 33.000–40.000 €/QALY). Ergebnis robust in Sensitivitätsanalysen.</w:t>
      </w:r>
    </w:p>
    <w:p>
      <w:r>
        <w:rPr>
          <w:b/>
          <w:sz w:val="19"/>
        </w:rPr>
        <w:t xml:space="preserve">Übertragbarkeit: </w:t>
      </w:r>
      <w:r>
        <w:rPr>
          <w:sz w:val="19"/>
        </w:rPr>
        <w:t>Italien, Sozialversicherungssystem, vergleichbar mit deutschem System.</w:t>
      </w:r>
    </w:p>
    <w:p>
      <w:r>
        <w:rPr>
          <w:color w:val="5A7D3A"/>
          <w:sz w:val="18"/>
        </w:rPr>
        <w:t>https://pubmed.ncbi.nlm.nih.gov/42895511/</w:t>
      </w:r>
    </w:p>
    <w:p>
      <w:pPr>
        <w:pStyle w:val="Heading2"/>
      </w:pPr>
      <w:r>
        <w:t>CAR-T-Kinetik und Tumormerkmale sagen Therapieerfolg bei B-Zell-Lymphomen voraus</w:t>
      </w:r>
    </w:p>
    <w:p>
      <w:r>
        <w:rPr>
          <w:i/>
          <w:color w:val="666666"/>
          <w:sz w:val="18"/>
        </w:rPr>
        <w:t>Schadt J et al.  ·  Front Immunol  ·  02.10.2026  ·  PMID 42890243</w:t>
      </w:r>
    </w:p>
    <w:p>
      <w:r>
        <w:t>Prospektive Studie mit 92 B-Zell-Patienten unter CAR-T-Therapie in Dresden; mechanistisches Modell der CAR-T- und Tumor-Interaktion zur Vorhersage von Rückfällen.</w:t>
      </w:r>
    </w:p>
    <w:p>
      <w:r>
        <w:rPr>
          <w:b/>
        </w:rPr>
        <w:t xml:space="preserve">Ergebnis: </w:t>
      </w:r>
      <w:r>
        <w:t>Vier Phasen der CAR-T-Kinetik identifiziert (Verteilung, Expansion, Kontraktion, Persistenz). Schwache Expansion oder tiefe Kontraktion sind Rückfallzeichen. Das Modell erklärt individuelle Kinetik, scheitert aber bei Outcome-Prognose mit einheitlichen Tumorparametern. Gleiche CAR-T-Dynamik kann aus unterschiedlichen Tumorfaktoren resultieren; Blutmarker wie LDH oder Ann-Arbor-Score helfen nicht zur Risikostratifizierung.</w:t>
      </w:r>
    </w:p>
    <w:p>
      <w:r>
        <w:rPr>
          <w:b/>
          <w:sz w:val="19"/>
        </w:rPr>
        <w:t xml:space="preserve">Übertragbarkeit: </w:t>
      </w:r>
      <w:r>
        <w:rPr>
          <w:sz w:val="19"/>
        </w:rPr>
        <w:t>Deutschland, einzelne Universitätsklinik, begrenzte Übertragbarkeit auf Routineversorgung.</w:t>
      </w:r>
    </w:p>
    <w:p>
      <w:r>
        <w:rPr>
          <w:color w:val="5A7D3A"/>
          <w:sz w:val="18"/>
        </w:rPr>
        <w:t>https://pubmed.ncbi.nlm.nih.gov/42890243/</w:t>
      </w:r>
    </w:p>
    <w:p>
      <w:pPr>
        <w:pStyle w:val="Heading2"/>
      </w:pPr>
      <w:r>
        <w:t>RSV-Impfeffektivität bei älteren Erwachsenen mit Immunsuppression: Dänische Praxisstudie</w:t>
      </w:r>
    </w:p>
    <w:p>
      <w:r>
        <w:rPr>
          <w:i/>
          <w:color w:val="666666"/>
          <w:sz w:val="18"/>
        </w:rPr>
        <w:t>Reimer Jensen AM et al.  ·  Lancet Healthy Longev  ·  06.10.2026  ·  PMID 42838078</w:t>
      </w:r>
    </w:p>
    <w:p>
      <w:r>
        <w:t>Pragmatische randomisierte Studie in Dänemark (November-Dezember 2024) zur Wirksamkeit einer RSV-Prefusion-F-Impfung bei Erwachsenen ≥60 Jahren mit und ohne Immunsuppression.</w:t>
      </w:r>
    </w:p>
    <w:p>
      <w:r>
        <w:rPr>
          <w:b/>
        </w:rPr>
        <w:t xml:space="preserve">Ergebnis: </w:t>
      </w:r>
      <w:r>
        <w:t>Bei 131.276 Teilnehmern zeigte sich insgesamt eine Impfeffektivität von 83,3% (95%-KI 42,9–96,9) gegen RSV-bedingte Krankenhauseinweisungen. Bei Immunsupprimierten (n=5.199) lag die Effektivität bei 60,5% (95%-KI -141,4–96,2), bei nicht Immunsupprimierten bei 92,3% (95%-KI 48,7–99,8); kein signifikanter Unterschied zwischen Gruppen (p=0,22). Immunsupprimierte hatten neunfach höhere Erkrankungsrate ohne Impfung (4,68 vs. 0,50 pro 1000 Personenjahre).</w:t>
      </w:r>
    </w:p>
    <w:p>
      <w:r>
        <w:rPr>
          <w:b/>
          <w:sz w:val="19"/>
        </w:rPr>
        <w:t xml:space="preserve">Übertragbarkeit: </w:t>
      </w:r>
      <w:r>
        <w:rPr>
          <w:sz w:val="19"/>
        </w:rPr>
        <w:t>Skandinavien, nationale Registerdaten, vergleichbare Struktur zu deutschen Krankenhauserfassungen.</w:t>
      </w:r>
    </w:p>
    <w:p>
      <w:r>
        <w:rPr>
          <w:color w:val="5A7D3A"/>
          <w:sz w:val="18"/>
        </w:rPr>
        <w:t>https://pubmed.ncbi.nlm.nih.gov/42838078/</w:t>
      </w:r>
    </w:p>
    <w:p>
      <w:pPr>
        <w:pStyle w:val="Heading2"/>
      </w:pPr>
      <w:r>
        <w:t>CAR-T vs. autologe Stammzelltransplantation bei Lymphom: deutsche Kostenstudie</w:t>
      </w:r>
    </w:p>
    <w:p>
      <w:r>
        <w:rPr>
          <w:i/>
          <w:color w:val="666666"/>
          <w:sz w:val="18"/>
        </w:rPr>
        <w:t>Froitzheim AC et al.  ·  J Cancer Res Clin Oncol  ·  30.09.2026  ·  PMID 42823558</w:t>
      </w:r>
    </w:p>
    <w:p>
      <w:r>
        <w:t>Zweistufige Analyse deutscher Krankenversicherungsdaten (2020–2023) und stationärer Aufnahmen zu Kosten und Nutzung von CAR-T vs. autologe Stammzelltransplantation bei DLBCL.</w:t>
      </w:r>
    </w:p>
    <w:p>
      <w:r>
        <w:rPr>
          <w:b/>
        </w:rPr>
        <w:t xml:space="preserve">Ergebnis: </w:t>
      </w:r>
      <w:r>
        <w:t>12 CAR-T vs. 59 autoSCT: Initiale Regime-Kosten 61.703 € (CAR-T) vs. 55.802 € (autoSCT); Folgekosten 44.832 € vs. 69.453 €. Stationär: durchschnittliche Verweildauer vergleichbar (27,3 vs. 27,8 Tage), CAR-T günstiger (13.991 € vs. 29.432 €). Unerwünschte Ereignisse: B-Zell-Aplasie/Neutropenie häufiger bei CAR-T (77% vs. 64%).</w:t>
      </w:r>
    </w:p>
    <w:p>
      <w:r>
        <w:rPr>
          <w:b/>
          <w:sz w:val="19"/>
        </w:rPr>
        <w:t xml:space="preserve">Übertragbarkeit: </w:t>
      </w:r>
      <w:r>
        <w:rPr>
          <w:sz w:val="19"/>
        </w:rPr>
        <w:t>Deutschland, Abrechnungsdaten Krankenkassen und DRG-Statistik, vollständig übertragbar.</w:t>
      </w:r>
    </w:p>
    <w:p>
      <w:r>
        <w:rPr>
          <w:color w:val="5A7D3A"/>
          <w:sz w:val="18"/>
        </w:rPr>
        <w:t>https://pubmed.ncbi.nlm.nih.gov/42823558/</w:t>
      </w:r>
    </w:p>
    <w:p>
      <w:pPr>
        <w:pStyle w:val="Heading2"/>
      </w:pPr>
      <w:r>
        <w:t>Deutsche Rheumatologen bewerten CAR-T und T-cell engager kritisch</w:t>
      </w:r>
    </w:p>
    <w:p>
      <w:r>
        <w:rPr>
          <w:i/>
          <w:color w:val="666666"/>
          <w:sz w:val="18"/>
        </w:rPr>
        <w:t>Meinecke A et al.  ·  Rheumatol Int  ·  26.09.2026  ·  PMID 42799770</w:t>
      </w:r>
    </w:p>
    <w:p>
      <w:r>
        <w:t>Web-basierte Befragung von 98 deutschen Rheumatologen (Median 43 Jahre, 46,3% universitär tätig) zu Wissen, Haltung und Barrieren gegenüber T-Zell-umgerichteten Therapien (TCRTs).</w:t>
      </w:r>
    </w:p>
    <w:p>
      <w:r>
        <w:rPr>
          <w:b/>
        </w:rPr>
        <w:t xml:space="preserve">Ergebnis: </w:t>
      </w:r>
      <w:r>
        <w:t>94,8% verweisen gerne an spezialisierte Zentren, halten aber nur 5% ihrer Patienten für geeignet (schwere, therapierefraktäre Bindegewebserkrankungen). Hauptbarrieren: hohe Kosten (82%), begrenzte klinische Erfahrung (65,5%), Anwendbarkeit auf wenige Patienten (35,4%). Sicherheitswissen gut, Selbsteinschätzung des TCRT-Wissens aber nur Median 4,86/10 Punkte.</w:t>
      </w:r>
    </w:p>
    <w:p>
      <w:r>
        <w:rPr>
          <w:b/>
          <w:sz w:val="19"/>
        </w:rPr>
        <w:t xml:space="preserve">Übertragbarkeit: </w:t>
      </w:r>
      <w:r>
        <w:rPr>
          <w:sz w:val="19"/>
        </w:rPr>
        <w:t>Deutschland, nationale Fachgesellschaft, direkt repräsentativ für deutsche Rheumatologie.</w:t>
      </w:r>
    </w:p>
    <w:p>
      <w:r>
        <w:rPr>
          <w:color w:val="5A7D3A"/>
          <w:sz w:val="18"/>
        </w:rPr>
        <w:t>https://pubmed.ncbi.nlm.nih.gov/42799770/</w:t>
      </w:r>
    </w:p>
    <w:p>
      <w:pPr>
        <w:pStyle w:val="Heading2"/>
      </w:pPr>
      <w:r>
        <w:t>Basale B-Zellzahl und IL-6 sagen Zytokinfreisetzungssyndrom nach CAR-T voraus</w:t>
      </w:r>
    </w:p>
    <w:p>
      <w:r>
        <w:rPr>
          <w:i/>
          <w:color w:val="666666"/>
          <w:sz w:val="18"/>
        </w:rPr>
        <w:t>Chan SCW et al.  ·  Lancet Rheumatol  ·  25.09.2026  ·  PMID 42790438</w:t>
      </w:r>
    </w:p>
    <w:p>
      <w:r>
        <w:t>Retrospektive Kohortenstudie an 6 deutschen und 1 chinesischen Zentrum mit 108 Autoimmunpatienten unter autologer CAR-T-Therapie (CD19-Zielzellen); Identifikation von Biomarkern für Cytokine-Release-Syndrome (CRS).</w:t>
      </w:r>
    </w:p>
    <w:p>
      <w:r>
        <w:rPr>
          <w:b/>
        </w:rPr>
        <w:t xml:space="preserve">Ergebnis: </w:t>
      </w:r>
      <w:r>
        <w:t>80% (86/108) entwickelten CRS (66% Grad 1, 13% Grad 2, 1% Grad 3). CRS-Patienten hatten signifikant höhere Ausgangs-B-Zellzahlen (43 vs. 6 Zellen/μL, p=0,0002), IL-6 (10 vs. 3 pg/ml, p=0,0003) und CRP (5 vs. 3 mg/L, p=0,042). Multivariates Modell: B-Zellzahl (OR 1,31, 95%-KI 1,06–1,67, p=0,012) und IL-6 (OR 2,28, 95%-KI 1,30–4,65, p=0,0001) prädiktorisch.</w:t>
      </w:r>
    </w:p>
    <w:p>
      <w:r>
        <w:rPr>
          <w:b/>
          <w:sz w:val="19"/>
        </w:rPr>
        <w:t xml:space="preserve">Übertragbarkeit: </w:t>
      </w:r>
      <w:r>
        <w:rPr>
          <w:sz w:val="19"/>
        </w:rPr>
        <w:t>Deutschland, Multizenterstudie, direkt übertragbar auf deutsche CAR-T-Praxis.</w:t>
      </w:r>
    </w:p>
    <w:p>
      <w:r>
        <w:rPr>
          <w:color w:val="5A7D3A"/>
          <w:sz w:val="18"/>
        </w:rPr>
        <w:t>https://pubmed.ncbi.nlm.nih.gov/42790438/</w:t>
      </w:r>
    </w:p>
    <w:p>
      <w:pPr>
        <w:pStyle w:val="Heading1"/>
      </w:pPr>
      <w:r>
        <w:t>Aufgenommen am 19.10.2026</w:t>
      </w:r>
    </w:p>
    <w:p>
      <w:pPr>
        <w:pStyle w:val="Heading2"/>
      </w:pPr>
      <w:r>
        <w:t>Tetanus-Antikörper bei Tumorkindern nach Chemotherapie: Impfung erforderlich</w:t>
      </w:r>
    </w:p>
    <w:p>
      <w:r>
        <w:rPr>
          <w:i/>
          <w:color w:val="666666"/>
          <w:sz w:val="18"/>
        </w:rPr>
        <w:t>Xu YY et al.  ·  Zhonghua Yu Fang Yi Xue Za Zhi  ·  06.10.2026  ·  PMID 42893916</w:t>
      </w:r>
    </w:p>
    <w:p>
      <w:r>
        <w:t>Vergleich der Tetanus-IgG-Antikörperspiegel bei 293 Kindern mit Blutkrebs vor und einen Monat nach Chemotherapie sowie in 293 altersgleichen gesunden Kontrollkindern aus Zhejiang, China.</w:t>
      </w:r>
    </w:p>
    <w:p>
      <w:r>
        <w:rPr>
          <w:b/>
        </w:rPr>
        <w:t xml:space="preserve">Ergebnis: </w:t>
      </w:r>
      <w:r>
        <w:t>Tetanus-IgG-Antikörper nach Chemotherapie sanken signifikant: Seropositiv-Rate von 84,64% (vor Therapie) auf 70,99% (nach Therapie, p&lt;0,001); geometrischer Mittelwert fiel von 1,22±0,17 auf 0,73±0,11 IU/ml (p&lt;0,001). Nach Chemotherapie lagen beide Parameter unter denen der gesunden Kontrollen (84,98% positiv; GMC 1,06±0,06 IU/ml). Schlussfolgerung: Impfung gegen Tetanus ist nach Chemotherapie notwendig.</w:t>
      </w:r>
    </w:p>
    <w:p>
      <w:r>
        <w:rPr>
          <w:b/>
          <w:sz w:val="19"/>
        </w:rPr>
        <w:t xml:space="preserve">Übertragbarkeit: </w:t>
      </w:r>
      <w:r>
        <w:rPr>
          <w:sz w:val="19"/>
        </w:rPr>
        <w:t>China, Pädiatrie-Kohorte; Befund zur Impfindikation bei immunsupprimierten Kindern universal übertragbar.</w:t>
      </w:r>
    </w:p>
    <w:p>
      <w:r>
        <w:rPr>
          <w:color w:val="5A7D3A"/>
          <w:sz w:val="18"/>
        </w:rPr>
        <w:t>https://pubmed.ncbi.nlm.nih.gov/42893916/</w:t>
      </w:r>
    </w:p>
    <w:p>
      <w:pPr>
        <w:pStyle w:val="Heading2"/>
      </w:pPr>
      <w:r>
        <w:t>RSV-Impfung in Schwangerschaft: Impfquote in Sydney stieg von 4 auf 70–74 Prozent in acht Monaten</w:t>
      </w:r>
    </w:p>
    <w:p>
      <w:r>
        <w:rPr>
          <w:i/>
          <w:color w:val="666666"/>
          <w:sz w:val="18"/>
        </w:rPr>
        <w:t>Townshend I et al.  ·  Public Health Res Pract  ·  10.12.2026  ·  PMID 42893694</w:t>
      </w:r>
    </w:p>
    <w:p>
      <w:r>
        <w:t>Beschreibung der Implementierung der RSV-Impfung für Schwangere und des monoklonalen Antikörpers Nirsevimab für Neugeborene in zwei Krankenhäusern der Sydney Local Health District mit Tracking der Impfquoten und dokumentierten Lektionen.</w:t>
      </w:r>
    </w:p>
    <w:p>
      <w:r>
        <w:rPr>
          <w:b/>
        </w:rPr>
        <w:t xml:space="preserve">Ergebnis: </w:t>
      </w:r>
      <w:r>
        <w:t>RSV-Impfquote bei gebärenden Frauen stieg von 4% im Februar 2025 auf 70–74% von Juni bis September 2025. Mit steigender Impfquote bei Müttern sank die Zahl der Neugeborenen, die Nirsevimab benötigten. Von anspruchsberechtigten Neugeborenen lehnten 36% Nirsevimab ab; Ablehnungsgründe wurden nicht dokumentiert. Kritische Erfolgsfaktoren: multidisziplinäre Führung, Nutzung bestehender Schulungsstrukturen und Integration in Dokumentationsabläufe.</w:t>
      </w:r>
    </w:p>
    <w:p>
      <w:r>
        <w:rPr>
          <w:b/>
          <w:sz w:val="19"/>
        </w:rPr>
        <w:t xml:space="preserve">Übertragbarkeit: </w:t>
      </w:r>
      <w:r>
        <w:rPr>
          <w:sz w:val="19"/>
        </w:rPr>
        <w:t>Australien, direkter Transfer auf föderale Rollout-Strukturen begrenzt; Implementierungslektionen für europäische Systeme relevant.</w:t>
      </w:r>
    </w:p>
    <w:p>
      <w:r>
        <w:rPr>
          <w:color w:val="5A7D3A"/>
          <w:sz w:val="18"/>
        </w:rPr>
        <w:t>https://pubmed.ncbi.nlm.nih.gov/42893694/</w:t>
      </w:r>
    </w:p>
    <w:p>
      <w:pPr>
        <w:pStyle w:val="Heading2"/>
      </w:pPr>
      <w:r>
        <w:t>Impfschulung für Gesundheitshelfer erhöht Wissen, nicht Impfbereitschaft</w:t>
      </w:r>
    </w:p>
    <w:p>
      <w:r>
        <w:rPr>
          <w:i/>
          <w:color w:val="666666"/>
          <w:sz w:val="18"/>
        </w:rPr>
        <w:t>Bostan YE  ·  J Eval Clin Pract  ·  Okt. 2026  ·  PMID 42893536</w:t>
      </w:r>
    </w:p>
    <w:p>
      <w:r>
        <w:t>Evaluierung eines vierstündigen Impfschulungsprogramms für 272 türkische Gesundheitshelfer mit Messung von Impfwissen und Vaccine Hesitancy vor und nach dem Training.</w:t>
      </w:r>
    </w:p>
    <w:p>
      <w:r>
        <w:rPr>
          <w:b/>
        </w:rPr>
        <w:t xml:space="preserve">Ergebnis: </w:t>
      </w:r>
      <w:r>
        <w:t>Impfwissen stieg erheblich von 6,77 auf 8,76 von 10 Punkten (dz=1,34, p&lt;0,001); 84,9% der Teilnehmer verbesserten ihre Punktzahl. Vaccine Hesitancy sank statistisch signifikant, aber praktisch unbedeutend um 0,90 Punkte (dz=-0,13, p=0,033), entsprechend nur 1,9% der Skalaspanne; 51,4% zeigten niedrigere, 36,3% höhere Werte nach Training.</w:t>
      </w:r>
    </w:p>
    <w:p>
      <w:r>
        <w:rPr>
          <w:b/>
          <w:sz w:val="19"/>
        </w:rPr>
        <w:t xml:space="preserve">Übertragbarkeit: </w:t>
      </w:r>
      <w:r>
        <w:rPr>
          <w:sz w:val="19"/>
        </w:rPr>
        <w:t>Türkei, ähnliche Herausforderungen bei Vaccine Hesitancy; Design ohne Kontrollgruppe begrenzt Kausalitätsaussagen.</w:t>
      </w:r>
    </w:p>
    <w:p>
      <w:r>
        <w:rPr>
          <w:color w:val="5A7D3A"/>
          <w:sz w:val="18"/>
        </w:rPr>
        <w:t>https://pubmed.ncbi.nlm.nih.gov/42893536/</w:t>
      </w:r>
    </w:p>
    <w:p>
      <w:pPr>
        <w:pStyle w:val="Heading2"/>
      </w:pPr>
      <w:r>
        <w:t>RSV-Impfung in der Schwangerschaft: Laufendes Evidenz-Update geplant</w:t>
      </w:r>
    </w:p>
    <w:p>
      <w:r>
        <w:rPr>
          <w:i/>
          <w:color w:val="666666"/>
          <w:sz w:val="18"/>
        </w:rPr>
        <w:t>Mazzoni A et al.  ·  JMIR Res Protoc  ·  15.10.2026  ·  PMID 42893392</w:t>
      </w:r>
    </w:p>
    <w:p>
      <w:r>
        <w:t>Protokoll für eine kontinuierlich aktualisierte systematische Übersicht und Metaanalyse zur Wirksamkeit, Effektivität und Immunogenität der RSV-PreF-Impfung bei schwangeren Frauen, mit Fokus auf postmarkt-Daten aus der Versorgung.</w:t>
      </w:r>
    </w:p>
    <w:p>
      <w:r>
        <w:rPr>
          <w:b/>
        </w:rPr>
        <w:t xml:space="preserve">Ergebnis: </w:t>
      </w:r>
      <w:r>
        <w:t>Stand Januar 2026: 837 Publikationen gescreent, 105 (12,5%) im Volltext bewertet, 12 (1,4%) erfüllten Einschlusskriterien, 10 (1,2%) lieferten verwertbare Daten. Suche läuft bis mindestens April 2028 mit monatlichen Updates. Erste Effektivitätsschätzungen verfügbar voraussichtlich Juli 2026. Interaktives Dashboard für Echtzeit-Datenzugang geplant.</w:t>
      </w:r>
    </w:p>
    <w:p>
      <w:r>
        <w:rPr>
          <w:b/>
          <w:sz w:val="19"/>
        </w:rPr>
        <w:t xml:space="preserve">Übertragbarkeit: </w:t>
      </w:r>
      <w:r>
        <w:rPr>
          <w:sz w:val="19"/>
        </w:rPr>
        <w:t>Internationale Zusammensetzung (Argentinien, USA, Tulane); Ergebnisse gelten für alle Länder mit RSV-Impfprogrammen.</w:t>
      </w:r>
    </w:p>
    <w:p>
      <w:r>
        <w:rPr>
          <w:color w:val="5A7D3A"/>
          <w:sz w:val="18"/>
        </w:rPr>
        <w:t>https://pubmed.ncbi.nlm.nih.gov/42893392/</w:t>
      </w:r>
    </w:p>
    <w:p>
      <w:pPr>
        <w:pStyle w:val="Heading2"/>
      </w:pPr>
      <w:r>
        <w:t>Atemwegsimpfungen für Erwachsene: Kosten-Nutzen-Analyse mit 11:1 Rendite</w:t>
      </w:r>
    </w:p>
    <w:p>
      <w:r>
        <w:rPr>
          <w:i/>
          <w:color w:val="666666"/>
          <w:sz w:val="18"/>
        </w:rPr>
        <w:t>Napier M et al.  ·  Expert Rev Vaccines  ·  17.10.2026  ·  PMID 42892738</w:t>
      </w:r>
    </w:p>
    <w:p>
      <w:r>
        <w:t>Benefit-Cost-Analyse der Impfungen gegen Pneumokokken, RSV, Influenza und COVID-19 bei Erwachsenen in Australien über zehn Jahre aus gesamtgesellschaftlicher Perspektive.</w:t>
      </w:r>
    </w:p>
    <w:p>
      <w:r>
        <w:rPr>
          <w:b/>
        </w:rPr>
        <w:t xml:space="preserve">Ergebnis: </w:t>
      </w:r>
      <w:r>
        <w:t>Impfprogramme generierten einen Nutzen-Kosten-Verhältnis von 11,24:1 (mit Lebenswertwertschätzung) bzw. 5,69:1 (mit Lebensjahreswert), verhinderten 234.187 Hospitalisierungen und 13.890 Todesfälle, mit Nettonutzen von 64,97 Mrd. oder 29,76 Mrd. australischen Dollar.</w:t>
      </w:r>
    </w:p>
    <w:p>
      <w:r>
        <w:rPr>
          <w:b/>
          <w:sz w:val="19"/>
        </w:rPr>
        <w:t xml:space="preserve">Übertragbarkeit: </w:t>
      </w:r>
      <w:r>
        <w:rPr>
          <w:sz w:val="19"/>
        </w:rPr>
        <w:t>Australien, vergleichbares Sozialversicherungssystem; Methodik auf DACH übertragbar.</w:t>
      </w:r>
    </w:p>
    <w:p>
      <w:r>
        <w:rPr>
          <w:color w:val="5A7D3A"/>
          <w:sz w:val="18"/>
        </w:rPr>
        <w:t>https://pubmed.ncbi.nlm.nih.gov/42892738/</w:t>
      </w:r>
    </w:p>
    <w:p>
      <w:pPr>
        <w:pStyle w:val="Heading2"/>
      </w:pPr>
      <w:r>
        <w:t>Typhus-Impfschutz hängt von CD8+-T-Zell-Profilen ab, nicht nur von deren Menge</w:t>
      </w:r>
    </w:p>
    <w:p>
      <w:r>
        <w:rPr>
          <w:i/>
          <w:color w:val="666666"/>
          <w:sz w:val="18"/>
        </w:rPr>
        <w:t>Booth JS et al.  ·  Front Cell Infect Microbiol  ·  02.10.2026  ·  PMID 42890021</w:t>
      </w:r>
    </w:p>
    <w:p>
      <w:r>
        <w:t>Untersuchung von CD8+-T-Zell-Mustern bei 53 Probanden nach Ty21a-Impfung und kontrolierter Exposition gegenüber virulenten Typhi-Bakterien mittels hochdimensionaler Durchflusszytometrie.</w:t>
      </w:r>
    </w:p>
    <w:p>
      <w:r>
        <w:rPr>
          <w:b/>
        </w:rPr>
        <w:t xml:space="preserve">Ergebnis: </w:t>
      </w:r>
      <w:r>
        <w:t>Probanden ohne Typhuserkrankung (NoTD) zeigten distinct multifunktionale, schutzassoziierte CD8+-T-Zell-Programme, während erkrankte Probanden (TD) divergente, anfälligkeitsassoziierte Muster aufwiesen. NoTD-CD8+-T-Zellen waren angereichert mit CXCR3, IL-17A, TNFα und MIP1b; TD-Zellen zeigten CCR6- und α4β7-Bias. Schutz und Anfälligkeit verteilten sich über mehrere CD8+-T-Zell-Subtypen, nicht auf einzelne.</w:t>
      </w:r>
    </w:p>
    <w:p>
      <w:r>
        <w:rPr>
          <w:b/>
          <w:sz w:val="19"/>
        </w:rPr>
        <w:t xml:space="preserve">Übertragbarkeit: </w:t>
      </w:r>
      <w:r>
        <w:rPr>
          <w:sz w:val="19"/>
        </w:rPr>
        <w:t>UK/USA-Studie; Mechanismen gelten universell, Übertragbarkeit auf Impfqualitätskontrolle hoch.</w:t>
      </w:r>
    </w:p>
    <w:p>
      <w:r>
        <w:rPr>
          <w:color w:val="5A7D3A"/>
          <w:sz w:val="18"/>
        </w:rPr>
        <w:t>https://pubmed.ncbi.nlm.nih.gov/42890021/</w:t>
      </w:r>
    </w:p>
    <w:p>
      <w:pPr>
        <w:pStyle w:val="Heading1"/>
      </w:pPr>
      <w:r>
        <w:t>Aufgenommen am 18.10.2026</w:t>
      </w:r>
    </w:p>
    <w:p>
      <w:pPr>
        <w:pStyle w:val="Heading2"/>
      </w:pPr>
      <w:r>
        <w:t>Impfeffektivität im Feld: Biologisches Monitoring statt nur Verwaltungsquoten</w:t>
      </w:r>
    </w:p>
    <w:p>
      <w:r>
        <w:rPr>
          <w:i/>
          <w:color w:val="666666"/>
          <w:sz w:val="18"/>
        </w:rPr>
        <w:t>Adedeji AA et al.  ·  Front Public Health  ·  02.10.2026  ·  PMID 42890904</w:t>
      </w:r>
    </w:p>
    <w:p>
      <w:r>
        <w:t>Konzeptioneller Rahmen für Population-Level Immunologic Monitoring (PLIM) in Ruanda und Ostafrika, um Impfwirksamkeit auf Bevölkerungsebene in Echtzeit zu erfassen – nicht nur Verwaltungsdaten.</w:t>
      </w:r>
    </w:p>
    <w:p>
      <w:r>
        <w:rPr>
          <w:b/>
        </w:rPr>
        <w:t xml:space="preserve">Ergebnis: </w:t>
      </w:r>
      <w:r>
        <w:t>PLIM-Modell integriert drei Säulen: biologische Sentinel-Überwachung (Trockenblutkarten mit ELISA und T-Zell-Aktivierungsassays), Risiko-Stratifizierung und digitales Feedback über DHIS2. Population Immunologic Threshold (PIT) als Komposit-Metrik verbindet individuelle Schutzkorrelate mit Herdenimmunitätsschwellwerten. Modell adressiert ‚biologische Kaltflecken' vor Ausbrüchen; erfordert noch Validierungsstudien vor Implementierung.</w:t>
      </w:r>
    </w:p>
    <w:p>
      <w:r>
        <w:rPr>
          <w:b/>
          <w:sz w:val="19"/>
        </w:rPr>
        <w:t xml:space="preserve">Übertragbarkeit: </w:t>
      </w:r>
      <w:r>
        <w:rPr>
          <w:sz w:val="19"/>
        </w:rPr>
        <w:t>Rwanda-Pilotstudie geplant, auf SSA übertragbar; für Deutschland weniger relevant ohne ähnliche Impfregister-Infrastruktur.</w:t>
      </w:r>
    </w:p>
    <w:p>
      <w:r>
        <w:rPr>
          <w:color w:val="5A7D3A"/>
          <w:sz w:val="18"/>
        </w:rPr>
        <w:t>https://pubmed.ncbi.nlm.nih.gov/42890904/</w:t>
      </w:r>
    </w:p>
    <w:p>
      <w:pPr>
        <w:pStyle w:val="Heading2"/>
      </w:pPr>
      <w:r>
        <w:t>HPV-Impfquoten bei Menschen mit Behinderungen: Barrieren und Ungleichheit</w:t>
      </w:r>
    </w:p>
    <w:p>
      <w:r>
        <w:rPr>
          <w:i/>
          <w:color w:val="666666"/>
          <w:sz w:val="18"/>
        </w:rPr>
        <w:t>Walmsley S et al.  ·  Hum Vaccin Immunother  ·  16.10.2026  ·  PMID 42886011</w:t>
      </w:r>
    </w:p>
    <w:p>
      <w:r>
        <w:t>Scoping Review zur HPV-Impfabdeckung und Zugangsbarrieren für Menschen mit Behinderungen in 33 Studien aus Hocheinkommensländern (2006–2025).</w:t>
      </w:r>
    </w:p>
    <w:p>
      <w:r>
        <w:rPr>
          <w:b/>
        </w:rPr>
        <w:t xml:space="preserve">Ergebnis: </w:t>
      </w:r>
      <w:r>
        <w:t>Konsistente Ungleichheiten in der HPV-Impfquote für Menschen mit Behinderungen dokumentiert. Hauptbarrieren: falsche Annahmen über Sexualverhalten (unvollständig quantifiziert), fehlende Impfempfehlungen von Fachpersonen in klinischen Settings (65 % der Studien berichten dies), Mangel an Personalschulung. Erhebliche Forschungslücken für Menschen mit körperlichen, psychosozialen, Seh- oder Hörstörungen; keine Populationsdaten aus Niedrig-/Mitteleinkommen-Ländern verfügbar.</w:t>
      </w:r>
    </w:p>
    <w:p>
      <w:r>
        <w:rPr>
          <w:b/>
          <w:sz w:val="19"/>
        </w:rPr>
        <w:t xml:space="preserve">Übertragbarkeit: </w:t>
      </w:r>
      <w:r>
        <w:rPr>
          <w:sz w:val="19"/>
        </w:rPr>
        <w:t>Australische und europäische Systeme, aber Barrieren (Fachpersonal, Settings) sind auch in Deutschland relevant.</w:t>
      </w:r>
    </w:p>
    <w:p>
      <w:r>
        <w:rPr>
          <w:color w:val="5A7D3A"/>
          <w:sz w:val="18"/>
        </w:rPr>
        <w:t>https://pubmed.ncbi.nlm.nih.gov/42886011/</w:t>
      </w:r>
    </w:p>
    <w:p>
      <w:pPr>
        <w:pStyle w:val="Heading2"/>
      </w:pPr>
      <w:r>
        <w:t>SARS-CoV-2-Impfschutz in der Bevölkerung: Serologische Querschnittmessung vor Omicron</w:t>
      </w:r>
    </w:p>
    <w:p>
      <w:r>
        <w:rPr>
          <w:i/>
          <w:color w:val="666666"/>
          <w:sz w:val="18"/>
        </w:rPr>
        <w:t>Yang Y et al.  ·  PLoS One  ·  15.10.2026  ·  PMID 42879418</w:t>
      </w:r>
    </w:p>
    <w:p>
      <w:r>
        <w:t>Längsschnittstudie bei 156 Serumproben von 117 Teilnehmern (HIVE-Kohorte) mit Multiplex-Elektrochemilumineszenz (ECL), ACE2-Hemmungsassays und Pseudoviral-Neutralisationstests für Varianten-spezifische IgG (Juli–Dezember 2021).</w:t>
      </w:r>
    </w:p>
    <w:p>
      <w:r>
        <w:rPr>
          <w:b/>
        </w:rPr>
        <w:t xml:space="preserve">Ergebnis: </w:t>
      </w:r>
      <w:r>
        <w:t>Hohe Korrelationen zwischen ECL, ACE2 und PN (0,81–0,95). ROC-Analysen: ECL IgG diskriminiert Impfstatus (AUC 0,84–0,88, Sensitivität 0,88–0,91, Spezifität 0,87–0,88); ACE2 variabler (AUC 0,53–0,96). IgG-Konzentrationen stiegen mit Alter, plateau in frühem Erwachsenenalter; präzise Schätzungen für junge Altersgruppen wegen kleiner Stichproben begrenzt.</w:t>
      </w:r>
    </w:p>
    <w:p>
      <w:r>
        <w:rPr>
          <w:b/>
          <w:sz w:val="19"/>
        </w:rPr>
        <w:t xml:space="preserve">Übertragbarkeit: </w:t>
      </w:r>
      <w:r>
        <w:rPr>
          <w:sz w:val="19"/>
        </w:rPr>
        <w:t>USA-Kohorte; Serologie-Methodik auf Deutschland übertragbar, aber Bevölkerungsdaten kontextabhängig.</w:t>
      </w:r>
    </w:p>
    <w:p>
      <w:r>
        <w:rPr>
          <w:color w:val="5A7D3A"/>
          <w:sz w:val="18"/>
        </w:rPr>
        <w:t>https://pubmed.ncbi.nlm.nih.gov/42879418/</w:t>
      </w:r>
    </w:p>
    <w:p>
      <w:pPr>
        <w:pStyle w:val="Heading2"/>
      </w:pPr>
      <w:r>
        <w:t>CAR-T-Persistenz vorhersagt Ansprechen auf Salvage-Bestrahlung bei lymphomrezidiv</w:t>
      </w:r>
    </w:p>
    <w:p>
      <w:r>
        <w:rPr>
          <w:i/>
          <w:color w:val="666666"/>
          <w:sz w:val="18"/>
        </w:rPr>
        <w:t>Fan J et al.  ·  Acta Oncol  ·  17.09.2026  ·  PMID 42752612</w:t>
      </w:r>
    </w:p>
    <w:p>
      <w:r>
        <w:t>Retrospektive Analyse von 13 DLBCL-Patienten (18 Läsionen), die nach CAR-T-Therapie rezidiviert und eine Salvage-Bestrahlung erhielten, mit CAR-Transgene-Verfolgung.</w:t>
      </w:r>
    </w:p>
    <w:p>
      <w:r>
        <w:rPr>
          <w:b/>
        </w:rPr>
        <w:t xml:space="preserve">Ergebnis: </w:t>
      </w:r>
      <w:r>
        <w:t>Lokales Ansprechrate 83 % (15/18 Läsionen). CAR-Transgene-Muster bei Rezidiv: erhöht (n=4), persistierend &gt;6 Monate (n=4), abnehmend (n=5). Lokales Ansprechrate 100 % bzw. 100 % vs. 57 %; 12-Monats-Kontrolle 83 %, 100 %, 14 %; 12-Monats-Gesamtüberleben 100 %, 100 %, 20 %. Toxizität Grad ≤2. Autoren betonen hypothesengenerierendes Design, Validierung in größeren Kohorten erforderlich.</w:t>
      </w:r>
    </w:p>
    <w:p>
      <w:r>
        <w:rPr>
          <w:b/>
          <w:sz w:val="19"/>
        </w:rPr>
        <w:t xml:space="preserve">Übertragbarkeit: </w:t>
      </w:r>
      <w:r>
        <w:rPr>
          <w:sz w:val="19"/>
        </w:rPr>
        <w:t>Deutsche Klinikdaten (Köln), vergleichbares Universitätssystem.</w:t>
      </w:r>
    </w:p>
    <w:p>
      <w:r>
        <w:rPr>
          <w:color w:val="5A7D3A"/>
          <w:sz w:val="18"/>
        </w:rPr>
        <w:t>https://pubmed.ncbi.nlm.nih.gov/42752612/</w:t>
      </w:r>
    </w:p>
    <w:p>
      <w:pPr>
        <w:pStyle w:val="Heading2"/>
      </w:pPr>
      <w:r>
        <w:t>CD19-CAR-T-Therapie bei therapierefraktärer rheumatoider Arthritis: klinische Machbarkeit</w:t>
      </w:r>
    </w:p>
    <w:p>
      <w:r>
        <w:rPr>
          <w:i/>
          <w:color w:val="666666"/>
          <w:sz w:val="18"/>
        </w:rPr>
        <w:t>Albach FN et al.  ·  Nat Med  ·  27.08.2026  ·  PMID 42661098</w:t>
      </w:r>
    </w:p>
    <w:p>
      <w:r>
        <w:t>Phase-1-Studie zur Sicherheit und Wirksamkeit der autologen CD19-CAR-T-Zelltherapie (mivocabtagene autoleucel) bei 6 Patienten mit schwerer, therapieresistenter anti-CCP-positiver rheumatoider Arthritis.</w:t>
      </w:r>
    </w:p>
    <w:p>
      <w:r>
        <w:rPr>
          <w:b/>
        </w:rPr>
        <w:t xml:space="preserve">Ergebnis: </w:t>
      </w:r>
      <w:r>
        <w:t>Zytokerin-Freisetzungssyndrom (CRS) bei allen 6 Patienten, begrenzt auf Grad 1–2; kein ICANS oder schwere Nebenwirkungen außer einer Grad-3-Transaminase-Elevation (resolviert). Klinisch: Krankheitsaktivität bei allen Patienten verbessert (medianer DAS28-CRP-Rückgang 34 %), ACR-70-Response bei 3/6, Autoantikörper-Serokonversion bei 4–5/6. Arzneimittel-induzierte B-Zell-Depletion mit Persistenz.</w:t>
      </w:r>
    </w:p>
    <w:p>
      <w:r>
        <w:rPr>
          <w:b/>
          <w:sz w:val="19"/>
        </w:rPr>
        <w:t xml:space="preserve">Übertragbarkeit: </w:t>
      </w:r>
      <w:r>
        <w:rPr>
          <w:sz w:val="19"/>
        </w:rPr>
        <w:t>Deutsches Zentrum-Setting (Charité Berlin), deutsche Patienten, Sozialversicherungssystem vergleichbar.</w:t>
      </w:r>
    </w:p>
    <w:p>
      <w:r>
        <w:rPr>
          <w:color w:val="5A7D3A"/>
          <w:sz w:val="18"/>
        </w:rPr>
        <w:t>https://pubmed.ncbi.nlm.nih.gov/42661098/</w:t>
      </w:r>
    </w:p>
    <w:p>
      <w:pPr>
        <w:pStyle w:val="Heading2"/>
      </w:pPr>
      <w:r>
        <w:t>HPV-L2-Vakzine: Schutzwirkung unter Alltagsbedingungen hängt von Prior-Exposition ab</w:t>
      </w:r>
    </w:p>
    <w:p>
      <w:r>
        <w:rPr>
          <w:i/>
          <w:color w:val="666666"/>
          <w:sz w:val="18"/>
        </w:rPr>
        <w:t>Alvarez J et al.  ·  J Virol  ·  22.09.2026  ·  PMID 42627231</w:t>
      </w:r>
    </w:p>
    <w:p>
      <w:r>
        <w:t>Phase-1-Studie bei 20 gesunden Probanden mit AAVLP-HPV-Vakzine (20 μg) zur Immunogenität und Schutzübertragung gegen multiple HPV-Genotypen.</w:t>
      </w:r>
    </w:p>
    <w:p>
      <w:r>
        <w:rPr>
          <w:b/>
        </w:rPr>
        <w:t xml:space="preserve">Ergebnis: </w:t>
      </w:r>
      <w:r>
        <w:t>AAVLP-HPV gut verträglich, induzierte modest L2-spezifische Antikörper, die in-vitro HPV16, HPV31, HPV5 neutralisierten. Nach passivem Serumtransfer in Mäuse: Schutz gegen HPV16, HPV31, HPV5, nicht HPV76. HPV-naive Probanden benötigten 3 Dosen für Schutz, vorher exponierte 2 Dosen mit höheren Titern. Prior-AAV2-Exposition verminderte L2-Neutralisations-Antikörper und Schutz deutlich (Original-Antigenic-Sin-Effekt).</w:t>
      </w:r>
    </w:p>
    <w:p>
      <w:r>
        <w:rPr>
          <w:b/>
          <w:sz w:val="19"/>
        </w:rPr>
        <w:t xml:space="preserve">Übertragbarkeit: </w:t>
      </w:r>
      <w:r>
        <w:rPr>
          <w:sz w:val="19"/>
        </w:rPr>
        <w:t>USA-Studie, Sicherheit transferierbar; Prior-Exposition-Effekte auch in Deutschland relevant.</w:t>
      </w:r>
    </w:p>
    <w:p>
      <w:r>
        <w:rPr>
          <w:color w:val="5A7D3A"/>
          <w:sz w:val="18"/>
        </w:rPr>
        <w:t>https://pubmed.ncbi.nlm.nih.gov/42627231/</w:t>
      </w:r>
    </w:p>
    <w:p>
      <w:pPr>
        <w:pStyle w:val="Heading1"/>
      </w:pPr>
      <w:r>
        <w:t>Aufgenommen am 17.10.2026</w:t>
      </w:r>
    </w:p>
    <w:p>
      <w:pPr>
        <w:pStyle w:val="Heading2"/>
      </w:pPr>
      <w:r>
        <w:t>HPV-Impfung: Wissenlücken bei Eltern und fehlende Empfehlungsrate bei Ärzten</w:t>
      </w:r>
    </w:p>
    <w:p>
      <w:r>
        <w:rPr>
          <w:i/>
          <w:color w:val="666666"/>
          <w:sz w:val="18"/>
        </w:rPr>
        <w:t>Schmid-Küpke NK et al.  ·  Euro Surveill  ·  Okt. 2026  ·  PMID 42885489</w:t>
      </w:r>
    </w:p>
    <w:p>
      <w:r>
        <w:t>Telefonische Befragung von 1.508 Eltern und 503 Kinderärzten in Deutschland (Herbst 2023) zur HPV-Impfbereitschaft, Wissenslücken und Beratungspraxis.</w:t>
      </w:r>
    </w:p>
    <w:p>
      <w:r>
        <w:rPr>
          <w:b/>
        </w:rPr>
        <w:t xml:space="preserve">Ergebnis: </w:t>
      </w:r>
      <w:r>
        <w:t>Nur 34,5 % der Kinder waren bereits HPV-geimpft; 35,2 % der Eltern waren Vaccine Hesitant, 5,6 % lehnten ab. Obwohl 97 % der Ärzte angaben, die Impfung zu empfehlen, erinnerten sich nur 43,7 % der Eltern an eine Empfehlung. Eltern unterschätzten die Krebsprävention durch alternative Maßnahmen und unterschätzten das HPV-Infektionsrisiko. Ärztliche Empfehlungen waren der stärkste Einflussfaktor auf Impfentscheidungen.</w:t>
      </w:r>
    </w:p>
    <w:p>
      <w:r>
        <w:rPr>
          <w:b/>
          <w:sz w:val="19"/>
        </w:rPr>
        <w:t xml:space="preserve">Übertragbarkeit: </w:t>
      </w:r>
      <w:r>
        <w:rPr>
          <w:sz w:val="19"/>
        </w:rPr>
        <w:t>Deutschland, repräsentative Stichprobe, vergleichbare Impfkalender-Strukturen</w:t>
      </w:r>
    </w:p>
    <w:p>
      <w:r>
        <w:rPr>
          <w:color w:val="5A7D3A"/>
          <w:sz w:val="18"/>
        </w:rPr>
        <w:t>https://pubmed.ncbi.nlm.nih.gov/42885489/</w:t>
      </w:r>
    </w:p>
    <w:p>
      <w:pPr>
        <w:pStyle w:val="Heading2"/>
      </w:pPr>
      <w:r>
        <w:t>COVID-19 bei Erwachsenen mit intellektueller Behinderung: höhere Sterblichkeit trotz gleicher Impfquoten</w:t>
      </w:r>
    </w:p>
    <w:p>
      <w:r>
        <w:rPr>
          <w:i/>
          <w:color w:val="666666"/>
          <w:sz w:val="18"/>
        </w:rPr>
        <w:t>Sandberg M et al.  ·  BMC Public Health  ·  15.10.2026  ·  PMID 42881375</w:t>
      </w:r>
    </w:p>
    <w:p>
      <w:r>
        <w:t>Register-basierte Kohortenstudie in Schweden (2020–2021): Vergleich von COVID-19-Diagnosen, Hospitalisierungen und Todesfällen zwischen 14.046 Personen mit intellektueller Behinderung (ID) und 1.157.138 Allgemeinbevölkerung.</w:t>
      </w:r>
    </w:p>
    <w:p>
      <w:r>
        <w:rPr>
          <w:b/>
        </w:rPr>
        <w:t xml:space="preserve">Ergebnis: </w:t>
      </w:r>
      <w:r>
        <w:t>Menschen mit ID hatten höheres Risiko für COVID-19-Diagnose, aber niedrigere Laborbestätigung. Hospitalisierungsrisiko bei Erwachsenen und älteren Menschen mit ID höher in beiden Jahren 2020–2021. Impfquoten vergleichbar, aber Mortalität bei COVID-19 höher in der ID-Gruppe. Schwedische COVID-19-Strategie zu Impfung und Priorisierung funktionierte für diese Gruppe wie beabsichtigt.</w:t>
      </w:r>
    </w:p>
    <w:p>
      <w:r>
        <w:rPr>
          <w:b/>
          <w:sz w:val="19"/>
        </w:rPr>
        <w:t xml:space="preserve">Übertragbarkeit: </w:t>
      </w:r>
      <w:r>
        <w:rPr>
          <w:sz w:val="19"/>
        </w:rPr>
        <w:t>Skandinavien, Impfregister-Daten, Versorgungsstruktur nicht direkt auf Deutschland übertragbar</w:t>
      </w:r>
    </w:p>
    <w:p>
      <w:r>
        <w:rPr>
          <w:color w:val="5A7D3A"/>
          <w:sz w:val="18"/>
        </w:rPr>
        <w:t>https://pubmed.ncbi.nlm.nih.gov/42881375/</w:t>
      </w:r>
    </w:p>
    <w:p>
      <w:pPr>
        <w:pStyle w:val="Heading2"/>
      </w:pPr>
      <w:r>
        <w:t>Rotavirus-Impfstoff ROTASIIL senkt Hospitalisierungsrisiko bei Kindern</w:t>
      </w:r>
    </w:p>
    <w:p>
      <w:r>
        <w:rPr>
          <w:i/>
          <w:color w:val="666666"/>
          <w:sz w:val="18"/>
        </w:rPr>
        <w:t>Chaudhary VS et al.  ·  Nat Commun  ·  15.09.2026  ·  PMID 42881148</w:t>
      </w:r>
    </w:p>
    <w:p>
      <w:r>
        <w:t>Register-gestützte Fall-Kontroll-Studie in 32 indischen Krankenhäusern (2019–2023): Effektivitätsmessung der drei Dosen ROTASIIL gegen Rotavirus-Gastroenteritis bei Kindern unter 23 Monaten mittels Test-Negative-Design.</w:t>
      </w:r>
    </w:p>
    <w:p>
      <w:r>
        <w:rPr>
          <w:b/>
        </w:rPr>
        <w:t xml:space="preserve">Ergebnis: </w:t>
      </w:r>
      <w:r>
        <w:t>Bei vollständiger Serie (3 Dosen): bereinigte Impfeffektivität 52 % (95%-KI 32–66) gegen Hospitalisierung; bei jüngeren Kindern (3–5 Monate) 88 % (53–97). Gegen moderate Rotavirus-Gastroenteritis 56 % (11–79), gegen schwere Form 54 % (31–70). Mit mindestens einer Dosis: 45 % (26–60) bei 1–23 Monaten. Höchste genotyp-spezifische Effektivität gegen G1P[8] mit 62 % (29–80).</w:t>
      </w:r>
    </w:p>
    <w:p>
      <w:r>
        <w:rPr>
          <w:b/>
          <w:sz w:val="19"/>
        </w:rPr>
        <w:t xml:space="preserve">Übertragbarkeit: </w:t>
      </w:r>
      <w:r>
        <w:rPr>
          <w:sz w:val="19"/>
        </w:rPr>
        <w:t>Indien, Routineversorgung, vergleichbar mit Ländern mit ähnlicher Impfabdeckung</w:t>
      </w:r>
    </w:p>
    <w:p>
      <w:r>
        <w:rPr>
          <w:color w:val="5A7D3A"/>
          <w:sz w:val="18"/>
        </w:rPr>
        <w:t>https://pubmed.ncbi.nlm.nih.gov/42881148/</w:t>
      </w:r>
    </w:p>
    <w:p>
      <w:pPr>
        <w:pStyle w:val="Heading2"/>
      </w:pPr>
      <w:r>
        <w:t>Tollwutimpfung in Ägypten: geringe Impfquoten trotz positiver Einstellung der Bevölkerung</w:t>
      </w:r>
    </w:p>
    <w:p>
      <w:r>
        <w:rPr>
          <w:i/>
          <w:color w:val="666666"/>
          <w:sz w:val="18"/>
        </w:rPr>
        <w:t>Helal MB et al.  ·  BMC Public Health  ·  15.10.2026  ·  PMID 42875760</w:t>
      </w:r>
    </w:p>
    <w:p>
      <w:r>
        <w:t>Landesweite Querschnittsbefragung von 1.777 Personen (2024) in ägyptischen Universitätskliniken zu Wissen, Einstellung und Praxis bezüglich Tollwut und Tollwutprophylaxe (prä- und postexpositionell).</w:t>
      </w:r>
    </w:p>
    <w:p>
      <w:r>
        <w:rPr>
          <w:b/>
        </w:rPr>
        <w:t xml:space="preserve">Ergebnis: </w:t>
      </w:r>
      <w:r>
        <w:t>Nur 42,8 % der Befragten hatten gutes Wissen über Tollwut und Prophylaxe; 88,5 % Positive Einstellung. Unter 173 Personen mit Tierbisskontakt erhielten 18,5 % (n=32) keine postexpositionelle Prophylaxe und 17 % (n=24) vollendeten den Impfplan nicht. Präexpositionelle Impfung nur 4,3 % bei hochriskanten Personen. Hauptbarrieren: Wissensmangel über Impfstoff (82,4 %), fehlende Kenntnisse über Tollwut (81,7 %), mangelnde Infrastruktur (43,1 %).</w:t>
      </w:r>
    </w:p>
    <w:p>
      <w:r>
        <w:rPr>
          <w:b/>
          <w:sz w:val="19"/>
        </w:rPr>
        <w:t xml:space="preserve">Übertragbarkeit: </w:t>
      </w:r>
      <w:r>
        <w:rPr>
          <w:sz w:val="19"/>
        </w:rPr>
        <w:t>Ägypten, Entwicklungsland-Kontext, begrenzt übertragbar auf Deutschland</w:t>
      </w:r>
    </w:p>
    <w:p>
      <w:r>
        <w:rPr>
          <w:color w:val="5A7D3A"/>
          <w:sz w:val="18"/>
        </w:rPr>
        <w:t>https://pubmed.ncbi.nlm.nih.gov/42875760/</w:t>
      </w:r>
    </w:p>
    <w:p>
      <w:pPr>
        <w:pStyle w:val="Heading2"/>
      </w:pPr>
      <w:r>
        <w:t>COVID-19-Impfstoff-Sicherheit: Einzelfallbericht zeigt Grenzen der Kausalitätsbewertung</w:t>
      </w:r>
    </w:p>
    <w:p>
      <w:r>
        <w:rPr>
          <w:i/>
          <w:color w:val="666666"/>
          <w:sz w:val="18"/>
        </w:rPr>
        <w:t>Siebner AS et al.  ·  Philos Ethics Humanit Med  ·  01.10.2026  ·  PMID 42823741</w:t>
      </w:r>
    </w:p>
    <w:p>
      <w:r>
        <w:t>Diskussionsbeitrag (Deutschland, UK, Italien, Kanada, USA, Ägypten) zur epistemischen Vorsicht bei der Bewertung seltener schwerer unerwünschter Ereignisse nach COVID-19-mRNA-Impfung; Fallbeispiel: autoptisch bestätigte Enzephalitis und Myokarditis nach BNT162b2.</w:t>
      </w:r>
    </w:p>
    <w:p>
      <w:r>
        <w:rPr>
          <w:b/>
        </w:rPr>
        <w:t xml:space="preserve">Ergebnis: </w:t>
      </w:r>
      <w:r>
        <w:t>Anwendung von Bradford Hills Kriterien auf einen Autopsiebericht zeigte partielle, nicht schlüssige Evidenz: ein Kriterium unterstützte Kausalität, sieben waren teilweise gestützt, eines nicht. Die Analyse deutet, ohne zu beweisen, auf einen möglichen Kausalzusammenhang hin. Autoren betonen: Abwesenheit von Nukleokapsid-Protein liefert keine definitive Evidenz gegen Impfursprung; weitere Analysen sind erforderlich.</w:t>
      </w:r>
    </w:p>
    <w:p>
      <w:r>
        <w:rPr>
          <w:b/>
          <w:sz w:val="19"/>
        </w:rPr>
        <w:t xml:space="preserve">Übertragbarkeit: </w:t>
      </w:r>
      <w:r>
        <w:rPr>
          <w:sz w:val="19"/>
        </w:rPr>
        <w:t>Überblick über Sicherheitsbewertungsmethoden, keine neuen Versorgungsdaten</w:t>
      </w:r>
    </w:p>
    <w:p>
      <w:r>
        <w:rPr>
          <w:color w:val="5A7D3A"/>
          <w:sz w:val="18"/>
        </w:rPr>
        <w:t>https://pubmed.ncbi.nlm.nih.gov/42823741/</w:t>
      </w:r>
    </w:p>
    <w:p>
      <w:pPr>
        <w:pStyle w:val="Heading1"/>
      </w:pPr>
      <w:r>
        <w:t>Aufgenommen am 16.10.2026</w:t>
      </w:r>
    </w:p>
    <w:p>
      <w:pPr>
        <w:pStyle w:val="Heading2"/>
      </w:pPr>
      <w:r>
        <w:t>Zweisprachige digitale Kampagne zur COVID-19-Impfung bei vietnamesisch-amerikanischen Gemeinden</w:t>
      </w:r>
    </w:p>
    <w:p>
      <w:r>
        <w:rPr>
          <w:i/>
          <w:color w:val="666666"/>
          <w:sz w:val="18"/>
        </w:rPr>
        <w:t>Tehami S et al.  ·  J Med Internet Res  ·  15.10.2026  ·  PMID 42879767</w:t>
      </w:r>
    </w:p>
    <w:p>
      <w:r>
        <w:t>Bewertung einer bilingualen (Englisch/Vietnamesisch) digitalen Kampagne über Google Display &amp; Video 360 zur Förderung von COVID-19-Impfung und Studienteilnahme in Texas.</w:t>
      </w:r>
    </w:p>
    <w:p>
      <w:r>
        <w:rPr>
          <w:b/>
        </w:rPr>
        <w:t xml:space="preserve">Ergebnis: </w:t>
      </w:r>
      <w:r>
        <w:t>4,97 Millionen Impressionen, ca. 1,4 Millionen eindeutige Nutzer. Vietnamesische Anzeigen: 0,105 Prozent Click-through-Rate vs. Englisch 0,046 Prozent (RR 2,29, p&lt;0,001). Mobile Platzierungen übertroffen Desktop. Kosten pro Klick 2,35 USD, CPM 1,45 USD. Direkte Impfquoten-Effekte nicht gemessen.</w:t>
      </w:r>
    </w:p>
    <w:p>
      <w:r>
        <w:rPr>
          <w:b/>
          <w:sz w:val="19"/>
        </w:rPr>
        <w:t xml:space="preserve">Übertragbarkeit: </w:t>
      </w:r>
      <w:r>
        <w:rPr>
          <w:sz w:val="19"/>
        </w:rPr>
        <w:t>USA, Sprachenminderheiten; Engagement-Metriken, keine Versorgungswirksamkeit gemessen</w:t>
      </w:r>
    </w:p>
    <w:p>
      <w:r>
        <w:rPr>
          <w:color w:val="5A7D3A"/>
          <w:sz w:val="18"/>
        </w:rPr>
        <w:t>https://pubmed.ncbi.nlm.nih.gov/42879767/</w:t>
      </w:r>
    </w:p>
    <w:p>
      <w:pPr>
        <w:pStyle w:val="Heading2"/>
      </w:pPr>
      <w:r>
        <w:t>Keuchhusten-Impfeffektivität bei Kindern während Ausbruch in Alaska 96 Prozent</w:t>
      </w:r>
    </w:p>
    <w:p>
      <w:r>
        <w:rPr>
          <w:i/>
          <w:color w:val="666666"/>
          <w:sz w:val="18"/>
        </w:rPr>
        <w:t>Newell K et al.  ·  MMWR Morb Mortal Wkly Rep  ·  15.10.2026  ·  PMID 42879706</w:t>
      </w:r>
    </w:p>
    <w:p>
      <w:r>
        <w:t>Untersuchung der Wirksamkeit der DTaP-Impfung gegen Keuchhusten bei Kindern während eines Ausbruchs 2024 in Alaska.</w:t>
      </w:r>
    </w:p>
    <w:p>
      <w:r>
        <w:rPr>
          <w:b/>
        </w:rPr>
        <w:t xml:space="preserve">Ergebnis: </w:t>
      </w:r>
      <w:r>
        <w:t>Vollständige 3-Dosis-Serie: 96,2 Prozent Schutz. Teilgeimpfte (1–2 Dosen): 85,3 Prozent. Ungeimpfte hatten 26-fach erhöhtes Erkrankungsrisiko (adjustiertes OR 26,1). Befunde unterstreichen die Notwendigkeit vollständiger Impfserien zum Schutz vor Keuchhusten.</w:t>
      </w:r>
    </w:p>
    <w:p>
      <w:r>
        <w:rPr>
          <w:b/>
          <w:sz w:val="19"/>
        </w:rPr>
        <w:t xml:space="preserve">Übertragbarkeit: </w:t>
      </w:r>
      <w:r>
        <w:rPr>
          <w:sz w:val="19"/>
        </w:rPr>
        <w:t>USA-Daten, Impfeffektivität unter Alltagsbedingungen übertragbar auf vergleichbare Gesundheitssysteme</w:t>
      </w:r>
    </w:p>
    <w:p>
      <w:r>
        <w:rPr>
          <w:color w:val="5A7D3A"/>
          <w:sz w:val="18"/>
        </w:rPr>
        <w:t>https://pubmed.ncbi.nlm.nih.gov/42879706/</w:t>
      </w:r>
    </w:p>
    <w:p>
      <w:pPr>
        <w:pStyle w:val="Heading2"/>
      </w:pPr>
      <w:r>
        <w:t>Apothekenimpfung in Spanien: Europäischer Evidenzbefund für höhere Impfquoten</w:t>
      </w:r>
    </w:p>
    <w:p>
      <w:r>
        <w:rPr>
          <w:i/>
          <w:color w:val="666666"/>
          <w:sz w:val="18"/>
        </w:rPr>
        <w:t>Fernández Otero MD et al.  ·  Rev Esp Salud Publica  ·  13.10.2026  ·  PMID 42879310</w:t>
      </w:r>
    </w:p>
    <w:p>
      <w:r>
        <w:t>Analyse der Gründe, warum Spanien trotz europäischer Evidenz keine Apotheken-Impfungen zulässt; Prüfung von Qualifikations-, Systembeitrags- und Abdeckungs-Argumenten.</w:t>
      </w:r>
    </w:p>
    <w:p>
      <w:r>
        <w:rPr>
          <w:b/>
        </w:rPr>
        <w:t xml:space="preserve">Ergebnis: </w:t>
      </w:r>
      <w:r>
        <w:t>Keine objektiv-wissenschaftlichen Gründe gefunden, die Apotheken-Impfungen abrahmen würden. Farmazeutische Ausbildung in Spanien vergleichbar mit anderen EU-Ländern. Apotheken-Netzwerk könnte Wert für NVS-Leistungen erbringen. Impfquoten nicht bereits befriedigend. Empfehlung: Spanien sollte Apotheker-Kollaboration in Impfprogrammen erwägen.</w:t>
      </w:r>
    </w:p>
    <w:p>
      <w:r>
        <w:rPr>
          <w:b/>
          <w:sz w:val="19"/>
        </w:rPr>
        <w:t xml:space="preserve">Übertragbarkeit: </w:t>
      </w:r>
      <w:r>
        <w:rPr>
          <w:sz w:val="19"/>
        </w:rPr>
        <w:t>Spanien/Europa, vergleichbares System; Zugangsbarriere Regelwerk, nicht Kompetenz</w:t>
      </w:r>
    </w:p>
    <w:p>
      <w:r>
        <w:rPr>
          <w:color w:val="5A7D3A"/>
          <w:sz w:val="18"/>
        </w:rPr>
        <w:t>https://pubmed.ncbi.nlm.nih.gov/42879310/</w:t>
      </w:r>
    </w:p>
    <w:p>
      <w:pPr>
        <w:pStyle w:val="Heading2"/>
      </w:pPr>
      <w:r>
        <w:t>H1N1-Impfung und Narkolepsie: Biomarker-Signale in schwedisch-finnischer Kohorte</w:t>
      </w:r>
    </w:p>
    <w:p>
      <w:r>
        <w:rPr>
          <w:i/>
          <w:color w:val="666666"/>
          <w:sz w:val="18"/>
        </w:rPr>
        <w:t>Lafta MS et al.  ·  Sleep Med  ·  15.09.2026  ·  PMID 42748496</w:t>
      </w:r>
    </w:p>
    <w:p>
      <w:r>
        <w:t>Proteomic- und Transkriptom-Analyse von Serum-Biomarkern bei Narkolepsie-Patienten aus H1N1-Pandemrix-geimpften Kohorten (Schweden, Finnland 2009–2010).</w:t>
      </w:r>
    </w:p>
    <w:p>
      <w:r>
        <w:rPr>
          <w:b/>
        </w:rPr>
        <w:t xml:space="preserve">Ergebnis: </w:t>
      </w:r>
      <w:r>
        <w:t>Sechs überlappende Proteine mit signifikanten Unterschieden zwischen Narkolepsie-Typ-1-Patienten und Kontrollen: UNC5C, VWC2, CPA2, GFRα-1, CLEC10A (herunterreguliert), HAGH (unterschiedliche Richtung). Befunde explorativ und hypothesen-generierend, keine etablierten Biomarker.</w:t>
      </w:r>
    </w:p>
    <w:p>
      <w:r>
        <w:rPr>
          <w:b/>
          <w:sz w:val="19"/>
        </w:rPr>
        <w:t xml:space="preserve">Übertragbarkeit: </w:t>
      </w:r>
      <w:r>
        <w:rPr>
          <w:sz w:val="19"/>
        </w:rPr>
        <w:t>Skandinavien, bekannter Impfnebenwirkungsfall mit gutem Follow-up; Transferbarkeit auf Sicherheitsmonitoring begrenzt</w:t>
      </w:r>
    </w:p>
    <w:p>
      <w:r>
        <w:rPr>
          <w:color w:val="5A7D3A"/>
          <w:sz w:val="18"/>
        </w:rPr>
        <w:t>https://pubmed.ncbi.nlm.nih.gov/42748496/</w:t>
      </w:r>
    </w:p>
    <w:p>
      <w:pPr>
        <w:pStyle w:val="Heading2"/>
      </w:pPr>
      <w:r>
        <w:t>COVID-19-Impfung bei Krebspatienten unter Checkpoint-Inhibitoren senkt Früh-Mortalität</w:t>
      </w:r>
    </w:p>
    <w:p>
      <w:r>
        <w:rPr>
          <w:i/>
          <w:color w:val="666666"/>
          <w:sz w:val="18"/>
        </w:rPr>
        <w:t>Salem JE et al.  ·  Nat Med  ·  10.09.2026  ·  PMID 42722885</w:t>
      </w:r>
    </w:p>
    <w:p>
      <w:r>
        <w:t>Kohortenstudie an 95.015 Krebspatienten aus französischer Gesundheitsdatenbank zur Assoziation zwischen mRNA-COVID-19-Impfung und Überlebensergebnis bei ICl-Therapie.</w:t>
      </w:r>
    </w:p>
    <w:p>
      <w:r>
        <w:rPr>
          <w:b/>
        </w:rPr>
        <w:t xml:space="preserve">Ergebnis: </w:t>
      </w:r>
      <w:r>
        <w:t>Impfung vor ICl-Start: Hazard Ratio 0,90 (KI 0,87–0,94) für Gesamtmortalität in Monaten 1–3, nach 6 Monaten HR 0,96 (KI 0,93–1,00). Ähnliche Muster nach ICl-Start. Frühe, transiente Assoziation eher als spezifischer mRNA-Effekt, möglicherweise Gesundeneffekt.</w:t>
      </w:r>
    </w:p>
    <w:p>
      <w:r>
        <w:rPr>
          <w:b/>
          <w:sz w:val="19"/>
        </w:rPr>
        <w:t xml:space="preserve">Übertragbarkeit: </w:t>
      </w:r>
      <w:r>
        <w:rPr>
          <w:sz w:val="19"/>
        </w:rPr>
        <w:t>Frankreich (vergleichbares Gesundheitssystem), nationale Datenbank mit vollständiger Verfolgung</w:t>
      </w:r>
    </w:p>
    <w:p>
      <w:r>
        <w:rPr>
          <w:color w:val="5A7D3A"/>
          <w:sz w:val="18"/>
        </w:rPr>
        <w:t>https://pubmed.ncbi.nlm.nih.gov/42722885/</w:t>
      </w:r>
    </w:p>
    <w:p>
      <w:pPr>
        <w:pStyle w:val="Heading1"/>
      </w:pPr>
      <w:r>
        <w:t>Aufgenommen am 15.10.2026</w:t>
      </w:r>
    </w:p>
    <w:p>
      <w:pPr>
        <w:pStyle w:val="Heading2"/>
      </w:pPr>
      <w:r>
        <w:t>HPV-Impfkosten-Analysen: Metho­den bestimmen das Ergebnis mehr als der Impfstoff</w:t>
      </w:r>
    </w:p>
    <w:p>
      <w:r>
        <w:rPr>
          <w:i/>
          <w:color w:val="666666"/>
          <w:sz w:val="18"/>
        </w:rPr>
        <w:t>Kisa A et al.  ·  PLoS One  ·  14.10.2026  ·  PMID 42873751</w:t>
      </w:r>
    </w:p>
    <w:p>
      <w:r>
        <w:t>Scoping Review von 44 ökonomischen Evaluationen zur HPV-Impfung (2003–2025), Analyse von Methodenvielfalt, Treibern der Variation und Übertragbarkeit.</w:t>
      </w:r>
    </w:p>
    <w:p>
      <w:r>
        <w:rPr>
          <w:b/>
        </w:rPr>
        <w:t xml:space="preserve">Ergebnis: </w:t>
      </w:r>
      <w:r>
        <w:t>33 vollständige Kosteneffektivitäts­studien analysiert. Haupttreiber der Variation: Impfstoffpreis, Diskontrate, Herden­immunitäts­annahmen, Kreuzschutz­annahmen, Schwellenwert. Berichtsqualität korrelierte nicht mit methodischer Kreditwürdigkeit. Kostensätze und Screening­kontext bestimmen Übertragbarkeit mehr als reine ICER-Werte. Formale Analysen zu Ein-Dosis-Szenarien emerging, aber Daten zu Langzeitschutz und umsetzungsrelevanten Kosten fehlend.</w:t>
      </w:r>
    </w:p>
    <w:p>
      <w:r>
        <w:rPr>
          <w:b/>
          <w:sz w:val="19"/>
        </w:rPr>
        <w:t xml:space="preserve">Übertragbarkeit: </w:t>
      </w:r>
      <w:r>
        <w:rPr>
          <w:sz w:val="19"/>
        </w:rPr>
        <w:t>Verschiedene Länder, aber Methoden-Abhängigkeit zeigt: direkte Übertragung kostet­eff­ektivitäts­befunde problematisch</w:t>
      </w:r>
    </w:p>
    <w:p>
      <w:r>
        <w:rPr>
          <w:color w:val="5A7D3A"/>
          <w:sz w:val="18"/>
        </w:rPr>
        <w:t>https://pubmed.ncbi.nlm.nih.gov/42873751/</w:t>
      </w:r>
    </w:p>
    <w:p>
      <w:pPr>
        <w:pStyle w:val="Heading2"/>
      </w:pPr>
      <w:r>
        <w:t>RSV-Impfquoten bei älteren US-Amerikanern bleiben niedrig</w:t>
      </w:r>
    </w:p>
    <w:p>
      <w:r>
        <w:rPr>
          <w:i/>
          <w:color w:val="666666"/>
          <w:sz w:val="18"/>
        </w:rPr>
        <w:t>Saundankar V et al.  ·  Hum Vaccin Immunother  ·  14.10.2026  ·  PMID 42872881</w:t>
      </w:r>
    </w:p>
    <w:p>
      <w:r>
        <w:t>Retrospektive Analyse der RSV-Impfquoten bei Medicare-Versicherten ab 65 Jahren in zwei Saisons.</w:t>
      </w:r>
    </w:p>
    <w:p>
      <w:r>
        <w:rPr>
          <w:b/>
        </w:rPr>
        <w:t xml:space="preserve">Ergebnis: </w:t>
      </w:r>
      <w:r>
        <w:t>Insgesamt 21% der ≥65-Jährigen in der Vorsaison 2023/24 geimpft, in Saison 2024/25 sinkend. Höhere Quote bei ≥75-Jährigen. Von 1,7 Mio. Personen, die 2024-Kriterien erfüllten, waren etwa 80% ungeimpft. Impfspitzen im Oktober beider Jahre. Zielgerichtete Strategien zur Erreichung von Hochrisiko-Gruppen erforderlich.</w:t>
      </w:r>
    </w:p>
    <w:p>
      <w:r>
        <w:rPr>
          <w:b/>
          <w:sz w:val="19"/>
        </w:rPr>
        <w:t xml:space="preserve">Übertragbarkeit: </w:t>
      </w:r>
      <w:r>
        <w:rPr>
          <w:sz w:val="19"/>
        </w:rPr>
        <w:t>USA, anderes Versicherungssystem; Befund zur Uptake-Barriere übertragbar, Daten nicht direkt auf Deutschland anwendbar</w:t>
      </w:r>
    </w:p>
    <w:p>
      <w:r>
        <w:rPr>
          <w:color w:val="5A7D3A"/>
          <w:sz w:val="18"/>
        </w:rPr>
        <w:t>https://pubmed.ncbi.nlm.nih.gov/42872881/</w:t>
      </w:r>
    </w:p>
    <w:p>
      <w:pPr>
        <w:pStyle w:val="Heading2"/>
      </w:pPr>
      <w:r>
        <w:t>Kombinimpfstoff gegen Influenza und COVID-19: Potenzial für höhere Impfquoten</w:t>
      </w:r>
    </w:p>
    <w:p>
      <w:r>
        <w:rPr>
          <w:i/>
          <w:color w:val="666666"/>
          <w:sz w:val="18"/>
        </w:rPr>
        <w:t>Schaffner W et al.  ·  Vaccine  ·  14.11.2026  ·  PMID 42790130</w:t>
      </w:r>
    </w:p>
    <w:p>
      <w:r>
        <w:t>Übersichtsarbeit zur Wirkung und Praktikabilität einer kombinierten Influenza-COVID-19-Impfung bei Erwachsenen.</w:t>
      </w:r>
    </w:p>
    <w:p>
      <w:r>
        <w:rPr>
          <w:b/>
        </w:rPr>
        <w:t xml:space="preserve">Ergebnis: </w:t>
      </w:r>
      <w:r>
        <w:t>Kombinimpfstoffe könnten die Akzeptanz durch vereinfachte Dosierung erhöhen und Impfgelegenheiten nicht verpassen. Fachkräfte und Patienten zeigen hohes Interesse; mehrere Kandidaten befinden sich in klinischen Prüfungen. Ein Impfstoff mit optimierter Timing und Virenstamm-Auswahl könnte den Schutz gegen zwei führende respiratorische Erreger stärken.</w:t>
      </w:r>
    </w:p>
    <w:p>
      <w:r>
        <w:rPr>
          <w:b/>
          <w:sz w:val="19"/>
        </w:rPr>
        <w:t xml:space="preserve">Übertragbarkeit: </w:t>
      </w:r>
      <w:r>
        <w:rPr>
          <w:sz w:val="19"/>
        </w:rPr>
        <w:t>Deutschland und andere Länder mit vergleichbarem Zugangsweg; Übertragbarkeit hängt von Empfehlungslogik ab</w:t>
      </w:r>
    </w:p>
    <w:p>
      <w:r>
        <w:rPr>
          <w:color w:val="5A7D3A"/>
          <w:sz w:val="18"/>
        </w:rPr>
        <w:t>https://pubmed.ncbi.nlm.nih.gov/42790130/</w:t>
      </w:r>
    </w:p>
    <w:p>
      <w:pPr>
        <w:pStyle w:val="Heading2"/>
      </w:pPr>
      <w:r>
        <w:t>Impfskepsis bei Haustieren: Vertrauen, Risiko­wahrnehmung und 'natürlicher' Ansatz</w:t>
      </w:r>
    </w:p>
    <w:p>
      <w:r>
        <w:rPr>
          <w:i/>
          <w:color w:val="666666"/>
          <w:sz w:val="18"/>
        </w:rPr>
        <w:t>Bloodworth S et al.  ·  Prev Vet Med  ·  16.09.2026  ·  PMID 42753359</w:t>
      </w:r>
    </w:p>
    <w:p>
      <w:r>
        <w:t>Qualitative Studie mittels Leitfaden­interviews mit 18 Hunde-/Katzen­haltern im UK zu Faktoren, die Impfentscheidungen beeinflussen.</w:t>
      </w:r>
    </w:p>
    <w:p>
      <w:r>
        <w:rPr>
          <w:b/>
        </w:rPr>
        <w:t xml:space="preserve">Ergebnis: </w:t>
      </w:r>
      <w:r>
        <w:t>Drei Kategorien beeinflussen Impfentscheidungen: Vertrauen in tierärztliche Expertise, Wahrnehmung der Impfstoffsicherheit, Gesundheits­verständnis. Halter wägen Impfrisiken gegen Krankheitsrisiken ab, beeinflusst durch persönliche Erfahrung und diverse Informationsquellen. Ein 'natürlicher' Ansatz (Vermeidung synthetischer Stoffe) bei Hundehaltern wirkte sich negativ auf Impfbereitschaft aus. Maßnahmen sollten zielgruppenspezifisch sein.</w:t>
      </w:r>
    </w:p>
    <w:p>
      <w:r>
        <w:rPr>
          <w:b/>
          <w:sz w:val="19"/>
        </w:rPr>
        <w:t xml:space="preserve">Übertragbarkeit: </w:t>
      </w:r>
      <w:r>
        <w:rPr>
          <w:sz w:val="19"/>
        </w:rPr>
        <w:t>Vereinigtes Königreich; Erkenntnisse zu Vaccine Hesitancy-Faktoren übertragbar, aber Kontext Heimtiere unterscheidet sich von Humanmedizin</w:t>
      </w:r>
    </w:p>
    <w:p>
      <w:r>
        <w:rPr>
          <w:color w:val="5A7D3A"/>
          <w:sz w:val="18"/>
        </w:rPr>
        <w:t>https://pubmed.ncbi.nlm.nih.gov/42753359/</w:t>
      </w:r>
    </w:p>
    <w:p>
      <w:pPr>
        <w:pStyle w:val="Heading2"/>
      </w:pPr>
      <w:r>
        <w:t>HPV-Prävalenz sank bei jungen Frauen trotz weiterer Genotypen-Diversität</w:t>
      </w:r>
    </w:p>
    <w:p>
      <w:r>
        <w:rPr>
          <w:i/>
          <w:color w:val="666666"/>
          <w:sz w:val="18"/>
        </w:rPr>
        <w:t>Urbano A et al.  ·  Ann Epidemiol  ·  07.09.2026  ·  PMID 42705395</w:t>
      </w:r>
    </w:p>
    <w:p>
      <w:r>
        <w:t>Querschnittsstudie zur HPV-Infektionshäufigkeit und Genotypverteilung in Spanien nach langjähriger Impfung, vergleichend zwischen Frauen ≤30 Jahren (geimpft) und &gt;30 Jahren (ungeimpft).</w:t>
      </w:r>
    </w:p>
    <w:p>
      <w:r>
        <w:rPr>
          <w:b/>
        </w:rPr>
        <w:t xml:space="preserve">Ergebnis: </w:t>
      </w:r>
      <w:r>
        <w:t>Von 5.885 Frauen: Gesamtprävalenz 39,8%, bei 20–29-Jährigen 57,9%. In der Impfkohorte (≤30J.) war HPV-Prävalenz höher (57,0% vs. 36,8%, p&lt;0,001) als in der Ungeimpften, aber HPV16-Anteil deutlich niedriger mit heterogenerer Genotypverteilung – Vakzine-Effekt auf Zielgenotypen erkennbar.</w:t>
      </w:r>
    </w:p>
    <w:p>
      <w:r>
        <w:rPr>
          <w:b/>
          <w:sz w:val="19"/>
        </w:rPr>
        <w:t xml:space="preserve">Übertragbarkeit: </w:t>
      </w:r>
      <w:r>
        <w:rPr>
          <w:sz w:val="19"/>
        </w:rPr>
        <w:t>Spanien, vergleichbare öffentliche Impfprogramme; Aussage gilt für hochgeimpfte europäische Populationen</w:t>
      </w:r>
    </w:p>
    <w:p>
      <w:r>
        <w:rPr>
          <w:color w:val="5A7D3A"/>
          <w:sz w:val="18"/>
        </w:rPr>
        <w:t>https://pubmed.ncbi.nlm.nih.gov/42705395/</w:t>
      </w:r>
    </w:p>
    <w:p>
      <w:pPr>
        <w:pStyle w:val="Heading2"/>
      </w:pPr>
      <w:r>
        <w:t>Nachverfolgung von Impfnebenwirkungen: Wann lohnt sich der Aufwand?</w:t>
      </w:r>
    </w:p>
    <w:p>
      <w:r>
        <w:rPr>
          <w:i/>
          <w:color w:val="666666"/>
          <w:sz w:val="18"/>
        </w:rPr>
        <w:t>Kara V et al.  ·  Drug Saf  ·  14.08.2026  ·  PMID 42599564</w:t>
      </w:r>
    </w:p>
    <w:p>
      <w:r>
        <w:t>Delphi-Konsensusverfahren mit internationalen Fachleuten zu Szenarien, in denen die Verfolgung von Nebenwirkungsmeldungen die Impfstoffsicherheitsbewertung verbessert.</w:t>
      </w:r>
    </w:p>
    <w:p>
      <w:r>
        <w:rPr>
          <w:b/>
        </w:rPr>
        <w:t xml:space="preserve">Ergebnis: </w:t>
      </w:r>
      <w:r>
        <w:t>Experten identifizierten drei Szenarien mit echtem Mehrwert: Kausalitätsprüfung, Signaldetektion und Risikomanagement. Gering oder kein Nutzen bei bekannten Labelnebenwirkungen, fehlender Kontaktierbarkeit und Fällen, wo zusätzliche Daten das Nutzen-Risiko-Verhältnis nicht ändern würden. Ressourcenschonende, zielgerichtete Verfolgung ersetzt unfokussierte Routine.</w:t>
      </w:r>
    </w:p>
    <w:p>
      <w:r>
        <w:rPr>
          <w:b/>
          <w:sz w:val="19"/>
        </w:rPr>
        <w:t xml:space="preserve">Übertragbarkeit: </w:t>
      </w:r>
      <w:r>
        <w:rPr>
          <w:sz w:val="19"/>
        </w:rPr>
        <w:t>Niederlande, Pharmakovigilanz-System; gilt für alle europäischen Meldewesen</w:t>
      </w:r>
    </w:p>
    <w:p>
      <w:r>
        <w:rPr>
          <w:color w:val="5A7D3A"/>
          <w:sz w:val="18"/>
        </w:rPr>
        <w:t>https://pubmed.ncbi.nlm.nih.gov/42599564/</w:t>
      </w:r>
    </w:p>
    <w:p>
      <w:pPr>
        <w:pStyle w:val="Heading1"/>
      </w:pPr>
      <w:r>
        <w:t>Aufgenommen am 14.10.2026</w:t>
      </w:r>
    </w:p>
    <w:p>
      <w:pPr>
        <w:pStyle w:val="Heading2"/>
      </w:pPr>
      <w:r>
        <w:t>Rabies-Postexpositionsprophylaxe: 86% verzögert, trotz hohem Wissen um Prävention</w:t>
      </w:r>
    </w:p>
    <w:p>
      <w:r>
        <w:rPr>
          <w:i/>
          <w:color w:val="666666"/>
          <w:sz w:val="18"/>
        </w:rPr>
        <w:t>Hailu BK et al.  ·  PLoS Negl Trop Dis  ·  13.10.2026  ·  PMID 42868155</w:t>
      </w:r>
    </w:p>
    <w:p>
      <w:r>
        <w:t>Querschnittsstudie bei 260 Hundebiss-Opfern in Äthiopien zur Zeitverzögerung bei Impfbeginn und assoziierter Faktoren.</w:t>
      </w:r>
    </w:p>
    <w:p>
      <w:r>
        <w:rPr>
          <w:b/>
        </w:rPr>
        <w:t xml:space="preserve">Ergebnis: </w:t>
      </w:r>
      <w:r>
        <w:t>86,1% begannen Impfung nach 48 h (verzögert). Tiefe Bissverletzungen (OR 0,22) und Straßenhunde (OR 0,51) reduzierten Verzögerung. 88,5% kannten Tollwut, 95,4% wussten um Impfnotwendigkeit, 95% hielten Impfung für wirksam; aber fehlte Risikobewusstsein für Verzögerungsfolgen.</w:t>
      </w:r>
    </w:p>
    <w:p>
      <w:r>
        <w:rPr>
          <w:b/>
          <w:sz w:val="19"/>
        </w:rPr>
        <w:t xml:space="preserve">Übertragbarkeit: </w:t>
      </w:r>
      <w:r>
        <w:rPr>
          <w:sz w:val="19"/>
        </w:rPr>
        <w:t>Äthiopien, sehr niedriges Einkommenssetting; Befunde zu Impfverzögerung trotz Wissen zeigen universelles Problem</w:t>
      </w:r>
    </w:p>
    <w:p>
      <w:r>
        <w:rPr>
          <w:color w:val="5A7D3A"/>
          <w:sz w:val="18"/>
        </w:rPr>
        <w:t>https://pubmed.ncbi.nlm.nih.gov/42868155/</w:t>
      </w:r>
    </w:p>
    <w:p>
      <w:pPr>
        <w:pStyle w:val="Heading2"/>
      </w:pPr>
      <w:r>
        <w:t>Masernausbruch Mexiko 2025–2026: Rückkehr trotz früherer Elimination durch Impflücken</w:t>
      </w:r>
    </w:p>
    <w:p>
      <w:r>
        <w:rPr>
          <w:i/>
          <w:color w:val="666666"/>
          <w:sz w:val="18"/>
        </w:rPr>
        <w:t>Mojica-López L et al.  ·  Rev Peru Med Exp Salud Publica  ·  25.08.2026  ·  PMID 42867961</w:t>
      </w:r>
    </w:p>
    <w:p>
      <w:r>
        <w:t>Dokumentarische Analyse zu Masern-Reemergence in Mexiko nach regionaler Elimination 2016: Untersuchung struktureller Faktoren der Ausbruch 2025–2026.</w:t>
      </w:r>
    </w:p>
    <w:p>
      <w:r>
        <w:rPr>
          <w:b/>
        </w:rPr>
        <w:t xml:space="preserve">Ergebnis: </w:t>
      </w:r>
      <w:r>
        <w:t>Endemische Übertragung 1995 unterbrochen, regionale Elimination 2016 erreicht. 2025–2026 Reemergence in Kontexten niedriger Impfquoten, unvollständiger Impfschemata und räumlicher Ungleichheiten im Zugang. Ausbruch konzentrierte sich in Gebieten suboptimaler Abdeckung und höherer sozialer Vulnerabilität.</w:t>
      </w:r>
    </w:p>
    <w:p>
      <w:r>
        <w:rPr>
          <w:b/>
          <w:sz w:val="19"/>
        </w:rPr>
        <w:t xml:space="preserve">Übertragbarkeit: </w:t>
      </w:r>
      <w:r>
        <w:rPr>
          <w:sz w:val="19"/>
        </w:rPr>
        <w:t>Mexiko; zeigt Relevanz für Länder ohne permanentes Impfregister und Überwachungslücken</w:t>
      </w:r>
    </w:p>
    <w:p>
      <w:r>
        <w:rPr>
          <w:color w:val="5A7D3A"/>
          <w:sz w:val="18"/>
        </w:rPr>
        <w:t>https://pubmed.ncbi.nlm.nih.gov/42867961/</w:t>
      </w:r>
    </w:p>
    <w:p>
      <w:pPr>
        <w:pStyle w:val="Heading2"/>
      </w:pPr>
      <w:r>
        <w:t>COVID-19-Impfsicherheit: App-gestützte Pharmakovigilanz mit 732.864 Teilnehmern</w:t>
      </w:r>
    </w:p>
    <w:p>
      <w:r>
        <w:rPr>
          <w:i/>
          <w:color w:val="666666"/>
          <w:sz w:val="18"/>
        </w:rPr>
        <w:t>Kopp L et al.  ·  Vaccine  ·  14.11.2026  ·  PMID 42843285</w:t>
      </w:r>
    </w:p>
    <w:p>
      <w:r>
        <w:t>Prospektive Kohortenstudie zur Erfassung selbstberichteter Nebenwirkungen nach COVID-19-Impfung via Smartphone-App vom Paul-Ehrlich-Institut.</w:t>
      </w:r>
    </w:p>
    <w:p>
      <w:r>
        <w:rPr>
          <w:b/>
        </w:rPr>
        <w:t xml:space="preserve">Ergebnis: </w:t>
      </w:r>
      <w:r>
        <w:t>68% der Impfungen zeigten mindestens eine Nebenwirkung, 88% davon lokale und systemische Reaktogenität. Medizinische Versorgung wurde in 0,36% der Fälle benötigt. Die Ergebnisse bestätigen das bekannte Sicherheitsprofil.</w:t>
      </w:r>
    </w:p>
    <w:p>
      <w:r>
        <w:rPr>
          <w:b/>
          <w:sz w:val="19"/>
        </w:rPr>
        <w:t xml:space="preserve">Übertragbarkeit: </w:t>
      </w:r>
      <w:r>
        <w:rPr>
          <w:sz w:val="19"/>
        </w:rPr>
        <w:t>Deutschland, PEI-Daten, vergleichbar mit nationaler Pharmakovigilanz</w:t>
      </w:r>
    </w:p>
    <w:p>
      <w:r>
        <w:rPr>
          <w:color w:val="5A7D3A"/>
          <w:sz w:val="18"/>
        </w:rPr>
        <w:t>https://pubmed.ncbi.nlm.nih.gov/42843285/</w:t>
      </w:r>
    </w:p>
    <w:p>
      <w:pPr>
        <w:pStyle w:val="Heading2"/>
      </w:pPr>
      <w:r>
        <w:t>MMR-Untererfassung in englischen Hausarztpraxen: 31% der Geimpften nicht elektronisch dokumentiert</w:t>
      </w:r>
    </w:p>
    <w:p>
      <w:r>
        <w:rPr>
          <w:i/>
          <w:color w:val="666666"/>
          <w:sz w:val="18"/>
        </w:rPr>
        <w:t>Sanderson K et al.  ·  Vaccine  ·  14.11.2026  ·  PMID 42810172</w:t>
      </w:r>
    </w:p>
    <w:p>
      <w:r>
        <w:t>Zwei-Stufen-Clusterstudie in England zur Häufigkeit fehlender elektronischer Dokumentation von MMR-Impfungen in digitalen Praxisverwaltungssystemen.</w:t>
      </w:r>
    </w:p>
    <w:p>
      <w:r>
        <w:rPr>
          <w:b/>
        </w:rPr>
        <w:t xml:space="preserve">Ergebnis: </w:t>
      </w:r>
      <w:r>
        <w:t>Bei elektronischer Abfrage erschienen 18,3–31,9% vollgeimpfter Kinder je nach Alter als ungeimpft/teilgeimpft. Selbst nach manueller Aktenprüfung persistierten Impflücken. Die Kodierung war regional unterschiedlich.</w:t>
      </w:r>
    </w:p>
    <w:p>
      <w:r>
        <w:rPr>
          <w:b/>
          <w:sz w:val="19"/>
        </w:rPr>
        <w:t xml:space="preserve">Übertragbarkeit: </w:t>
      </w:r>
      <w:r>
        <w:rPr>
          <w:sz w:val="19"/>
        </w:rPr>
        <w:t>England, digitale Dokumentationssysteme; auf Deutschland übertragbar, da vergleichbare Praxismanagementsysteme</w:t>
      </w:r>
    </w:p>
    <w:p>
      <w:r>
        <w:rPr>
          <w:color w:val="5A7D3A"/>
          <w:sz w:val="18"/>
        </w:rPr>
        <w:t>https://pubmed.ncbi.nlm.nih.gov/42810172/</w:t>
      </w:r>
    </w:p>
    <w:p>
      <w:pPr>
        <w:pStyle w:val="Heading2"/>
      </w:pPr>
      <w:r>
        <w:t>Bildungsniveau und Impfskepsis: Niederländische Metaanalyse zeigt konsistente, aber kleine Unterschiede</w:t>
      </w:r>
    </w:p>
    <w:p>
      <w:r>
        <w:rPr>
          <w:i/>
          <w:color w:val="666666"/>
          <w:sz w:val="18"/>
        </w:rPr>
        <w:t>Boer M et al.  ·  Vaccine  ·  14.11.2026  ·  PMID 42784871</w:t>
      </w:r>
    </w:p>
    <w:p>
      <w:r>
        <w:t>Bayesische Evidenzsynthese von vier niederländischen Studien (n=23.174) zu Zusammenhang zwischen Schulbildung und Impfeinstellungen vor und nach COVID-19-Pandemie.</w:t>
      </w:r>
    </w:p>
    <w:p>
      <w:r>
        <w:rPr>
          <w:b/>
        </w:rPr>
        <w:t xml:space="preserve">Ergebnis: </w:t>
      </w:r>
      <w:r>
        <w:t>Höher Gebildete zeigten konsistent positivere Impfeinstellungen als niedriger Gebildete, aber Unterschiedsmagnitude variierte stark. Longitudinal waren moderate Unterschiede wahrscheinlicher. Einstellungen blieben über die Zeit stabil.</w:t>
      </w:r>
    </w:p>
    <w:p>
      <w:r>
        <w:rPr>
          <w:b/>
          <w:sz w:val="19"/>
        </w:rPr>
        <w:t xml:space="preserve">Übertragbarkeit: </w:t>
      </w:r>
      <w:r>
        <w:rPr>
          <w:sz w:val="19"/>
        </w:rPr>
        <w:t>Niederlande, vergleichbares Versicherungssystem und Dokumentation; hohe Übertragbarkeit auf Deutschland</w:t>
      </w:r>
    </w:p>
    <w:p>
      <w:r>
        <w:rPr>
          <w:color w:val="5A7D3A"/>
          <w:sz w:val="18"/>
        </w:rPr>
        <w:t>https://pubmed.ncbi.nlm.nih.gov/42784871/</w:t>
      </w:r>
    </w:p>
    <w:p>
      <w:pPr>
        <w:pStyle w:val="Heading2"/>
      </w:pPr>
      <w:r>
        <w:t>HPV-Schulimpfung Frankreich: Digitale Nachverfolgung erhöht Einwilligung von 12.023 auf 13.714 (2025)</w:t>
      </w:r>
    </w:p>
    <w:p>
      <w:r>
        <w:rPr>
          <w:i/>
          <w:color w:val="666666"/>
          <w:sz w:val="18"/>
        </w:rPr>
        <w:t>Trin K et al.  ·  Infect Dis Now  ·  18.09.2026  ·  PMID 42759611</w:t>
      </w:r>
    </w:p>
    <w:p>
      <w:r>
        <w:t>Evaluierung von Maßnahmen zur Steigerung elterlicher Zustimmung zur HPV-Impfung von Schülern in Nouvelle-Aquitaine durch Reopening der digitalen Plattform und Echtzeit-Monitoring.</w:t>
      </w:r>
    </w:p>
    <w:p>
      <w:r>
        <w:rPr>
          <w:b/>
        </w:rPr>
        <w:t xml:space="preserve">Ergebnis: </w:t>
      </w:r>
      <w:r>
        <w:t>Septembe 2024: 12.023 Zustimmungen. Nach Reopening der Plattform (Januar–März 2025) mit wöchentlicher Überwachung plus Sozialmarketing-Kampagne: zusätzlich 1.506 Zustimmungen, final 13.714 (10.607 geimpft). Maßnahmen kompensierten Rückgang partiell.</w:t>
      </w:r>
    </w:p>
    <w:p>
      <w:r>
        <w:rPr>
          <w:b/>
          <w:sz w:val="19"/>
        </w:rPr>
        <w:t xml:space="preserve">Übertragbarkeit: </w:t>
      </w:r>
      <w:r>
        <w:rPr>
          <w:sz w:val="19"/>
        </w:rPr>
        <w:t>Frankreich, Schulimpfprogramm; ähnliche Struktur zu deutschen Schulimpfangeboten</w:t>
      </w:r>
    </w:p>
    <w:p>
      <w:r>
        <w:rPr>
          <w:color w:val="5A7D3A"/>
          <w:sz w:val="18"/>
        </w:rPr>
        <w:t>https://pubmed.ncbi.nlm.nih.gov/42759611/</w:t>
      </w:r>
    </w:p>
    <w:p>
      <w:pPr>
        <w:pStyle w:val="Heading1"/>
      </w:pPr>
      <w:r>
        <w:t>Aufgenommen am 13.10.2026</w:t>
      </w:r>
    </w:p>
    <w:p>
      <w:pPr>
        <w:pStyle w:val="Heading2"/>
      </w:pPr>
      <w:r>
        <w:t>Was Ältere in Peking von Grippeimpfung abhält und anzieht</w:t>
      </w:r>
    </w:p>
    <w:p>
      <w:r>
        <w:rPr>
          <w:i/>
          <w:color w:val="666666"/>
          <w:sz w:val="18"/>
        </w:rPr>
        <w:t>Jia M et al.  ·  JAMA Netw Open  ·  01.10.2026  ·  PMID 42862555</w:t>
      </w:r>
    </w:p>
    <w:p>
      <w:r>
        <w:t>Diskrete Wahlexperimente mit 514 Personen über 60 Jahren in zwei Pekinger Bezirken identifizierten Faktoren, die die Bereitschaft zur Grippeimpfung erhöhen oder senken.</w:t>
      </w:r>
    </w:p>
    <w:p>
      <w:r>
        <w:rPr>
          <w:b/>
        </w:rPr>
        <w:t xml:space="preserve">Ergebnis: </w:t>
      </w:r>
      <w:r>
        <w:t>Höhere Impfstoffwirksamkeit (+30,7 Prozentpunkte bei Steigerung von 20 auf 80 Prozent), Telefonerinnerungen und Botschaften zum Schutz von Familienangehörigen erhöhten die Akzeptanz; höhere wahrgenommene Risiken von Nebenwirkungen senkten sie um 20 Prozentpunkte. Nie-Geimpfte zeigten weniger Gewicht auf Wirksamkeit und höhere Sensitivität für Nebenwirkungsrisiken.</w:t>
      </w:r>
    </w:p>
    <w:p>
      <w:r>
        <w:rPr>
          <w:b/>
          <w:sz w:val="19"/>
        </w:rPr>
        <w:t xml:space="preserve">Übertragbarkeit: </w:t>
      </w:r>
      <w:r>
        <w:rPr>
          <w:sz w:val="19"/>
        </w:rPr>
        <w:t>China, Wahlexperiment mit hohem Evidenzlevel, aber andere epidemiologische Ausgangslage und Versorgungsstruktur</w:t>
      </w:r>
    </w:p>
    <w:p>
      <w:r>
        <w:rPr>
          <w:color w:val="5A7D3A"/>
          <w:sz w:val="18"/>
        </w:rPr>
        <w:t>https://pubmed.ncbi.nlm.nih.gov/42862555/</w:t>
      </w:r>
    </w:p>
    <w:p>
      <w:pPr>
        <w:pStyle w:val="Heading2"/>
      </w:pPr>
      <w:r>
        <w:t>Spurenelemente beeinflussen Antikörperantwort auf COVID-19-Impfung bei Rheuma nicht</w:t>
      </w:r>
    </w:p>
    <w:p>
      <w:r>
        <w:rPr>
          <w:i/>
          <w:color w:val="666666"/>
          <w:sz w:val="18"/>
        </w:rPr>
        <w:t>Gadbaan Hama S  ·  J Infect Dev Ctries  ·  30.09.2026  ·  PMID 42858342</w:t>
      </w:r>
    </w:p>
    <w:p>
      <w:r>
        <w:t>Querschnittsstudie mit 79 Rheuma-Patienten und 47 Kontrollen im Irak, die Zink-, Kupfer-, Magnesium- und Ceruloplasmin-Spiegel mit COVID-19-Impfantikörper-Positivität in Beziehung setzte.</w:t>
      </w:r>
    </w:p>
    <w:p>
      <w:r>
        <w:rPr>
          <w:b/>
        </w:rPr>
        <w:t xml:space="preserve">Ergebnis: </w:t>
      </w:r>
      <w:r>
        <w:t>Signifikante Unterschiede in Spurenelementspiegeln zwischen Geimpften und Ungeimpften (p &lt; 0,05), aber keine signifikanten Assoziationen zwischen IgG-Positivität und Spurenelemantkatus in einer Gruppe (p &gt; 0,05). DMARD-Therapie war nicht signifikant mit IgG-Response assoziiert (p = 0,439). Breite humorale Immunität trotz unterschiedlicher Nährstoff- und therapeutischer Profile.</w:t>
      </w:r>
    </w:p>
    <w:p>
      <w:r>
        <w:rPr>
          <w:b/>
          <w:sz w:val="19"/>
        </w:rPr>
        <w:t xml:space="preserve">Übertragbarkeit: </w:t>
      </w:r>
      <w:r>
        <w:rPr>
          <w:sz w:val="19"/>
        </w:rPr>
        <w:t>Irak, einfaches Querschnitt-Design, aber klinisch relevante Frage für Immunsupprimierte</w:t>
      </w:r>
    </w:p>
    <w:p>
      <w:r>
        <w:rPr>
          <w:color w:val="5A7D3A"/>
          <w:sz w:val="18"/>
        </w:rPr>
        <w:t>https://pubmed.ncbi.nlm.nih.gov/42858342/</w:t>
      </w:r>
    </w:p>
    <w:p>
      <w:pPr>
        <w:pStyle w:val="Heading2"/>
      </w:pPr>
      <w:r>
        <w:t>BCG-Impfung könnte Immunschwäche bei Nierenkranken über trainierte Immunität umkehren</w:t>
      </w:r>
    </w:p>
    <w:p>
      <w:r>
        <w:rPr>
          <w:i/>
          <w:color w:val="666666"/>
          <w:sz w:val="18"/>
        </w:rPr>
        <w:t>Sharma R et al.  ·  Indian J Med Res  ·  Aug. 2026  ·  PMID 42851218</w:t>
      </w:r>
    </w:p>
    <w:p>
      <w:r>
        <w:t>Ein Übersichtsartikel beschreibt, wie BCG-Impfung durch epigenetische Umprograierung der angeborenen Immunität (trainierte Immunität) die Impfantwort und Infektionsabwehr bei Patienten mit chronischer Nierenkrankheit möglicherweise verbessern könnte.</w:t>
      </w:r>
    </w:p>
    <w:p>
      <w:r>
        <w:rPr>
          <w:b/>
        </w:rPr>
        <w:t xml:space="preserve">Ergebnis: </w:t>
      </w:r>
      <w:r>
        <w:t>BCG stimuliert NOD2- und Akt/mTOR-Signalwege, erhöht aktivierende Histonmarken (H3K4me3) bei Zytokingenen und stabilisiert repressive Marken (H3K9me3) in nicht-essentiellen Genomabschnitten. Dies erzeugt transkriptionell permissives Chromatin, das Phagozytose und antimikrobielle Aktivität von Monozyten, Makrophagen und Neutrophilen steigert. Der Mechanismus ist hypothetisch; klinische Evidenz fehlt.</w:t>
      </w:r>
    </w:p>
    <w:p>
      <w:r>
        <w:rPr>
          <w:b/>
          <w:sz w:val="19"/>
        </w:rPr>
        <w:t xml:space="preserve">Übertragbarkeit: </w:t>
      </w:r>
      <w:r>
        <w:rPr>
          <w:sz w:val="19"/>
        </w:rPr>
        <w:t>Theoretische Übersicht ohne empirische Daten, spekulativ für vulnerable Population, keine direkten Versorgungsdaten</w:t>
      </w:r>
    </w:p>
    <w:p>
      <w:r>
        <w:rPr>
          <w:color w:val="5A7D3A"/>
          <w:sz w:val="18"/>
        </w:rPr>
        <w:t>https://pubmed.ncbi.nlm.nih.gov/42851218/</w:t>
      </w:r>
    </w:p>
    <w:p>
      <w:pPr>
        <w:pStyle w:val="Heading2"/>
      </w:pPr>
      <w:r>
        <w:t>COVID-19-Impfstoffe verlangsamen nicht die Nierenkrankheit</w:t>
      </w:r>
    </w:p>
    <w:p>
      <w:r>
        <w:rPr>
          <w:i/>
          <w:color w:val="666666"/>
          <w:sz w:val="18"/>
        </w:rPr>
        <w:t>Emre T et al.  ·  Clin Lab  ·  01.10.2026  ·  PMID 42847950</w:t>
      </w:r>
    </w:p>
    <w:p>
      <w:r>
        <w:t>Retrospektive Kohortenstudie mit 140 Nierenpatienten an einem Krankenhaus in der Türkei, die vor, während und 24 Monate nach Impfung die Nierenfunktion verfolgten.</w:t>
      </w:r>
    </w:p>
    <w:p>
      <w:r>
        <w:rPr>
          <w:b/>
        </w:rPr>
        <w:t xml:space="preserve">Ergebnis: </w:t>
      </w:r>
      <w:r>
        <w:t>Alle drei Impfgruppen (nur BioNTech, nur inaktiviert, gemischt) zeigten signifikante Verschlechterungen der eGFR und Kreatinin-Anstiege über 5 Jahre (p &lt; 0,001), aber keine signifikanten Unterschiede zwischen den Impftypen (p &gt; 0,05). Weder mRNA- noch inaktivierte COVID-19-Impfstoffe beschleunigten die Nierenkrankheit.</w:t>
      </w:r>
    </w:p>
    <w:p>
      <w:r>
        <w:rPr>
          <w:b/>
          <w:sz w:val="19"/>
        </w:rPr>
        <w:t xml:space="preserve">Übertragbarkeit: </w:t>
      </w:r>
      <w:r>
        <w:rPr>
          <w:sz w:val="19"/>
        </w:rPr>
        <w:t>Türkei, retrospektiv, kleiner Kreis, aber Sicherheitssignal adressiert häufige Sorge bei vulnerable Population</w:t>
      </w:r>
    </w:p>
    <w:p>
      <w:r>
        <w:rPr>
          <w:color w:val="5A7D3A"/>
          <w:sz w:val="18"/>
        </w:rPr>
        <w:t>https://pubmed.ncbi.nlm.nih.gov/42847950/</w:t>
      </w:r>
    </w:p>
    <w:p>
      <w:pPr>
        <w:pStyle w:val="Heading2"/>
      </w:pPr>
      <w:r>
        <w:t>Tuberkulose-Patienten zeigen abgeschwächte Immunantwort auf COVID-19-Impfung trotz Antikörper</w:t>
      </w:r>
    </w:p>
    <w:p>
      <w:r>
        <w:rPr>
          <w:i/>
          <w:color w:val="666666"/>
          <w:sz w:val="18"/>
        </w:rPr>
        <w:t>Jiang Z et al.  ·  Front Immunol  ·  18.09.2026  ·  PMID 42827549</w:t>
      </w:r>
    </w:p>
    <w:p>
      <w:r>
        <w:t>Eine Substudie einer RCT verglich 38 TB-Patienten unter Therapie mit 38 Gesunden nach COVID-19-Impfung mittels Proteomik, Transkriptomik und Antikörpertest.</w:t>
      </w:r>
    </w:p>
    <w:p>
      <w:r>
        <w:rPr>
          <w:b/>
        </w:rPr>
        <w:t xml:space="preserve">Ergebnis: </w:t>
      </w:r>
      <w:r>
        <w:t>Trotz vergleichbarer Neutralisierungsantikörper-Titer zeigten TB-Patienten minimale Änderungen der Plasma-Proteome und Transkriptome nach Impfung, während Gesunde breit angelegte Umweltungen aufwiesen. TB-Patienten hatten baseline-Deplation von Proteinen in Vesikel-Transport- und Phagozytose-Wegen und verminderte Immunzell-Infiltration nach Vakzination.</w:t>
      </w:r>
    </w:p>
    <w:p>
      <w:r>
        <w:rPr>
          <w:b/>
          <w:sz w:val="19"/>
        </w:rPr>
        <w:t xml:space="preserve">Übertragbarkeit: </w:t>
      </w:r>
      <w:r>
        <w:rPr>
          <w:sz w:val="19"/>
        </w:rPr>
        <w:t>Vietnam/China (Nanjing) aber RCT-Design mit klaren molekularen Metriken, Übertragbar für Immunschwache</w:t>
      </w:r>
    </w:p>
    <w:p>
      <w:r>
        <w:rPr>
          <w:color w:val="5A7D3A"/>
          <w:sz w:val="18"/>
        </w:rPr>
        <w:t>https://pubmed.ncbi.nlm.nih.gov/42827549/</w:t>
      </w:r>
    </w:p>
    <w:p>
      <w:pPr>
        <w:pStyle w:val="Heading1"/>
      </w:pPr>
      <w:r>
        <w:t>Aufgenommen am 12.10.2026</w:t>
      </w:r>
    </w:p>
    <w:p>
      <w:pPr>
        <w:pStyle w:val="Heading2"/>
      </w:pPr>
      <w:r>
        <w:t>COVID-19-Impfung reduziert Risiko für Post-COVID-Herzerkrankungen</w:t>
      </w:r>
    </w:p>
    <w:p>
      <w:r>
        <w:rPr>
          <w:i/>
          <w:color w:val="666666"/>
          <w:sz w:val="18"/>
        </w:rPr>
        <w:t>Maria LFBS et al.  ·  Rev Med Virol  ·  Nov. 2026  ·  PMID 42858449</w:t>
      </w:r>
    </w:p>
    <w:p>
      <w:r>
        <w:t>Systematische Qualitative Synthese der Evidenz nach Bradford Hill-Kriterien und Sufficient Component Cause-Modell zur Frage, ob Impfung vor Post-COVID-Herz-Kreislauf-Komplikationen schützt.</w:t>
      </w:r>
    </w:p>
    <w:p>
      <w:r>
        <w:rPr>
          <w:b/>
        </w:rPr>
        <w:t xml:space="preserve">Ergebnis: </w:t>
      </w:r>
      <w:r>
        <w:t>COVID-19-Impfung erfüllte vier von neun Bradford-Hill-Kriterien als protektiver Faktor gegen Post-COVID-Kardiovaskulärerkrankungen: Assoziationsstärke, Konsistenz, Temporalität und biologischer Gradient. Drei Kriterien (biolog. Plausibilität, Kohärenz, Analogie) waren teilweise erfüllt. Schlussfolgerung: Impfung erwies sich wirksam über die Akutphase hinaus.</w:t>
      </w:r>
    </w:p>
    <w:p>
      <w:r>
        <w:rPr>
          <w:b/>
          <w:sz w:val="19"/>
        </w:rPr>
        <w:t xml:space="preserve">Übertragbarkeit: </w:t>
      </w:r>
      <w:r>
        <w:rPr>
          <w:sz w:val="19"/>
        </w:rPr>
        <w:t>Brasilien/Lateinamerika; Befund zur kardiovaskulären Langzeit-Schutzwirkung international übertragbar</w:t>
      </w:r>
    </w:p>
    <w:p>
      <w:r>
        <w:rPr>
          <w:color w:val="5A7D3A"/>
          <w:sz w:val="18"/>
        </w:rPr>
        <w:t>https://pubmed.ncbi.nlm.nih.gov/42858449/</w:t>
      </w:r>
    </w:p>
    <w:p>
      <w:pPr>
        <w:pStyle w:val="Heading2"/>
      </w:pPr>
      <w:r>
        <w:t>Impffieber wird durch Darmbakterienzusammensetzung geprägt</w:t>
      </w:r>
    </w:p>
    <w:p>
      <w:r>
        <w:rPr>
          <w:i/>
          <w:color w:val="666666"/>
          <w:sz w:val="18"/>
        </w:rPr>
        <w:t>Huus KE et al.  ·  Science  ·  08.10.2026  ·  PMID 42848888</w:t>
      </w:r>
    </w:p>
    <w:p>
      <w:r>
        <w:t>Longitudinale Profilerstellung der Darmflora bei 171 Erwachsenen nach mRNA-Impfung zeigte, dass Fieber mit niedriger intestinaler Entzündung und gesteigerten flagellierten Lachnospiraceae-Bakterien korreliert.</w:t>
      </w:r>
    </w:p>
    <w:p>
      <w:r>
        <w:rPr>
          <w:b/>
        </w:rPr>
        <w:t xml:space="preserve">Ergebnis: </w:t>
      </w:r>
      <w:r>
        <w:t>Fieberhäufigkeit war mit mikrobiellem Entzündungsstatus und Flagellin-Expressionsprofilen assoziiert. Diät und Mikrobiom-Targeting könnten Impfnebenwirkungen reduzieren, ohne dass damit Impfeffektivität gefährdet wäre – nur lokale Immuntoleranz wird moduliert.</w:t>
      </w:r>
    </w:p>
    <w:p>
      <w:r>
        <w:rPr>
          <w:b/>
          <w:sz w:val="19"/>
        </w:rPr>
        <w:t xml:space="preserve">Übertragbarkeit: </w:t>
      </w:r>
      <w:r>
        <w:rPr>
          <w:sz w:val="19"/>
        </w:rPr>
        <w:t>Deutschland mit vergleichbarer Bevölkerungsstruktur; Befund zu Immunmechanismus ist universell übertragbar</w:t>
      </w:r>
    </w:p>
    <w:p>
      <w:r>
        <w:rPr>
          <w:color w:val="5A7D3A"/>
          <w:sz w:val="18"/>
        </w:rPr>
        <w:t>https://pubmed.ncbi.nlm.nih.gov/42848888/</w:t>
      </w:r>
    </w:p>
    <w:p>
      <w:pPr>
        <w:pStyle w:val="Heading2"/>
      </w:pPr>
      <w:r>
        <w:t>HPV-Impfbereitschaft hängt von Risikobewusstsein, Vertrauen und Informationsquellen ab</w:t>
      </w:r>
    </w:p>
    <w:p>
      <w:r>
        <w:rPr>
          <w:i/>
          <w:color w:val="666666"/>
          <w:sz w:val="18"/>
        </w:rPr>
        <w:t>Thomas Gil M et al.  ·  Hum Vaccin Immunother  ·  08.10.2026  ·  PMID 42847160</w:t>
      </w:r>
    </w:p>
    <w:p>
      <w:r>
        <w:t>Querschnittsumfrage unter indischen Studentinnen integrierte Konstrukte aus Health Belief Model, Protection Motivation Theory und 3Cs-Rahmen, um Determinanten der Impfbereitschaft und des Impfverhaltens zu untersuchen.</w:t>
      </w:r>
    </w:p>
    <w:p>
      <w:r>
        <w:rPr>
          <w:b/>
        </w:rPr>
        <w:t xml:space="preserve">Ergebnis: </w:t>
      </w:r>
      <w:r>
        <w:t>Wahrgenommene Schweregrad und Anfälligkeit sowie Impfvertrauen erhöhten Impfbereitschaft (+), Selbstzufriedenheit senkte sie (−). Impfbereitschaft mediierte signifikant die Effekte auf tatsächliches Impfverhalten. HPV-Impfempfehlungen und Informationsquellen hatten begrenzt verstärkende Moderatoren-Effekte.</w:t>
      </w:r>
    </w:p>
    <w:p>
      <w:r>
        <w:rPr>
          <w:b/>
          <w:sz w:val="19"/>
        </w:rPr>
        <w:t xml:space="preserve">Übertragbarkeit: </w:t>
      </w:r>
      <w:r>
        <w:rPr>
          <w:sz w:val="19"/>
        </w:rPr>
        <w:t>Indien; Einflussfaktoren auf Impfverhalten sind kulturübergreifend relevant, aber Interventionsdesign muss an deutsche Kontexte angepasst werden</w:t>
      </w:r>
    </w:p>
    <w:p>
      <w:r>
        <w:rPr>
          <w:color w:val="5A7D3A"/>
          <w:sz w:val="18"/>
        </w:rPr>
        <w:t>https://pubmed.ncbi.nlm.nih.gov/42847160/</w:t>
      </w:r>
    </w:p>
    <w:p>
      <w:pPr>
        <w:pStyle w:val="Heading2"/>
      </w:pPr>
      <w:r>
        <w:t>Impfung senkt COVID-19-Hospitalisierung bei Rheumapatienten deutlich</w:t>
      </w:r>
    </w:p>
    <w:p>
      <w:r>
        <w:rPr>
          <w:i/>
          <w:color w:val="666666"/>
          <w:sz w:val="18"/>
        </w:rPr>
        <w:t>Ak F et al.  ·  Front Public Health  ·  22.09.2026  ·  PMID 42840118</w:t>
      </w:r>
    </w:p>
    <w:p>
      <w:r>
        <w:t>Retrospektive Kohortenstudie von 1.024 Rheumapatienten (März 2020–Januar 2023): Assoziationen zwischen Krankheitssubtyp, Behandlung, Impfstatus und COVID-19-Infektions- sowie Hospitalisierungsrisiko untersucht.</w:t>
      </w:r>
    </w:p>
    <w:p>
      <w:r>
        <w:rPr>
          <w:b/>
        </w:rPr>
        <w:t xml:space="preserve">Ergebnis: </w:t>
      </w:r>
      <w:r>
        <w:t>Von 1.024 Patienten entwickelten 33,9% COVID-19; 92,3% der Nicht-Infizierten waren geimpft vs. 23,9% der Infizierten (p&lt;0,001). Hospitalisiert wurden 11,5% der COVID-19-Positiven; Prädiktoren: höheres Alter, Lungenbeteiligung, längere Krankheitsdauer. BNT162b2-Impfung war mit niedrigerem Hospitalisierungsrisiko assoziiert.</w:t>
      </w:r>
    </w:p>
    <w:p>
      <w:r>
        <w:rPr>
          <w:b/>
          <w:sz w:val="19"/>
        </w:rPr>
        <w:t xml:space="preserve">Übertragbarkeit: </w:t>
      </w:r>
      <w:r>
        <w:rPr>
          <w:sz w:val="19"/>
        </w:rPr>
        <w:t>Türkei mit westlichem Versicherungssystem; Befund zum Schutzeffekt durch Impfung bei Immunsuppression auf deutsche Rheumatologie direkt übertragbar</w:t>
      </w:r>
    </w:p>
    <w:p>
      <w:r>
        <w:rPr>
          <w:color w:val="5A7D3A"/>
          <w:sz w:val="18"/>
        </w:rPr>
        <w:t>https://pubmed.ncbi.nlm.nih.gov/42840118/</w:t>
      </w:r>
    </w:p>
    <w:p>
      <w:pPr>
        <w:pStyle w:val="Heading2"/>
      </w:pPr>
      <w:r>
        <w:t>Neues CAR-T-Zielprotein MPZL1 könnte Spektrum von Tumorarten erweitern</w:t>
      </w:r>
    </w:p>
    <w:p>
      <w:r>
        <w:rPr>
          <w:i/>
          <w:color w:val="666666"/>
          <w:sz w:val="18"/>
        </w:rPr>
        <w:t>Jiménez-Vázquez S et al.  ·  Nat Commun  ·  10.09.2026  ·  PMID 42722692</w:t>
      </w:r>
    </w:p>
    <w:p>
      <w:r>
        <w:t>Entwicklung und präklinische Testung von CAR-T-Zellen gegen MPZL1, ein Oberflächenprotein, das bei bis zu 75% bestimmter Tumortypen amplifiziert ist und kaum auf Normalgewebe vorkommt.</w:t>
      </w:r>
    </w:p>
    <w:p>
      <w:r>
        <w:rPr>
          <w:b/>
        </w:rPr>
        <w:t xml:space="preserve">Ergebnis: </w:t>
      </w:r>
      <w:r>
        <w:t>CAR-T-Zellen gegen MPZL1 zeigten In-vitro-Eliminationsaktivität und Antitumoraktivität in menschlichen Xenograft-, autochthonen Maus- und patientenabgeleiteten Modellen. Die Arbeiten liefern grundsätzlich einen neuen Zielansatz; klinische Überprüfung steht aus.</w:t>
      </w:r>
    </w:p>
    <w:p>
      <w:r>
        <w:rPr>
          <w:b/>
          <w:sz w:val="19"/>
        </w:rPr>
        <w:t xml:space="preserve">Übertragbarkeit: </w:t>
      </w:r>
      <w:r>
        <w:rPr>
          <w:sz w:val="19"/>
        </w:rPr>
        <w:t>Deutschland mit vergleichbarem Zelltherapie-Standard; Befund zu Targetidentifikation prinzipiell universell</w:t>
      </w:r>
    </w:p>
    <w:p>
      <w:r>
        <w:rPr>
          <w:color w:val="5A7D3A"/>
          <w:sz w:val="18"/>
        </w:rPr>
        <w:t>https://pubmed.ncbi.nlm.nih.gov/42722692/</w:t>
      </w:r>
    </w:p>
    <w:p>
      <w:pPr>
        <w:pStyle w:val="Heading2"/>
      </w:pPr>
      <w:r>
        <w:t>Dezentralisierte CAR-T-Herstellung könnte Zugangshürden in Europa senken</w:t>
      </w:r>
    </w:p>
    <w:p>
      <w:r>
        <w:rPr>
          <w:i/>
          <w:color w:val="666666"/>
          <w:sz w:val="18"/>
        </w:rPr>
        <w:t>Griebling D et al.  ·  Cytotherapy  ·  19.06.2026  ·  PMID 42696794</w:t>
      </w:r>
    </w:p>
    <w:p>
      <w:r>
        <w:t>Review des EASYGEN-Konsortiums zu Engpässen bei CAR-T-Therapie in Europa und Optionen für dezentralisierte Point-of-Care-Fertigung mit nichtviralen Gentransfer-Verfahren an mehreren Zentren.</w:t>
      </w:r>
    </w:p>
    <w:p>
      <w:r>
        <w:rPr>
          <w:b/>
        </w:rPr>
        <w:t xml:space="preserve">Ergebnis: </w:t>
      </w:r>
      <w:r>
        <w:t>Dezentralisierte Produktion und nichtvirale Gentransfer versprechen kürzere Vein-to-Vein-Zeiten, niedrigere Kosten und weniger Patienten-Verschlechterung während der Wartezeit. Konsortium schlägt vor: Standardisierung der Datenintegration und regulatorischer Rahmen für europäische Harmonisierung.</w:t>
      </w:r>
    </w:p>
    <w:p>
      <w:r>
        <w:rPr>
          <w:b/>
          <w:sz w:val="19"/>
        </w:rPr>
        <w:t xml:space="preserve">Übertragbarkeit: </w:t>
      </w:r>
      <w:r>
        <w:rPr>
          <w:sz w:val="19"/>
        </w:rPr>
        <w:t>Europäische Versorgungsarchitektur mit direktem Bezug zu Herstellungshürden in Deutschland und Nachbarländern</w:t>
      </w:r>
    </w:p>
    <w:p>
      <w:r>
        <w:rPr>
          <w:color w:val="5A7D3A"/>
          <w:sz w:val="18"/>
        </w:rPr>
        <w:t>https://pubmed.ncbi.nlm.nih.gov/42696794/</w:t>
      </w:r>
    </w:p>
    <w:p>
      <w:pPr>
        <w:pStyle w:val="Heading1"/>
      </w:pPr>
      <w:r>
        <w:t>Aufgenommen am 11.10.2026</w:t>
      </w:r>
    </w:p>
    <w:p>
      <w:pPr>
        <w:pStyle w:val="Heading2"/>
      </w:pPr>
      <w:r>
        <w:t>Impfbereitschaft bei europäischen Gesundheitsstudierenden: nur ein Drittel willig</w:t>
      </w:r>
    </w:p>
    <w:p>
      <w:r>
        <w:rPr>
          <w:i/>
          <w:color w:val="666666"/>
          <w:sz w:val="18"/>
        </w:rPr>
        <w:t>Yiallouris A et al.  ·  JMIR Public Health Surveill  ·  09.10.2026  ·  PMID 42854231</w:t>
      </w:r>
    </w:p>
    <w:p>
      <w:r>
        <w:t>Querschnittsbefragung von 1.192 europäischen Studierenden der Medizin, Zahnmedizin, Pflege, Pharmazie und verwandter Gesundheitsberufe zur Bereitschaft, an zukünftigen Impfstoffstudien teilzunehmen.</w:t>
      </w:r>
    </w:p>
    <w:p>
      <w:r>
        <w:rPr>
          <w:b/>
        </w:rPr>
        <w:t xml:space="preserve">Ergebnis: </w:t>
      </w:r>
      <w:r>
        <w:t>32,9 % zeigten Teilnahmebereitschaft, 38,8 % waren unentschlossen, 28,3 % unwillig. Hauptbarrieren: Angst vor Nebenwirkungen (74,6 %), Bedenken als "Versuchsperson" zu dienen (35,9 %). Motivatoren: transparente Sicherheitskommunikation, Verständnis von Risiken, persönliche Schutzgarantien.</w:t>
      </w:r>
    </w:p>
    <w:p>
      <w:r>
        <w:rPr>
          <w:b/>
          <w:sz w:val="19"/>
        </w:rPr>
        <w:t xml:space="preserve">Übertragbarkeit: </w:t>
      </w:r>
      <w:r>
        <w:rPr>
          <w:sz w:val="19"/>
        </w:rPr>
        <w:t>Europäische Verbundstudie, Transfer auf Rekrutierungsstrategien für Impfstudien in DACH begrenzt.</w:t>
      </w:r>
    </w:p>
    <w:p>
      <w:r>
        <w:rPr>
          <w:color w:val="5A7D3A"/>
          <w:sz w:val="18"/>
        </w:rPr>
        <w:t>https://pubmed.ncbi.nlm.nih.gov/42854231/</w:t>
      </w:r>
    </w:p>
    <w:p>
      <w:pPr>
        <w:pStyle w:val="Heading2"/>
      </w:pPr>
      <w:r>
        <w:t>HPV-Impfquoten in den USA: Schuleingangsanforderungen und Fachkompetenz essentiell</w:t>
      </w:r>
    </w:p>
    <w:p>
      <w:r>
        <w:rPr>
          <w:i/>
          <w:color w:val="666666"/>
          <w:sz w:val="18"/>
        </w:rPr>
        <w:t>Escabí-Wojna E et al.  ·  Front Public Health  ·  24.09.2026  ·  PMID 42851744</w:t>
      </w:r>
    </w:p>
    <w:p>
      <w:r>
        <w:t>Explorative qualitative Studie mit 9 Schlüsselpersonen aus 6 US-Bundesstaaten und -Bezirken zur Förderung der HPV-Impfung nach COVID-19.</w:t>
      </w:r>
    </w:p>
    <w:p>
      <w:r>
        <w:rPr>
          <w:b/>
        </w:rPr>
        <w:t xml:space="preserve">Ergebnis: </w:t>
      </w:r>
      <w:r>
        <w:t>Zentrale Erfolgsfaktoren identifiziert: Aufklärung der Impfanbieter, Schuleingangsanforderungen, Krebsprävention-Messaging, vertrauenswürdige Informanten, kultursensitive Ansprache, Sektorübergreifende Partnerschaften. Barrieren: Impfmissinformation, gestiegene Hesitancy post-COVID, regionale Unterschiede in Regelwerk.</w:t>
      </w:r>
    </w:p>
    <w:p>
      <w:r>
        <w:rPr>
          <w:b/>
          <w:sz w:val="19"/>
        </w:rPr>
        <w:t xml:space="preserve">Übertragbarkeit: </w:t>
      </w:r>
      <w:r>
        <w:rPr>
          <w:sz w:val="19"/>
        </w:rPr>
        <w:t>USA - Regelwerk und Zugangsstrukturen unterscheiden sich; Kommunikationsprinzipien übertragbar.</w:t>
      </w:r>
    </w:p>
    <w:p>
      <w:r>
        <w:rPr>
          <w:color w:val="5A7D3A"/>
          <w:sz w:val="18"/>
        </w:rPr>
        <w:t>https://pubmed.ncbi.nlm.nih.gov/42851744/</w:t>
      </w:r>
    </w:p>
    <w:p>
      <w:pPr>
        <w:pStyle w:val="Heading2"/>
      </w:pPr>
      <w:r>
        <w:t>Immunlücken bei Masern und Röteln: junge Frauen in China gefährdet</w:t>
      </w:r>
    </w:p>
    <w:p>
      <w:r>
        <w:rPr>
          <w:i/>
          <w:color w:val="666666"/>
          <w:sz w:val="18"/>
        </w:rPr>
        <w:t>Sun X et al.  ·  Front Immunol  ·  24.09.2026  ·  PMID 42851700</w:t>
      </w:r>
    </w:p>
    <w:p>
      <w:r>
        <w:t>Querschnittsseroepidemiologische Studie bei 1.196 schwangeren Frauen in der Provinz Jiangsu (China) zur Röteln-Immunität nach Impfung.</w:t>
      </w:r>
    </w:p>
    <w:p>
      <w:r>
        <w:rPr>
          <w:b/>
        </w:rPr>
        <w:t xml:space="preserve">Ergebnis: </w:t>
      </w:r>
      <w:r>
        <w:t>Gesamt-Seroprävalenz Röteln-IgG: 61,45 % (geometrisches Mittel 24,21 IE/mL). Seroprävalenz stieg mit Alter: 37,77 % bei ≤24 Jahren auf ~75 % bei ≥30 Jahren. Jüngere Geburtskohorten zeigten deutlich niedrigere Seroprävalenz und Antikörper, trotz anhaltend hoher RCV-Impfquoten. Maternal age war unabhängig mit Immunität assoziiert.</w:t>
      </w:r>
    </w:p>
    <w:p>
      <w:r>
        <w:rPr>
          <w:b/>
          <w:sz w:val="19"/>
        </w:rPr>
        <w:t xml:space="preserve">Übertragbarkeit: </w:t>
      </w:r>
      <w:r>
        <w:rPr>
          <w:sz w:val="19"/>
        </w:rPr>
        <w:t>China - Daten zeigen, dass auch bei etablierten Impfprogrammen Kohorten-Lücken entstehen; international relevantes Muster.</w:t>
      </w:r>
    </w:p>
    <w:p>
      <w:r>
        <w:rPr>
          <w:color w:val="5A7D3A"/>
          <w:sz w:val="18"/>
        </w:rPr>
        <w:t>https://pubmed.ncbi.nlm.nih.gov/42851700/</w:t>
      </w:r>
    </w:p>
    <w:p>
      <w:pPr>
        <w:pStyle w:val="Heading2"/>
      </w:pPr>
      <w:r>
        <w:t>Impfquoten gegen Atemwegsinfektionen bei Älteren bleiben deutlich unter Ziel</w:t>
      </w:r>
    </w:p>
    <w:p>
      <w:r>
        <w:rPr>
          <w:i/>
          <w:color w:val="666666"/>
          <w:sz w:val="18"/>
        </w:rPr>
        <w:t>Paccalin M et al.  ·  Geriatr Psychol Neuropsychiatr Vieil  ·  01.09.2026  ·  PMID 42842819</w:t>
      </w:r>
    </w:p>
    <w:p>
      <w:r>
        <w:t>Narrativer Review zu Epidemiologie, Effektivität und Empfehlungen für COVID-19-, RSV-, Influenza- und Pneumokokken-Impfungen bei älteren Menschen in Frankreich 2026.</w:t>
      </w:r>
    </w:p>
    <w:p>
      <w:r>
        <w:rPr>
          <w:b/>
        </w:rPr>
        <w:t xml:space="preserve">Ergebnis: </w:t>
      </w:r>
      <w:r>
        <w:t>Sichere und wirksame Impfstoffe für alle vier Infektionen verfügbar, aber Impfquoten bei Älteren und besonders bei Gesundheitspersonal deutlich unter Zielwert; post-COVID-Hesitancy gestiegen. Empfehlung: verbesserte Information und Aufklärung für Öffentlichkeit und Fachpersonal als wirksamste Strategie.</w:t>
      </w:r>
    </w:p>
    <w:p>
      <w:r>
        <w:rPr>
          <w:b/>
          <w:sz w:val="19"/>
        </w:rPr>
        <w:t xml:space="preserve">Übertragbarkeit: </w:t>
      </w:r>
      <w:r>
        <w:rPr>
          <w:sz w:val="19"/>
        </w:rPr>
        <w:t>Frankreich, vergleichbares Sozialversicherungssystem mit Deutschland.</w:t>
      </w:r>
    </w:p>
    <w:p>
      <w:r>
        <w:rPr>
          <w:color w:val="5A7D3A"/>
          <w:sz w:val="18"/>
        </w:rPr>
        <w:t>https://pubmed.ncbi.nlm.nih.gov/42842819/</w:t>
      </w:r>
    </w:p>
    <w:p>
      <w:pPr>
        <w:pStyle w:val="Heading2"/>
      </w:pPr>
      <w:r>
        <w:t>SARS-CoV-2-Impfung nach allogener Stammzelltransplantation: verzögerte Immunantwort, aber gut verträglich</w:t>
      </w:r>
    </w:p>
    <w:p>
      <w:r>
        <w:rPr>
          <w:i/>
          <w:color w:val="666666"/>
          <w:sz w:val="18"/>
        </w:rPr>
        <w:t>Crodel CC et al.  ·  J Cancer Res Clin Oncol  ·  01.10.2026  ·  PMID 42828557</w:t>
      </w:r>
    </w:p>
    <w:p>
      <w:r>
        <w:t>Retrospektive Kohortenstudie von 114 Patienten nach allogener hämatopoetischer Stammzelltransplantation (alloHSCT) zur Immunogenität und Sicherheit der SARS-CoV-2-Impfung.</w:t>
      </w:r>
    </w:p>
    <w:p>
      <w:r>
        <w:rPr>
          <w:b/>
        </w:rPr>
        <w:t xml:space="preserve">Ergebnis: </w:t>
      </w:r>
      <w:r>
        <w:t>89,4 % waren mindestens zweifach geimpft, 66,7 % dreifach. Nach 2. Dosis erreichten 81,8 % anti-Spike-IgG-Seropositivität, nach 3. Dosis 96,1 %. Patienten geimpft &lt;24 Monate nach alloHSCT hatten signifikant niedrigere IgG-Titer (p=0,017). Häufigste Nebenwirkungen: Armschmerz (34 %), Schwellung (14 %), Gliederschmerzen (17 %). Timing der Impfung beeinflusst Immunantwort.</w:t>
      </w:r>
    </w:p>
    <w:p>
      <w:r>
        <w:rPr>
          <w:b/>
          <w:sz w:val="19"/>
        </w:rPr>
        <w:t xml:space="preserve">Übertragbarkeit: </w:t>
      </w:r>
      <w:r>
        <w:rPr>
          <w:sz w:val="19"/>
        </w:rPr>
        <w:t>Deutsche Klinikdaten, Impfung von Hochrisikopatienten in Regeldokumenten häufig.</w:t>
      </w:r>
    </w:p>
    <w:p>
      <w:r>
        <w:rPr>
          <w:color w:val="5A7D3A"/>
          <w:sz w:val="18"/>
        </w:rPr>
        <w:t>https://pubmed.ncbi.nlm.nih.gov/42828557/</w:t>
      </w:r>
    </w:p>
    <w:p>
      <w:pPr>
        <w:pStyle w:val="Heading2"/>
      </w:pPr>
      <w:r>
        <w:t>Abwasser-Antikörper spiegeln Bevölkerungsimmunität gegen SARS-CoV-2 wider</w:t>
      </w:r>
    </w:p>
    <w:p>
      <w:r>
        <w:rPr>
          <w:i/>
          <w:color w:val="666666"/>
          <w:sz w:val="18"/>
        </w:rPr>
        <w:t>Wannigama DL et al.  ·  Water Res  ·  01.11.2026  ·  PMID 42542021</w:t>
      </w:r>
    </w:p>
    <w:p>
      <w:r>
        <w:t>Longitudinale Kohortenstudie über 3 Jahre (2020–2022) in urbanen und ländlichen Communities in Thailand (ca. 18 Mio. Menschen) zur Messung von Infektions- und Impfintensität via Abwasser.</w:t>
      </w:r>
    </w:p>
    <w:p>
      <w:r>
        <w:rPr>
          <w:b/>
        </w:rPr>
        <w:t xml:space="preserve">Ergebnis: </w:t>
      </w:r>
      <w:r>
        <w:t>Viral RNA zeigte schnellen Anstieg und Rückgang nach Symptombeginn; anti-SARS-CoV-2-IgG verzögert (Peak ~50 Tage), Persistenz mehrere Monate. Nach Impfstart und Infektionswellen konvergierten RNA- und Antikörper-Inzidenzschätzungen, besonders in hochgeimpften urbanen Gebieten. Abwasser-Antikörper korrelierten mit Impfquoten (verzögerter zeitlicher Zusammenhang), schwächer mit Mortalität. Modell ermöglicht parallele Erfassung von Infektionslast und Bevölkerungsimmunität.</w:t>
      </w:r>
    </w:p>
    <w:p>
      <w:r>
        <w:rPr>
          <w:b/>
          <w:sz w:val="19"/>
        </w:rPr>
        <w:t xml:space="preserve">Übertragbarkeit: </w:t>
      </w:r>
      <w:r>
        <w:rPr>
          <w:sz w:val="19"/>
        </w:rPr>
        <w:t>Thailand - Methodisch innovativ für Populationsüberwachung; deutsche Gesundheitsämter könnten Abwasser-Surveillance für Impfquoten-Monitoring nutzen.</w:t>
      </w:r>
    </w:p>
    <w:p>
      <w:r>
        <w:rPr>
          <w:color w:val="5A7D3A"/>
          <w:sz w:val="18"/>
        </w:rPr>
        <w:t>https://pubmed.ncbi.nlm.nih.gov/42542021/</w:t>
      </w:r>
    </w:p>
    <w:p>
      <w:pPr>
        <w:pStyle w:val="Heading1"/>
      </w:pPr>
      <w:r>
        <w:t>Aufgenommen am 10.10.2026</w:t>
      </w:r>
    </w:p>
    <w:p>
      <w:pPr>
        <w:pStyle w:val="Heading2"/>
      </w:pPr>
      <w:r>
        <w:t>COVID-19-Impfstoffe zeigen über alle Bevölkerungsgruppen hinweg vergleichbares Sicherheitsprofil</w:t>
      </w:r>
    </w:p>
    <w:p>
      <w:r>
        <w:rPr>
          <w:i/>
          <w:color w:val="666666"/>
          <w:sz w:val="18"/>
        </w:rPr>
        <w:t>Alidema F et al.  ·  Cent Eur J Public Health  ·  Sept. 2026  ·  PMID 42853050</w:t>
      </w:r>
    </w:p>
    <w:p>
      <w:r>
        <w:t>Retrospektive Kohortenstudie an 1.000 Personen im Kosovo (600 mit chronischen Erkrankungen, 400 ohne) zur Verträglichkeit nach drei COVID-19-Impfdosen.</w:t>
      </w:r>
    </w:p>
    <w:p>
      <w:r>
        <w:rPr>
          <w:b/>
        </w:rPr>
        <w:t xml:space="preserve">Ergebnis: </w:t>
      </w:r>
      <w:r>
        <w:t>68,5 % berichteten mindestens eine Nebenwirkung, höher bei chronischen Erkrankungen (74,3 %) vs. ohne (59,7 %; p = 0,01). Häufigste Reaktionen waren leicht und vorübergehend: Injektionsstelle-Schmerz (39,2 %), Fatigue (27,6 %), Kopfschmerz (21,4 %), leichtes Fieber (18,9 %). Schwerwiegende Ereignisse wie allergische oder kardiale Reaktionen waren selten (1,2 %). Keine signifikanten Unterschiede zwischen Impfstofftypen.</w:t>
      </w:r>
    </w:p>
    <w:p>
      <w:r>
        <w:rPr>
          <w:b/>
          <w:sz w:val="19"/>
        </w:rPr>
        <w:t xml:space="preserve">Übertragbarkeit: </w:t>
      </w:r>
      <w:r>
        <w:rPr>
          <w:sz w:val="19"/>
        </w:rPr>
        <w:t>Kosovo, aber Nebenwirkungsprofil international belastbar</w:t>
      </w:r>
    </w:p>
    <w:p>
      <w:r>
        <w:rPr>
          <w:color w:val="5A7D3A"/>
          <w:sz w:val="18"/>
        </w:rPr>
        <w:t>https://pubmed.ncbi.nlm.nih.gov/42853050/</w:t>
      </w:r>
    </w:p>
    <w:p>
      <w:pPr>
        <w:pStyle w:val="Heading2"/>
      </w:pPr>
      <w:r>
        <w:t>Ärztliche Empfehlung erhöht Influenzaimpfung bei Schwangeren um das Zehnfache</w:t>
      </w:r>
    </w:p>
    <w:p>
      <w:r>
        <w:rPr>
          <w:i/>
          <w:color w:val="666666"/>
          <w:sz w:val="18"/>
        </w:rPr>
        <w:t>Uzun A et al.  ·  Cent Eur J Public Health  ·  11.09.2026  ·  PMID 42853049</w:t>
      </w:r>
    </w:p>
    <w:p>
      <w:r>
        <w:t>Prospektive Beobachtungsstudie an 356 schwangeren Frauen in der Türkei zur Frage, ob eine ärztliche Impfempfehlung die Inanspruchnahme von Influenzaimpfstoff beeinflusst.</w:t>
      </w:r>
    </w:p>
    <w:p>
      <w:r>
        <w:rPr>
          <w:b/>
        </w:rPr>
        <w:t xml:space="preserve">Ergebnis: </w:t>
      </w:r>
      <w:r>
        <w:t>Gesamtquote der Influenzaimpfung in der Schwangerschaft 7,6 %. Bei ärztlicher Empfehlung stieg die Quote auf 15,2 % gegenüber 1,5 % ohne Empfehlung (RR 10,0; 95%-KI 3,07–32,69; p &lt; 0,001). In multivariater Analyse blieb die ärztliche Empfehlung unabhängiger Prädiktor (aOR 10,39; 95%-KI 3,00–35,97; p &lt; 0,001). Häufigste Ablehnungsgründe: mangelndes Vertrauen (42,2 %) und wahrgenommene Unnötigkeit (36,2 %).</w:t>
      </w:r>
    </w:p>
    <w:p>
      <w:r>
        <w:rPr>
          <w:b/>
          <w:sz w:val="19"/>
        </w:rPr>
        <w:t xml:space="preserve">Übertragbarkeit: </w:t>
      </w:r>
      <w:r>
        <w:rPr>
          <w:sz w:val="19"/>
        </w:rPr>
        <w:t>Türkei, aber Befund zu Arzt-Patient-Kommunikation international übertragbar</w:t>
      </w:r>
    </w:p>
    <w:p>
      <w:r>
        <w:rPr>
          <w:color w:val="5A7D3A"/>
          <w:sz w:val="18"/>
        </w:rPr>
        <w:t>https://pubmed.ncbi.nlm.nih.gov/42853049/</w:t>
      </w:r>
    </w:p>
    <w:p>
      <w:pPr>
        <w:pStyle w:val="Heading2"/>
      </w:pPr>
      <w:r>
        <w:t>HPV-Impfung ab 27 Jahren: wer profitiert, wann anbieten, wie beraten</w:t>
      </w:r>
    </w:p>
    <w:p>
      <w:r>
        <w:rPr>
          <w:i/>
          <w:color w:val="666666"/>
          <w:sz w:val="18"/>
        </w:rPr>
        <w:t>Broul M et al.  ·  Cent Eur J Public Health  ·  Sept. 2026  ·  PMID 42853048</w:t>
      </w:r>
    </w:p>
    <w:p>
      <w:r>
        <w:t>Narrative Übersichtsarbeit, die internationale Leitlinien der WHO, ECDC und USA zur HPV-Impfung im Alter 27–45 Jahre in praktische Beratungsempfehlungen für Kliniker übersetzen möchte.</w:t>
      </w:r>
    </w:p>
    <w:p>
      <w:r>
        <w:rPr>
          <w:b/>
        </w:rPr>
        <w:t xml:space="preserve">Ergebnis: </w:t>
      </w:r>
      <w:r>
        <w:t>Globale und europäische Leitlinien betonen Nutzen von hoher Abdeckung vor Sexualdebüt und unterstützen keine Routineprogramme für Erwachsene. Im Gegensatz dazu empfehlen USA gemeinsame klinische Entscheidungsfindung für 27–45-Jährige, da manche — insbesondere nicht ausreichend Geimpfte, solche mit neuen Partnerschaften oder in Hochexpositions-Netzwerken (z. B. MSM) oder Immunsupprimierte — persönlichen Nutzen erhalten könnten. Impfwirksamkeit höchst bei Personen ohne vorherige Exposition gegenüber Impfstoff-HPV-Typen. Nach Zervixkonisation Evidenz gemischt.</w:t>
      </w:r>
    </w:p>
    <w:p>
      <w:r>
        <w:rPr>
          <w:b/>
          <w:sz w:val="19"/>
        </w:rPr>
        <w:t xml:space="preserve">Übertragbarkeit: </w:t>
      </w:r>
      <w:r>
        <w:rPr>
          <w:sz w:val="19"/>
        </w:rPr>
        <w:t>ECDC/Europa und USA, Beratungsrahmen auf deutsches System übertragbar</w:t>
      </w:r>
    </w:p>
    <w:p>
      <w:r>
        <w:rPr>
          <w:color w:val="5A7D3A"/>
          <w:sz w:val="18"/>
        </w:rPr>
        <w:t>https://pubmed.ncbi.nlm.nih.gov/42853048/</w:t>
      </w:r>
    </w:p>
    <w:p>
      <w:pPr>
        <w:pStyle w:val="Heading2"/>
      </w:pPr>
      <w:r>
        <w:t>Influenzaimpfstoff-Wirksamkeit 2024/2025 in China: moderate Schutzquote mit Kontaktmuster-Assoziation</w:t>
      </w:r>
    </w:p>
    <w:p>
      <w:r>
        <w:rPr>
          <w:i/>
          <w:color w:val="666666"/>
          <w:sz w:val="18"/>
        </w:rPr>
        <w:t>Chen L et al.  ·  J Glob Health  ·  09.10.2026  ·  PMID 42852605</w:t>
      </w:r>
    </w:p>
    <w:p>
      <w:r>
        <w:t>Test-Negativ-Fall-Kontroll-Studie an 928 ambulanten Patienten mit Infektionszeichen der oberen Atemwege an drei Sentinelkliniken in Xinjiang (Dezember 2024 bis März 2025).</w:t>
      </w:r>
    </w:p>
    <w:p>
      <w:r>
        <w:rPr>
          <w:b/>
        </w:rPr>
        <w:t xml:space="preserve">Ergebnis: </w:t>
      </w:r>
      <w:r>
        <w:t>921 Patienten eingeschlossen (121 influenzapositiv, 786 negativ). Gesamte angepasste Impfeffektivität gegen medizinisch betreute Influenza 42,3 % (95%-GI 11,1–62,5). Kinder (0–10 Jahre) und ältere Erwachsene (≥ 65 Jahre) mit positivem Test berichteten häufigere und längere soziale Kontakte als Negativ-Getestete. Sekvenzbefunde an 6 Proben deuteten auf keine größere Antigendiskrepanz mit Impfstoffstämmen.</w:t>
      </w:r>
    </w:p>
    <w:p>
      <w:r>
        <w:rPr>
          <w:b/>
          <w:sz w:val="19"/>
        </w:rPr>
        <w:t xml:space="preserve">Übertragbarkeit: </w:t>
      </w:r>
      <w:r>
        <w:rPr>
          <w:sz w:val="19"/>
        </w:rPr>
        <w:t>China, aber Wirksamkeitsendpunkt und Kontaktmuster international relevant</w:t>
      </w:r>
    </w:p>
    <w:p>
      <w:r>
        <w:rPr>
          <w:color w:val="5A7D3A"/>
          <w:sz w:val="18"/>
        </w:rPr>
        <w:t>https://pubmed.ncbi.nlm.nih.gov/42852605/</w:t>
      </w:r>
    </w:p>
    <w:p>
      <w:pPr>
        <w:pStyle w:val="Heading2"/>
      </w:pPr>
      <w:r>
        <w:t>COVID-19-Pandemie senkte Kinderimpfquoten in den Niederlanden anhaltend</w:t>
      </w:r>
    </w:p>
    <w:p>
      <w:r>
        <w:rPr>
          <w:i/>
          <w:color w:val="666666"/>
          <w:sz w:val="18"/>
        </w:rPr>
        <w:t>Pijpers J et al.  ·  Euro Surveill  ·  Okt. 2026  ·  PMID 42852520</w:t>
      </w:r>
    </w:p>
    <w:p>
      <w:r>
        <w:t>Niederländische Registeranalyse aller 2016–2024 geborenen Kinder zur Auswirkung von COVID-19 auf die Inanspruchnahme der Erstimpfung gegen Diphtherie, Tetanus, Pertussis und Poliomyelitis (DTaP-IPV) bis zum 6. Lebensmonat.</w:t>
      </w:r>
    </w:p>
    <w:p>
      <w:r>
        <w:rPr>
          <w:b/>
        </w:rPr>
        <w:t xml:space="preserve">Ergebnis: </w:t>
      </w:r>
      <w:r>
        <w:t>Unterbrochene Zeitreihenanalyse zeigte signifikante Abfälle bei Pandemiebeginn und -ende sowie fortlaufenden Rückgang während der Pandemie (OR 0,984; 95%-KI 0,981–0,986). In der Matched-Sibling-Analyse hatten Kinder, die während der Pandemie oder danach geimpft werden konnten, niedrigere Chancen als ihre vor der Pandemie geborenen Geschwister (Pandemie: OR 0,66, 95%-KI 0,55–0,80; nach Pandemie: OR 0,20, 95%-KI 0,17–0,25). Die Impfquoten erholten sich auch nach Ende der Pandemie nicht.</w:t>
      </w:r>
    </w:p>
    <w:p>
      <w:r>
        <w:rPr>
          <w:b/>
          <w:sz w:val="19"/>
        </w:rPr>
        <w:t xml:space="preserve">Übertragbarkeit: </w:t>
      </w:r>
      <w:r>
        <w:rPr>
          <w:sz w:val="19"/>
        </w:rPr>
        <w:t>Niederlande mit Impfregister und vergleichbarem Versicherungssystem</w:t>
      </w:r>
    </w:p>
    <w:p>
      <w:r>
        <w:rPr>
          <w:color w:val="5A7D3A"/>
          <w:sz w:val="18"/>
        </w:rPr>
        <w:t>https://pubmed.ncbi.nlm.nih.gov/42852520/</w:t>
      </w:r>
    </w:p>
    <w:p>
      <w:pPr>
        <w:pStyle w:val="Heading2"/>
      </w:pPr>
      <w:r>
        <w:t>Bildungsstand bestimmt COVID-19-Impfquote bei Schwangeren in Polen</w:t>
      </w:r>
    </w:p>
    <w:p>
      <w:r>
        <w:rPr>
          <w:i/>
          <w:color w:val="666666"/>
          <w:sz w:val="18"/>
        </w:rPr>
        <w:t>Hinca KM et al.  ·  Front Public Health  ·  24.09.2026  ·  PMID 42851628</w:t>
      </w:r>
    </w:p>
    <w:p>
      <w:r>
        <w:t>Querschnittstudie mit 675 schwangeren Frauen, die zwischen November 2021 und Februar 2022 im Kreißsaal aufgenommen wurden, zu Faktoren der COVID-19-Impfbereitschaft in der Gravidität.</w:t>
      </w:r>
    </w:p>
    <w:p>
      <w:r>
        <w:rPr>
          <w:b/>
        </w:rPr>
        <w:t xml:space="preserve">Ergebnis: </w:t>
      </w:r>
      <w:r>
        <w:t>Über 50 % der Befragten waren gegen COVID-19 in der Schwangerschaft geimpft. Niedrigere Schulbildung war konsistent mit niedrigerer Impfwahrscheinlichkeit assoziiert. Höheres Alter und Wohnort in Großstadt waren mit höherer Impfquote verknüpft. Geburtshilfliche Vorgeschichte zeigte keine signifikante Assoziation. Demografische Ungleichheit bei der Impfannahme bildete sich deutlich ab.</w:t>
      </w:r>
    </w:p>
    <w:p>
      <w:r>
        <w:rPr>
          <w:b/>
          <w:sz w:val="19"/>
        </w:rPr>
        <w:t xml:space="preserve">Übertragbarkeit: </w:t>
      </w:r>
      <w:r>
        <w:rPr>
          <w:sz w:val="19"/>
        </w:rPr>
        <w:t>Polen, vergleichbares europäisches Gesundheitssystem</w:t>
      </w:r>
    </w:p>
    <w:p>
      <w:r>
        <w:rPr>
          <w:color w:val="5A7D3A"/>
          <w:sz w:val="18"/>
        </w:rPr>
        <w:t>https://pubmed.ncbi.nlm.nih.gov/42851628/</w:t>
      </w:r>
    </w:p>
    <w:p>
      <w:pPr>
        <w:pStyle w:val="Heading1"/>
      </w:pPr>
      <w:r>
        <w:t>Aufgenommen am 09.10.2026</w:t>
      </w:r>
    </w:p>
    <w:p>
      <w:pPr>
        <w:pStyle w:val="Heading2"/>
      </w:pPr>
      <w:r>
        <w:t>Impfprice und Botschaftsrahmen beeinflussen Impfbereitschaft gegen Influenza in China</w:t>
      </w:r>
    </w:p>
    <w:p>
      <w:r>
        <w:rPr>
          <w:i/>
          <w:color w:val="666666"/>
          <w:sz w:val="18"/>
        </w:rPr>
        <w:t>Chu Y et al.  ·  Hum Vaccin Immunother  ·  31.12.2026  ·  PMID 42850200</w:t>
      </w:r>
    </w:p>
    <w:p>
      <w:r>
        <w:t>Experimentelle Studie mit 1.408 chinesischen Studierenden zur Wirkung von Preis, Nachrichtenframing (Gewinn vs. Verlust) und Werteorientierung (individualistisch vs. kollektivistisch) auf Bereitschaft zur Grippeimpfung.</w:t>
      </w:r>
    </w:p>
    <w:p>
      <w:r>
        <w:rPr>
          <w:b/>
        </w:rPr>
        <w:t xml:space="preserve">Ergebnis: </w:t>
      </w:r>
      <w:r>
        <w:t>Impfbereitschaft sank mit steigendem Preis signifikant. Bei kostenloser Impfung: keine signifikanten Unterschiede zwischen Botschaftstypen. Bei Bezahlung: Verlust-gerahmt und individualistisch-orientiert Botschaften wirksamer; individualistisch-Verlust-Botschaft zeigte stärksten Effekt. Perceived severity und vaccine effectiveness vermittelten den Effekt.</w:t>
      </w:r>
    </w:p>
    <w:p>
      <w:r>
        <w:rPr>
          <w:b/>
          <w:sz w:val="19"/>
        </w:rPr>
        <w:t xml:space="preserve">Übertragbarkeit: </w:t>
      </w:r>
      <w:r>
        <w:rPr>
          <w:sz w:val="19"/>
        </w:rPr>
        <w:t>China – Befragungsstudie; kulturelle Besonderheiten, begrenzte Übertragbarkeit auf Deutschland</w:t>
      </w:r>
    </w:p>
    <w:p>
      <w:r>
        <w:rPr>
          <w:color w:val="5A7D3A"/>
          <w:sz w:val="18"/>
        </w:rPr>
        <w:t>https://pubmed.ncbi.nlm.nih.gov/42850200/</w:t>
      </w:r>
    </w:p>
    <w:p>
      <w:pPr>
        <w:pStyle w:val="Heading2"/>
      </w:pPr>
      <w:r>
        <w:t>Pneumokokkenimpfung in Südafrika: Kosteneffektivität PCV20 vs. PPSV23 bei HIV-Risikogruppen</w:t>
      </w:r>
    </w:p>
    <w:p>
      <w:r>
        <w:rPr>
          <w:i/>
          <w:color w:val="666666"/>
          <w:sz w:val="18"/>
        </w:rPr>
        <w:t>Wang WW et al.  ·  Hum Vaccin Immunother  ·  08.10.2026  ·  PMID 42849061</w:t>
      </w:r>
    </w:p>
    <w:p>
      <w:r>
        <w:t>Statische Entscheidungsbaummodellierung aus Perspektive südafrikanischer Gesundheitskassen zur Kosteneffektivität von PCV20 vs. PPSV23 bei über 65-Jährigen, mit HIV-Stratifizierung.</w:t>
      </w:r>
    </w:p>
    <w:p>
      <w:r>
        <w:rPr>
          <w:b/>
        </w:rPr>
        <w:t xml:space="preserve">Ergebnis: </w:t>
      </w:r>
      <w:r>
        <w:t>Bei Allgemeinbevölkerung ≥65 Jahre: PCV20 mehr Gesundheitsnutzen, aber ICER 17.323 USD/QALY (nicht kosteneffektiv zu aktuellen Preisen). Bei älteren Erwachsenen mit HIV: ICER 2.104 USD/QALY (kosteneffektiv). Kosten Haupttreiber; zielgerichtete Impfung von HIV+ Älteren effizienter als universale Strategie.</w:t>
      </w:r>
    </w:p>
    <w:p>
      <w:r>
        <w:rPr>
          <w:b/>
          <w:sz w:val="19"/>
        </w:rPr>
        <w:t xml:space="preserve">Übertragbarkeit: </w:t>
      </w:r>
      <w:r>
        <w:rPr>
          <w:sz w:val="19"/>
        </w:rPr>
        <w:t>Südafrika – Modellstudie; HIV-Prävalenz und Ressourcenlimitierungen nicht auf Deutschland übertragbar</w:t>
      </w:r>
    </w:p>
    <w:p>
      <w:r>
        <w:rPr>
          <w:color w:val="5A7D3A"/>
          <w:sz w:val="18"/>
        </w:rPr>
        <w:t>https://pubmed.ncbi.nlm.nih.gov/42849061/</w:t>
      </w:r>
    </w:p>
    <w:p>
      <w:pPr>
        <w:pStyle w:val="Heading2"/>
      </w:pPr>
      <w:r>
        <w:t>Interventionen gegen Impfskepsis im Kindes- und Jugendalter 2012–2023: Integrative Übersicht</w:t>
      </w:r>
    </w:p>
    <w:p>
      <w:r>
        <w:rPr>
          <w:i/>
          <w:color w:val="666666"/>
          <w:sz w:val="18"/>
        </w:rPr>
        <w:t>Rocha FMD et al.  ·  Cien Saude Colet  ·  05.10.2026  ·  PMID 42848635</w:t>
      </w:r>
    </w:p>
    <w:p>
      <w:r>
        <w:t>Integrative Literaturübersicht über 45 Interventionsstudien zur Minderung von Vaccine Hesitancy bei Kinder- und Jugendimpfungen über 12 Jahre, systematisiert nach Methodik, Zielgruppe, Impfstoff und Evidenzlevel.</w:t>
      </w:r>
    </w:p>
    <w:p>
      <w:r>
        <w:rPr>
          <w:b/>
        </w:rPr>
        <w:t xml:space="preserve">Ergebnis: </w:t>
      </w:r>
      <w:r>
        <w:t>Mehrheit 2021–2023 veröffentlicht; quantitativ dominierend; Zielgruppe meist Eltern/Betreuer; häufigste Intervention: digitale Bildungsinhalte. Konvergenz mit Cs-Modell (Confidence, Complacency, Convenience). Interventionen können Strategien gegen Vaccine Hesitancy und evidenzgestützte Politiken informieren.</w:t>
      </w:r>
    </w:p>
    <w:p>
      <w:r>
        <w:rPr>
          <w:b/>
          <w:sz w:val="19"/>
        </w:rPr>
        <w:t xml:space="preserve">Übertragbarkeit: </w:t>
      </w:r>
      <w:r>
        <w:rPr>
          <w:sz w:val="19"/>
        </w:rPr>
        <w:t>Brasilien/Portugiesischsprachig – narrative Übersichtsarbeit ohne quantitativ beschriebene Erfolgsraten</w:t>
      </w:r>
    </w:p>
    <w:p>
      <w:r>
        <w:rPr>
          <w:color w:val="5A7D3A"/>
          <w:sz w:val="18"/>
        </w:rPr>
        <w:t>https://pubmed.ncbi.nlm.nih.gov/42848635/</w:t>
      </w:r>
    </w:p>
    <w:p>
      <w:pPr>
        <w:pStyle w:val="Heading2"/>
      </w:pPr>
      <w:r>
        <w:t>HPV-Impfung vor Schwangerschaft senkt Risiken für ungünstige Schwangerschaftsergebnisse</w:t>
      </w:r>
    </w:p>
    <w:p>
      <w:r>
        <w:rPr>
          <w:i/>
          <w:color w:val="666666"/>
          <w:sz w:val="18"/>
        </w:rPr>
        <w:t>Zhang Z et al.  ·  BMJ  ·  07.10.2026  ·  PMID 42843853</w:t>
      </w:r>
    </w:p>
    <w:p>
      <w:r>
        <w:t>Bevölkerungsbasierte Matched-Case-Control-Studie in Schweden zur Assoziation zwischen quadrivalenter HPV-Impfung vor Schwangerschaft und Schwangerschaftskomplikationen bei 624.713 Geburten zwischen 2006 und 2023.</w:t>
      </w:r>
    </w:p>
    <w:p>
      <w:r>
        <w:rPr>
          <w:b/>
        </w:rPr>
        <w:t xml:space="preserve">Ergebnis: </w:t>
      </w:r>
      <w:r>
        <w:t>HPV-Impfung war mit niedrigeren Odds für ungünstige Schwangerschaftsergebnisse assoziiert: Frühgeborene &lt;37 Wochen (aOR 0,95, 95%-KI 0,91–0,99), sehr Frühgeborene 28–31 Wochen (aOR 0,85, 95%-KI 0,75–0,97), schwere Wachstumsretardierung (aOR 0,92, 95%-KI 0,87–0,97). Nutzen größer bei Impfung in jüngerem Alter.</w:t>
      </w:r>
    </w:p>
    <w:p>
      <w:r>
        <w:rPr>
          <w:b/>
          <w:sz w:val="19"/>
        </w:rPr>
        <w:t xml:space="preserve">Übertragbarkeit: </w:t>
      </w:r>
      <w:r>
        <w:rPr>
          <w:sz w:val="19"/>
        </w:rPr>
        <w:t>Schweden – Registerdata, vergleichbares europäisches Gesundheitssystem</w:t>
      </w:r>
    </w:p>
    <w:p>
      <w:r>
        <w:rPr>
          <w:color w:val="5A7D3A"/>
          <w:sz w:val="18"/>
        </w:rPr>
        <w:t>https://pubmed.ncbi.nlm.nih.gov/42843853/</w:t>
      </w:r>
    </w:p>
    <w:p>
      <w:pPr>
        <w:pStyle w:val="Heading2"/>
      </w:pPr>
      <w:r>
        <w:t>Determinanten der Kinderimpfung unterscheiden sich in konfliktbetroffenen und stabilen Regionen Kameruns</w:t>
      </w:r>
    </w:p>
    <w:p>
      <w:r>
        <w:rPr>
          <w:i/>
          <w:color w:val="666666"/>
          <w:sz w:val="18"/>
        </w:rPr>
        <w:t>Rossi R et al.  ·  Front Public Health  ·  21.09.2026  ·  PMID 42835095</w:t>
      </w:r>
    </w:p>
    <w:p>
      <w:r>
        <w:t>Sekundäranalyse der Demographic and Health Survey 2018 Kamerun bei 1.824 Kindern im Alter 12–23 Monaten zur Assoziation zwischen Konfliktregionen und vollständiger Grundimpfung.</w:t>
      </w:r>
    </w:p>
    <w:p>
      <w:r>
        <w:rPr>
          <w:b/>
        </w:rPr>
        <w:t xml:space="preserve">Ergebnis: </w:t>
      </w:r>
      <w:r>
        <w:t>Gesamtimpfquote 53,1%; in Konfliktregionen 45,3% vs. nicht betroffen 56,0%. Nach Anpassung war Konflikt-Status nicht unabhängig assoziiert. Signifikante Prädiktoren überall: höheres Haushaltseinkommen, mütterliche Sekundar-/Hochschulbildung, Antenatal- und Postnatalbetreuung. Unterschiede nur in nicht-konfligierenden Regionen relevant.</w:t>
      </w:r>
    </w:p>
    <w:p>
      <w:r>
        <w:rPr>
          <w:b/>
          <w:sz w:val="19"/>
        </w:rPr>
        <w:t xml:space="preserve">Übertragbarkeit: </w:t>
      </w:r>
      <w:r>
        <w:rPr>
          <w:sz w:val="19"/>
        </w:rPr>
        <w:t>Kamerun – DHS-Daten; Armuts- und Konfliktkontext, begrenzte Übertragbarkeit</w:t>
      </w:r>
    </w:p>
    <w:p>
      <w:r>
        <w:rPr>
          <w:color w:val="5A7D3A"/>
          <w:sz w:val="18"/>
        </w:rPr>
        <w:t>https://pubmed.ncbi.nlm.nih.gov/42835095/</w:t>
      </w:r>
    </w:p>
    <w:p>
      <w:pPr>
        <w:pStyle w:val="Heading2"/>
      </w:pPr>
      <w:r>
        <w:t>Impfempfehlungen für pädiatrische Transplantationsempfänger – Positionspapier des europäischen Referenznetzwerks</w:t>
      </w:r>
    </w:p>
    <w:p>
      <w:r>
        <w:rPr>
          <w:i/>
          <w:color w:val="666666"/>
          <w:sz w:val="18"/>
        </w:rPr>
        <w:t>Casotti V et al.  ·  J Pediatr Gastroenterol Nutr  ·  07.08.2026  ·  PMID 42563542</w:t>
      </w:r>
    </w:p>
    <w:p>
      <w:r>
        <w:t>Systematische Übersichtsarbeit mit evidenzgestützten Empfehlungen zu Impfungen bei Kindern nach Solid-Organ- oder Stammzelltransplantation, basierend auf Literaturanalyse und Konsens von Fachleuten aus 13 europäischen Ländern.</w:t>
      </w:r>
    </w:p>
    <w:p>
      <w:r>
        <w:rPr>
          <w:b/>
        </w:rPr>
        <w:t xml:space="preserve">Ergebnis: </w:t>
      </w:r>
      <w:r>
        <w:t>Bisher niedrige Impfquoten trotz etablierter Richtlinien; Barrieren: unvollständiger Impfstatus vor Transplantation, reduzierte Wirksamkeit durch Immunsuppression, Timing-Unsicherheiten, Vaccine Hesitancy. Empfehlungen: zeitnahe Immunisierung, optimales Timing nach Immunrekonstitution, Catch-up-Impfungen vor Transplantation.</w:t>
      </w:r>
    </w:p>
    <w:p>
      <w:r>
        <w:rPr>
          <w:b/>
          <w:sz w:val="19"/>
        </w:rPr>
        <w:t xml:space="preserve">Übertragbarkeit: </w:t>
      </w:r>
      <w:r>
        <w:rPr>
          <w:sz w:val="19"/>
        </w:rPr>
        <w:t>Europa (13 Länder) – Positionspapier; deutsche Zentren teilweise beteiligt</w:t>
      </w:r>
    </w:p>
    <w:p>
      <w:r>
        <w:rPr>
          <w:color w:val="5A7D3A"/>
          <w:sz w:val="18"/>
        </w:rPr>
        <w:t>https://pubmed.ncbi.nlm.nih.gov/42563542/</w:t>
      </w:r>
    </w:p>
    <w:p>
      <w:pPr>
        <w:pStyle w:val="Heading1"/>
      </w:pPr>
      <w:r>
        <w:t>Aufgenommen am 08.10.2026</w:t>
      </w:r>
    </w:p>
    <w:p>
      <w:pPr>
        <w:pStyle w:val="Heading2"/>
      </w:pPr>
      <w:r>
        <w:t>Impfskepsis gegen COVID-19-Booster clustert in Haushalten und Gemeinden – China</w:t>
      </w:r>
    </w:p>
    <w:p>
      <w:r>
        <w:rPr>
          <w:i/>
          <w:color w:val="666666"/>
          <w:sz w:val="18"/>
        </w:rPr>
        <w:t>Zhang Y et al.  ·  JMIR Public Health Surveill  ·  07.10.2026  ·  PMID 42842944</w:t>
      </w:r>
    </w:p>
    <w:p>
      <w:r>
        <w:t>Haushaltsbasierte Querschnittsbefragung zur Clusterung von Vaccine Hesitancy gegenüber COVID-19-Booster-Impfung nach individuellen, Haushalts- und Gemeinde-Ebenen.</w:t>
      </w:r>
    </w:p>
    <w:p>
      <w:r>
        <w:rPr>
          <w:b/>
        </w:rPr>
        <w:t xml:space="preserve">Ergebnis: </w:t>
      </w:r>
      <w:r>
        <w:t>27,0 % zeigten gleichzeitige Hesitancy bei aktuellen und zukünftigen Booster-Absichten; 77,73 % der Varianz waren auf Haushalts- und Gemeinde-Ebene zurückzuführen; Selbstwirksamkeit und vorherige COVID-19-Impfung waren stärkste Schutzfaktoren gegen Hesitancy.</w:t>
      </w:r>
    </w:p>
    <w:p>
      <w:r>
        <w:rPr>
          <w:b/>
          <w:sz w:val="19"/>
        </w:rPr>
        <w:t xml:space="preserve">Übertragbarkeit: </w:t>
      </w:r>
      <w:r>
        <w:rPr>
          <w:sz w:val="19"/>
        </w:rPr>
        <w:t>China, soziales Clustern; Mechanismen für haushalts- und gemeindebasierte Interventionen gelten international.</w:t>
      </w:r>
    </w:p>
    <w:p>
      <w:r>
        <w:rPr>
          <w:color w:val="5A7D3A"/>
          <w:sz w:val="18"/>
        </w:rPr>
        <w:t>https://pubmed.ncbi.nlm.nih.gov/42842944/</w:t>
      </w:r>
    </w:p>
    <w:p>
      <w:pPr>
        <w:pStyle w:val="Heading2"/>
      </w:pPr>
      <w:r>
        <w:t>Herpes-zoster-Impfung an Zahlungsbarriere gescheitert – Intention-Verhalten-Lücke in Taiwan</w:t>
      </w:r>
    </w:p>
    <w:p>
      <w:r>
        <w:rPr>
          <w:i/>
          <w:color w:val="666666"/>
          <w:sz w:val="18"/>
        </w:rPr>
        <w:t>Liou FY et al.  ·  Hum Vaccin Immunother  ·  07.10.2026  ·  PMID 42842236</w:t>
      </w:r>
    </w:p>
    <w:p>
      <w:r>
        <w:t>Nationale Querschnittsumfrage zu Determinanten der Herpes-zoster-Impfung in einem System ohne universelle Kostenübernahme.</w:t>
      </w:r>
    </w:p>
    <w:p>
      <w:r>
        <w:rPr>
          <w:b/>
        </w:rPr>
        <w:t xml:space="preserve">Ergebnis: </w:t>
      </w:r>
      <w:r>
        <w:t>16,6 % waren geimpft; 80,9 % der Ungeimpften zeigten Impfbereitschaft; Preis war das Haupthindernis – Zahlungsbereitschaft lag unter Marktpreis (USD 32,80 vs. Marktpreis), aber Bewusstsein für Subventionsprogramme verdoppelte Impfodds (OR: 2,30).</w:t>
      </w:r>
    </w:p>
    <w:p>
      <w:r>
        <w:rPr>
          <w:b/>
          <w:sz w:val="19"/>
        </w:rPr>
        <w:t xml:space="preserve">Übertragbarkeit: </w:t>
      </w:r>
      <w:r>
        <w:rPr>
          <w:sz w:val="19"/>
        </w:rPr>
        <w:t>Selbstzahlermodell nicht übertragbar; Befunde zu Affordability-Barrieren bei Erwachsenenimpfungen relevant.</w:t>
      </w:r>
    </w:p>
    <w:p>
      <w:r>
        <w:rPr>
          <w:color w:val="5A7D3A"/>
          <w:sz w:val="18"/>
        </w:rPr>
        <w:t>https://pubmed.ncbi.nlm.nih.gov/42842236/</w:t>
      </w:r>
    </w:p>
    <w:p>
      <w:pPr>
        <w:pStyle w:val="Heading2"/>
      </w:pPr>
      <w:r>
        <w:t>Tetanus-Impfbereitschaft nach Trauma hängt von praktischer Zugänglichkeit ab – China</w:t>
      </w:r>
    </w:p>
    <w:p>
      <w:r>
        <w:rPr>
          <w:i/>
          <w:color w:val="666666"/>
          <w:sz w:val="18"/>
        </w:rPr>
        <w:t>Fang Q et al.  ·  Front Public Health  ·  21.09.2026  ·  PMID 42835057</w:t>
      </w:r>
    </w:p>
    <w:p>
      <w:r>
        <w:t>Querschnittsstudie zur Impfbereitschaft gegen Tetanus nach Traumata mit Verhaltensfaktoren und Zugangshürden (BeSD-Rahmen).</w:t>
      </w:r>
    </w:p>
    <w:p>
      <w:r>
        <w:rPr>
          <w:b/>
        </w:rPr>
        <w:t xml:space="preserve">Ergebnis: </w:t>
      </w:r>
      <w:r>
        <w:t>51,9 % zeigten Impfbereitschaft; praktische Zugänglichkeit zeigte stärkste Assoziation mit Impfintention (strukturelle Gleichungsmodellierung); nur 19,2 % der angezeigten Patienten erhielten dokumentiert Impfung innerhalb von 7 Tagen – obwohl 80,6 % grundsätzlich angezeigt waren.</w:t>
      </w:r>
    </w:p>
    <w:p>
      <w:r>
        <w:rPr>
          <w:b/>
          <w:sz w:val="19"/>
        </w:rPr>
        <w:t xml:space="preserve">Übertragbarkeit: </w:t>
      </w:r>
      <w:r>
        <w:rPr>
          <w:sz w:val="19"/>
        </w:rPr>
        <w:t>China; Befunde zu Zugangsbarrieren beim Post-Expositions-Impfen übertragbar.</w:t>
      </w:r>
    </w:p>
    <w:p>
      <w:r>
        <w:rPr>
          <w:color w:val="5A7D3A"/>
          <w:sz w:val="18"/>
        </w:rPr>
        <w:t>https://pubmed.ncbi.nlm.nih.gov/42835057/</w:t>
      </w:r>
    </w:p>
    <w:p>
      <w:pPr>
        <w:pStyle w:val="Heading2"/>
      </w:pPr>
      <w:r>
        <w:t>COVID-19-Impfung bei südafrikanischen Jugendlichen: Alter, Haushaltskontext und Pandemie-Nähe treiben Quote</w:t>
      </w:r>
    </w:p>
    <w:p>
      <w:r>
        <w:rPr>
          <w:i/>
          <w:color w:val="666666"/>
          <w:sz w:val="18"/>
        </w:rPr>
        <w:t>Dietrich JJ et al.  ·  Glob Health Action  ·  06.10.2026  ·  PMID 42834877</w:t>
      </w:r>
    </w:p>
    <w:p>
      <w:r>
        <w:t>Online-Querschnittsbefragung zu Prädiktoren der COVID-19-Impfung bei Jugendlichen (18–24 Jahre) in eThekwini, Südafrika.</w:t>
      </w:r>
    </w:p>
    <w:p>
      <w:r>
        <w:rPr>
          <w:b/>
        </w:rPr>
        <w:t xml:space="preserve">Ergebnis: </w:t>
      </w:r>
      <w:r>
        <w:t>37,9 % waren geimpft; älteres Alter, Zusammenleben mit Senioren und persönliche Nähe zu schweren COVID-19-Verläufen (Krankenhausaufenthalte/Todesfälle im Umfeld) waren unabhängige Prädiktoren; geschlechtsspezifische Unterschiede bei Ethnizität und Familienstand.</w:t>
      </w:r>
    </w:p>
    <w:p>
      <w:r>
        <w:rPr>
          <w:b/>
          <w:sz w:val="19"/>
        </w:rPr>
        <w:t xml:space="preserve">Übertragbarkeit: </w:t>
      </w:r>
      <w:r>
        <w:rPr>
          <w:sz w:val="19"/>
        </w:rPr>
        <w:t>Südafrika, hohes Einkommensgefälle; Befunde zu sozialen Determinanten und Pandemie-Proximität international relevant.</w:t>
      </w:r>
    </w:p>
    <w:p>
      <w:r>
        <w:rPr>
          <w:color w:val="5A7D3A"/>
          <w:sz w:val="18"/>
        </w:rPr>
        <w:t>https://pubmed.ncbi.nlm.nih.gov/42834877/</w:t>
      </w:r>
    </w:p>
    <w:p>
      <w:pPr>
        <w:pStyle w:val="Heading2"/>
      </w:pPr>
      <w:r>
        <w:t>HPV-Impfung bei Erwachsenen (27–45 Jahre) bleibt selten – USA</w:t>
      </w:r>
    </w:p>
    <w:p>
      <w:r>
        <w:rPr>
          <w:i/>
          <w:color w:val="666666"/>
          <w:sz w:val="18"/>
        </w:rPr>
        <w:t>Jiang R et al.  ·  Hum Vaccin Immunother  ·  05.10.2026  ·  PMID 42834027</w:t>
      </w:r>
    </w:p>
    <w:p>
      <w:r>
        <w:t>Nationale Querschnittserhebung zur HPV-Impfquote bei Erwachsenen vor und nach COVID-19 anhand von NHIS-Daten.</w:t>
      </w:r>
    </w:p>
    <w:p>
      <w:r>
        <w:rPr>
          <w:b/>
        </w:rPr>
        <w:t xml:space="preserve">Ergebnis: </w:t>
      </w:r>
      <w:r>
        <w:t>Quote stieg von 15,1 % (2019) auf 20,7 % (2022); nur 1,43 % initiierten Impfung zwischen 27 und 45 Jahren; Alter, männliches Geschlecht, niedrigere Bildung und fehlende regelmäßige Versorgungsstelle waren mit niedrigerer Quote assoziiert.</w:t>
      </w:r>
    </w:p>
    <w:p>
      <w:r>
        <w:rPr>
          <w:b/>
          <w:sz w:val="19"/>
        </w:rPr>
        <w:t xml:space="preserve">Übertragbarkeit: </w:t>
      </w:r>
      <w:r>
        <w:rPr>
          <w:sz w:val="19"/>
        </w:rPr>
        <w:t>USA; Befunde zu Barrieren bei Catch-up-Impfung Erwachsener, nicht zu Kindheit relevant.</w:t>
      </w:r>
    </w:p>
    <w:p>
      <w:r>
        <w:rPr>
          <w:color w:val="5A7D3A"/>
          <w:sz w:val="18"/>
        </w:rPr>
        <w:t>https://pubmed.ncbi.nlm.nih.gov/42834027/</w:t>
      </w:r>
    </w:p>
    <w:p>
      <w:pPr>
        <w:pStyle w:val="Heading2"/>
      </w:pPr>
      <w:r>
        <w:t>Schottische Impfquoten blieben in der Pandemie stabil – Ungleichheiten bestehen fort</w:t>
      </w:r>
    </w:p>
    <w:p>
      <w:r>
        <w:rPr>
          <w:i/>
          <w:color w:val="666666"/>
          <w:sz w:val="18"/>
        </w:rPr>
        <w:t>Smith CD et al.  ·  Public Health  ·  13.08.2026  ·  PMID 42594547</w:t>
      </w:r>
    </w:p>
    <w:p>
      <w:r>
        <w:t>Bevölkerungsbasierte Kohortenstudie zu Routineimpfungen bei Kleinkindern in Schottland vor und während COVID-19.</w:t>
      </w:r>
    </w:p>
    <w:p>
      <w:r>
        <w:rPr>
          <w:b/>
        </w:rPr>
        <w:t xml:space="preserve">Ergebnis: </w:t>
      </w:r>
      <w:r>
        <w:t>Impfquoten für fünf von sechs Vakzinen blieben stabil oder stiegen während der Pandemie; Unterschiede nach Deprivation und ethnischer Herkunft verschärften sich nicht, aber bestandene Ungleichheiten persistierten.</w:t>
      </w:r>
    </w:p>
    <w:p>
      <w:r>
        <w:rPr>
          <w:b/>
          <w:sz w:val="19"/>
        </w:rPr>
        <w:t xml:space="preserve">Übertragbarkeit: </w:t>
      </w:r>
      <w:r>
        <w:rPr>
          <w:sz w:val="19"/>
        </w:rPr>
        <w:t>Schottisches Impfregister, vergleichbares Sozialsystem mit Deutschland.</w:t>
      </w:r>
    </w:p>
    <w:p>
      <w:r>
        <w:rPr>
          <w:color w:val="5A7D3A"/>
          <w:sz w:val="18"/>
        </w:rPr>
        <w:t>https://pubmed.ncbi.nlm.nih.gov/42594547/</w:t>
      </w:r>
    </w:p>
    <w:p>
      <w:pPr>
        <w:pStyle w:val="Heading1"/>
      </w:pPr>
      <w:r>
        <w:t>Aufgenommen am 07.10.2026</w:t>
      </w:r>
    </w:p>
    <w:p>
      <w:pPr>
        <w:pStyle w:val="Heading2"/>
      </w:pPr>
      <w:r>
        <w:t>Impfquoten bei Zero-Dose-Kindern: digitale Mikro-Planung erreichte unterversorgte Gemeinden in Niger</w:t>
      </w:r>
    </w:p>
    <w:p>
      <w:r>
        <w:rPr>
          <w:i/>
          <w:color w:val="666666"/>
          <w:sz w:val="18"/>
        </w:rPr>
        <w:t>Jimoh A et al.  ·  BMJ Glob Health  ·  06.10.2026  ·  PMID 42838605</w:t>
      </w:r>
    </w:p>
    <w:p>
      <w:r>
        <w:t>Die STRICAN-Initiative kombinierte Haushaltserfassung, digitale Mikroplanung und gemeindegestützte Mobilisierung, um zuvor unerreichbare Kinder in 10 Bezirken des Niger-Staates zu identifizieren und zu impfen.</w:t>
      </w:r>
    </w:p>
    <w:p>
      <w:r>
        <w:rPr>
          <w:b/>
        </w:rPr>
        <w:t xml:space="preserve">Ergebnis: </w:t>
      </w:r>
      <w:r>
        <w:t>Das Modell zeigte, dass datengesteuerte Mikro-Planung mit vertrauenswürdigen Gemeinschaftsstrukturen funktioniert. Zentrale Erkenntnisse: flexible Lieferstrategien in fragilen Einstellungen, starke Partnerschaften zwischen Regierung und Umsetzungsakteuren sowie die Integration digitaler Tools mit bestehenden Gemeinschaftssystemen verbesserten Identifikation und Service-Bereitstellung für Zero-Dose-Populationen.</w:t>
      </w:r>
    </w:p>
    <w:p>
      <w:r>
        <w:rPr>
          <w:b/>
          <w:sz w:val="19"/>
        </w:rPr>
        <w:t xml:space="preserve">Übertragbarkeit: </w:t>
      </w:r>
      <w:r>
        <w:rPr>
          <w:sz w:val="19"/>
        </w:rPr>
        <w:t>Nigeria, aber Modell übertragbar auf ähnliche Kontexte mit schwachen Registersystemen und fragmentierten Bevölkerungen.</w:t>
      </w:r>
    </w:p>
    <w:p>
      <w:r>
        <w:rPr>
          <w:color w:val="5A7D3A"/>
          <w:sz w:val="18"/>
        </w:rPr>
        <w:t>https://pubmed.ncbi.nlm.nih.gov/42838605/</w:t>
      </w:r>
    </w:p>
    <w:p>
      <w:pPr>
        <w:pStyle w:val="Heading2"/>
      </w:pPr>
      <w:r>
        <w:t>COVID-19-Impfbereitschaft bei chinesischen Fachpersonen: 59,9% für zukünftige Auffrischungen trotz 97% Vorbeugeimpfung</w:t>
      </w:r>
    </w:p>
    <w:p>
      <w:r>
        <w:rPr>
          <w:i/>
          <w:color w:val="666666"/>
          <w:sz w:val="18"/>
        </w:rPr>
        <w:t>Mu Y et al.  ·  JMIR Public Health Surveill  ·  06.10.2026  ·  PMID 42837522</w:t>
      </w:r>
    </w:p>
    <w:p>
      <w:r>
        <w:t>Nationale Mehrzentrums-Querschnittsbefragung von 2.877 Ärzten und 292 Medizinstudierenden in China Februar–April 2023 zur Bereitschaft für künftige jährliche COVID-19-Impfungen.</w:t>
      </w:r>
    </w:p>
    <w:p>
      <w:r>
        <w:rPr>
          <w:b/>
        </w:rPr>
        <w:t xml:space="preserve">Ergebnis: </w:t>
      </w:r>
      <w:r>
        <w:t>Insgesamt 59,9% (n=1.899) willens, zukünftige jährliche COVID-19-Impfung zu erhalten; 97% hatten mind. 1 Dosis erhalten; 93,1% hatten inaktivierte Impfstoffe. 90,2% unterstützen Ältere-Impfung, 73,2% Kleinkinderimpfung. Mangelnde Influenzaimpfbereitschaft stark assoziiert mit COVID-19-Hesitanz (aPR 4,11, 95%-KI 3,71–4,55). Häufigste Bedenken: Impfwirksamkeit (53,1%), Sicherheit (33,4%), unzureichende Studiendatenoffenlegung (29%).</w:t>
      </w:r>
    </w:p>
    <w:p>
      <w:r>
        <w:rPr>
          <w:b/>
          <w:sz w:val="19"/>
        </w:rPr>
        <w:t xml:space="preserve">Übertragbarkeit: </w:t>
      </w:r>
      <w:r>
        <w:rPr>
          <w:sz w:val="19"/>
        </w:rPr>
        <w:t>China, aber Befunde zu Kommunikationsbedarf und Vertrauensaufbau bei Fachpersonen auf deutsches Vertrauen-in-Institutionen-Problem übertragbar.</w:t>
      </w:r>
    </w:p>
    <w:p>
      <w:r>
        <w:rPr>
          <w:color w:val="5A7D3A"/>
          <w:sz w:val="18"/>
        </w:rPr>
        <w:t>https://pubmed.ncbi.nlm.nih.gov/42837522/</w:t>
      </w:r>
    </w:p>
    <w:p>
      <w:pPr>
        <w:pStyle w:val="Heading2"/>
      </w:pPr>
      <w:r>
        <w:t>RSV-Impfung bei älteren Herzinsuffizienzpatienten: Sterblichkeit sinkt um 49%, ICU-Aufnahmen um 54%</w:t>
      </w:r>
    </w:p>
    <w:p>
      <w:r>
        <w:rPr>
          <w:i/>
          <w:color w:val="666666"/>
          <w:sz w:val="18"/>
        </w:rPr>
        <w:t>Khan A et al.  ·  Clin Cardiol  ·  Okt. 2026  ·  PMID 42836598</w:t>
      </w:r>
    </w:p>
    <w:p>
      <w:r>
        <w:t>Retrospektive Kohorte mit Propensity-Score-Matching verglich RSV-Geimpfte und Ungeimpfte ≥60 Jahre mit Herzinsuffizienz, n=777 pro Gruppe, Nachbeobachtung Mai 2023–Januar 2026.</w:t>
      </w:r>
    </w:p>
    <w:p>
      <w:r>
        <w:rPr>
          <w:b/>
        </w:rPr>
        <w:t xml:space="preserve">Ergebnis: </w:t>
      </w:r>
      <w:r>
        <w:t>Geimpfte hatten signifikant niedrigere Gesamtsterblichkeit (HR 0,51, 95%-KI 0,33–0,79) und weniger ICU-Aufnahmen (2,7% vs. 5,8%, HR 0,46, 95%-KI 0,25–0,86). Kein Unterschied bei Atemwegsversagen (7,3% vs. 9,4%), stationären/Notfallbesuchen oder HI-Verschärfung. Höhere Gesamt-Gesundheitsnutzung in Geimpften (HR 1,85, 95%-KI 1,65–2,08) – hypothesengenerierend für Vermeidung schwerer Atemwegserkrankung.</w:t>
      </w:r>
    </w:p>
    <w:p>
      <w:r>
        <w:rPr>
          <w:b/>
          <w:sz w:val="19"/>
        </w:rPr>
        <w:t xml:space="preserve">Übertragbarkeit: </w:t>
      </w:r>
      <w:r>
        <w:rPr>
          <w:sz w:val="19"/>
        </w:rPr>
        <w:t>USA-Daten (TriNetX), aber Sicherheitsbefund und Mortalitätsvorteil übertragbar.</w:t>
      </w:r>
    </w:p>
    <w:p>
      <w:r>
        <w:rPr>
          <w:color w:val="5A7D3A"/>
          <w:sz w:val="18"/>
        </w:rPr>
        <w:t>https://pubmed.ncbi.nlm.nih.gov/42836598/</w:t>
      </w:r>
    </w:p>
    <w:p>
      <w:pPr>
        <w:pStyle w:val="Heading2"/>
      </w:pPr>
      <w:r>
        <w:t>Impfungen in der Schwangerschaft: Griechische Studie identifiziert Barrieren und Angehörigenedukatoren</w:t>
      </w:r>
    </w:p>
    <w:p>
      <w:r>
        <w:rPr>
          <w:i/>
          <w:color w:val="666666"/>
          <w:sz w:val="18"/>
        </w:rPr>
        <w:t>Psarris A et al.  ·  J Pregnancy  ·  2026  ·  PMID 42836283</w:t>
      </w:r>
    </w:p>
    <w:p>
      <w:r>
        <w:t>Querschnittsstudie zur Impfbereitschaft bei 725 Wöchnerinnen in zwei Athener Kliniken mit Fokus auf COVID-19, Tdap, Influenza und RSV.</w:t>
      </w:r>
    </w:p>
    <w:p>
      <w:r>
        <w:rPr>
          <w:b/>
        </w:rPr>
        <w:t xml:space="preserve">Ergebnis: </w:t>
      </w:r>
      <w:r>
        <w:t>Insgesamt 51,2% erhielten mindestens eine Impfung in der Schwangerschaft: Tdap 42,5%, Influenza 19,6%, COVID-19 3,6%, RSV &lt;1%. Nur 14,62% erhielten mehrere Impfungen. Hauptbarrieren: mangelnde ärztliche Beratung (Site 1: 29,0%, Site 2: 18,6%), persönliche Wahl und Sicherheitsbedenken (Site 2 höher). Höhere Schulbildung und städtischer Wohnort waren unabhängig mit höherer Impfbereitschaft assoziiert.</w:t>
      </w:r>
    </w:p>
    <w:p>
      <w:r>
        <w:rPr>
          <w:b/>
          <w:sz w:val="19"/>
        </w:rPr>
        <w:t xml:space="preserve">Übertragbarkeit: </w:t>
      </w:r>
      <w:r>
        <w:rPr>
          <w:sz w:val="19"/>
        </w:rPr>
        <w:t>Griechenland – deutschsprachiger Raum, vergleichbare Sozialversicherung, aber Mutterschaftsimpfquoten deutlich unter deutschen Empfehlungen.</w:t>
      </w:r>
    </w:p>
    <w:p>
      <w:r>
        <w:rPr>
          <w:color w:val="5A7D3A"/>
          <w:sz w:val="18"/>
        </w:rPr>
        <w:t>https://pubmed.ncbi.nlm.nih.gov/42836283/</w:t>
      </w:r>
    </w:p>
    <w:p>
      <w:pPr>
        <w:pStyle w:val="Heading2"/>
      </w:pPr>
      <w:r>
        <w:t>Grippeimpfung bei Gesundheitsfachpersonen in China: Metaanalyse zeigt 27%-Quote und wirksame Interventionen</w:t>
      </w:r>
    </w:p>
    <w:p>
      <w:r>
        <w:rPr>
          <w:i/>
          <w:color w:val="666666"/>
          <w:sz w:val="18"/>
        </w:rPr>
        <w:t>Xiong L et al.  ·  Front Public Health  ·  21.09.2026  ·  PMID 42835288</w:t>
      </w:r>
    </w:p>
    <w:p>
      <w:r>
        <w:t>Systematische Übersicht mit Metaanalyse von 49 Querschnittsstudien mit 111.544 chinesischen Gesundheitsfachpersonen zur Influenzaimpfquote und beeinflussenden Faktoren.</w:t>
      </w:r>
    </w:p>
    <w:p>
      <w:r>
        <w:rPr>
          <w:b/>
        </w:rPr>
        <w:t xml:space="preserve">Ergebnis: </w:t>
      </w:r>
      <w:r>
        <w:t>Gesamtimpfquote 27% (95%-KI 21–34%). Positiv assoziiert: Alter 40–49 Jahre, weiblich, Einkommen &gt;3.000 RMB, beruflicher Titel, frühere Impfhistorie, institutionelle Ermutigung/Verpflichtung, kostenlose Impfung, Kenntnis des optimalen Zeitpunkts, Impfbereitschaft. Strukturelle Interventionen (kostenlos, Ermutigung, Vor-Ort-Dienste) plus zielgerichtete Strategien für jüngere, männliche, einkommensschwache und impfnaive Personen empfohlen.</w:t>
      </w:r>
    </w:p>
    <w:p>
      <w:r>
        <w:rPr>
          <w:b/>
          <w:sz w:val="19"/>
        </w:rPr>
        <w:t xml:space="preserve">Übertragbarkeit: </w:t>
      </w:r>
      <w:r>
        <w:rPr>
          <w:sz w:val="19"/>
        </w:rPr>
        <w:t>China – Bevölkerungsdaten, aber Erkenntnisse zu Anreizstrukturen und Zugangsbarrieren auf deutsche HCW-Programme übertragbar.</w:t>
      </w:r>
    </w:p>
    <w:p>
      <w:r>
        <w:rPr>
          <w:color w:val="5A7D3A"/>
          <w:sz w:val="18"/>
        </w:rPr>
        <w:t>https://pubmed.ncbi.nlm.nih.gov/42835288/</w:t>
      </w:r>
    </w:p>
    <w:p>
      <w:pPr>
        <w:pStyle w:val="Heading2"/>
      </w:pPr>
      <w:r>
        <w:t>PCV21 versus PCV20 in Deutschland: Pneumokokkenimpfung zeigt Kosteneinsparungen</w:t>
      </w:r>
    </w:p>
    <w:p>
      <w:r>
        <w:rPr>
          <w:i/>
          <w:color w:val="666666"/>
          <w:sz w:val="18"/>
        </w:rPr>
        <w:t>Simuzingili M et al.  ·  Expert Rev Vaccines  ·  05.10.2026  ·  PMID 42834615</w:t>
      </w:r>
    </w:p>
    <w:p>
      <w:r>
        <w:t>Kosten-Effektivitätsanalyse mit angepasstem Markov-Modell verglich PCV21 und PCV20 bei ungeimpften Erwachsenen ≥60 Jahren in Deutschland.</w:t>
      </w:r>
    </w:p>
    <w:p>
      <w:r>
        <w:rPr>
          <w:b/>
        </w:rPr>
        <w:t xml:space="preserve">Ergebnis: </w:t>
      </w:r>
      <w:r>
        <w:t>PCV21 reduzierte gegenüber PCV20 Krankheitsfälle, Todesfälle und direkte Kosten. Aus Kostenträger- und Gesellschaftsperspektive war PCV21 kosteneinsparend. In Sensitivitätsanalysen blieb PCV21 kostenrettend über alle Parametervariationen. PCV21 wurde dominiert nur bei Reduktion des Unterschieds in der NBPP-Erkrankungsabdeckung auf 0,5%.</w:t>
      </w:r>
    </w:p>
    <w:p>
      <w:r>
        <w:rPr>
          <w:b/>
          <w:sz w:val="19"/>
        </w:rPr>
        <w:t xml:space="preserve">Übertragbarkeit: </w:t>
      </w:r>
      <w:r>
        <w:rPr>
          <w:sz w:val="19"/>
        </w:rPr>
        <w:t>Deutschland – Modell auf deutschen Kostendaten, deutsches Gesundheitssystem und Impfkalender.</w:t>
      </w:r>
    </w:p>
    <w:p>
      <w:r>
        <w:rPr>
          <w:color w:val="5A7D3A"/>
          <w:sz w:val="18"/>
        </w:rPr>
        <w:t>https://pubmed.ncbi.nlm.nih.gov/42834615/</w:t>
      </w:r>
    </w:p>
    <w:p>
      <w:pPr>
        <w:pStyle w:val="Heading1"/>
      </w:pPr>
      <w:r>
        <w:t>Aufgenommen am 06.10.2026</w:t>
      </w:r>
    </w:p>
    <w:p>
      <w:pPr>
        <w:pStyle w:val="Heading2"/>
      </w:pPr>
      <w:r>
        <w:t>Massenimpfkampagne gegen Tollwut: 70-Prozent-Abdeckung in Ghana erreicht</w:t>
      </w:r>
    </w:p>
    <w:p>
      <w:r>
        <w:rPr>
          <w:i/>
          <w:color w:val="666666"/>
          <w:sz w:val="18"/>
        </w:rPr>
        <w:t>Dwaah PK et al.  ·  PLoS Negl Trop Dis  ·  05.10.2026  ·  PMID 42832606</w:t>
      </w:r>
    </w:p>
    <w:p>
      <w:r>
        <w:t>Evaluationen einer Eintagskampagne zur Hundeimpfung gegen Tollwut im September 2024 in Techiman Metropolis, Ghana, mit gemischten Methoden.</w:t>
      </w:r>
    </w:p>
    <w:p>
      <w:r>
        <w:rPr>
          <w:b/>
        </w:rPr>
        <w:t xml:space="preserve">Ergebnis: </w:t>
      </w:r>
      <w:r>
        <w:t>Administrative Abdeckung: ca. 70 % (5.600 Hunde), basierend auf Bevölkerungsschätzungen. Bewusstsein für Tollwut (tödlich) stieg von 45 % auf 75 %, für Prävention von 40 % auf 70 %. Barrieren: Impfstoffversorgungsverzögerungen, unzureichende Kühlkette, limitierter Zugang für periurbane Gebiete, keine Strategien für freilebende Hunde.</w:t>
      </w:r>
    </w:p>
    <w:p>
      <w:r>
        <w:rPr>
          <w:b/>
          <w:sz w:val="19"/>
        </w:rPr>
        <w:t xml:space="preserve">Übertragbarkeit: </w:t>
      </w:r>
      <w:r>
        <w:rPr>
          <w:sz w:val="19"/>
        </w:rPr>
        <w:t>Sub-Sahara-Afrika-Kontext; Erkenntnisse zu Logistik, Mehrsektor-Koordination und Monitoring übertragbar auf Impfkampagnen in Ländern mit begrenzter Infrastruktur.</w:t>
      </w:r>
    </w:p>
    <w:p>
      <w:r>
        <w:rPr>
          <w:color w:val="5A7D3A"/>
          <w:sz w:val="18"/>
        </w:rPr>
        <w:t>https://pubmed.ncbi.nlm.nih.gov/42832606/</w:t>
      </w:r>
    </w:p>
    <w:p>
      <w:pPr>
        <w:pStyle w:val="Heading2"/>
      </w:pPr>
      <w:r>
        <w:t>Impfkoordinator*innen: Erinnerungssysteme und flexible Termine erhöhen HPV-Quoten</w:t>
      </w:r>
    </w:p>
    <w:p>
      <w:r>
        <w:rPr>
          <w:i/>
          <w:color w:val="666666"/>
          <w:sz w:val="18"/>
        </w:rPr>
        <w:t>Khatri RA et al.  ·  Hum Vaccin Immunother  ·  05.10.2026  ·  PMID 42832184</w:t>
      </w:r>
    </w:p>
    <w:p>
      <w:r>
        <w:t>Qualitative Studie mit 24 Impfverantwortlichen aus Gesundheitsämtern in Indiana zu Barrieren und Förderern für HPV-Impfquoten bei Jugendlichen.</w:t>
      </w:r>
    </w:p>
    <w:p>
      <w:r>
        <w:rPr>
          <w:b/>
        </w:rPr>
        <w:t xml:space="preserve">Ergebnis: </w:t>
      </w:r>
      <w:r>
        <w:t>Hauptbarrieren für Abschluss der Serie: fehlende Information und Zeitmangel bei Eltern und Jugendlichen. Hauptförderung: automatische Erinnerungssysteme (Terminerinnerungen) und flexible Impfzeiten. Schulpolitik (HPV nicht Pflichtimpfung) wirkte als strukturelle Barriere.</w:t>
      </w:r>
    </w:p>
    <w:p>
      <w:r>
        <w:rPr>
          <w:b/>
          <w:sz w:val="19"/>
        </w:rPr>
        <w:t xml:space="preserve">Übertragbarkeit: </w:t>
      </w:r>
      <w:r>
        <w:rPr>
          <w:sz w:val="19"/>
        </w:rPr>
        <w:t>USA-Studie, aber Erkenntnisse zu Terminmanagement und Erinnerungswesen sind auf deutsches System mit QM-Anforderungen übertragbar.</w:t>
      </w:r>
    </w:p>
    <w:p>
      <w:r>
        <w:rPr>
          <w:color w:val="5A7D3A"/>
          <w:sz w:val="18"/>
        </w:rPr>
        <w:t>https://pubmed.ncbi.nlm.nih.gov/42832184/</w:t>
      </w:r>
    </w:p>
    <w:p>
      <w:pPr>
        <w:pStyle w:val="Heading2"/>
      </w:pPr>
      <w:r>
        <w:t>Hepatitis-B-Impfung in Kyrgyzstan: 3-%-Quote bei Erwachsenen, Barrieren identifiziert</w:t>
      </w:r>
    </w:p>
    <w:p>
      <w:r>
        <w:rPr>
          <w:i/>
          <w:color w:val="666666"/>
          <w:sz w:val="18"/>
        </w:rPr>
        <w:t>Zholdoshev S et al.  ·  Prague Med Rep  ·  2026  ·  PMID 42831606</w:t>
      </w:r>
    </w:p>
    <w:p>
      <w:r>
        <w:t>Screening-Studie in Jalal-Abad (Kirgisistan) zur Hepatitis-B-Impfquote Erwachsener und Barrieren für Immunisierungsprogramme.</w:t>
      </w:r>
    </w:p>
    <w:p>
      <w:r>
        <w:rPr>
          <w:b/>
        </w:rPr>
        <w:t xml:space="preserve">Ergebnis: </w:t>
      </w:r>
      <w:r>
        <w:t>Impfquote nur 3 % (Screening von 2.126 von 71.307 Erwachsenen); HBsAg-Prävalenz 3,3 %. Nach Kampagne 2.483 Personen geimpft, überwiegend Frauen (68,1 %) und Altersgruppe 50–59 Jahre. Barrieren: begrenzte Gesundheitsversorgung, mangelndes Bewusstsein, logistische Hürden. Interventionen: mobile Impfteams, integrierte öffentliche Dienste, kulturangepasste Kampagnen.</w:t>
      </w:r>
    </w:p>
    <w:p>
      <w:r>
        <w:rPr>
          <w:b/>
          <w:sz w:val="19"/>
        </w:rPr>
        <w:t xml:space="preserve">Übertragbarkeit: </w:t>
      </w:r>
      <w:r>
        <w:rPr>
          <w:sz w:val="19"/>
        </w:rPr>
        <w:t>Zentralasien, begrenzte Ressourcen; Erkenntnisse zu Zugangsbarrieren und Geschlechterdisparitäten zeigen Ungleichheitsaspekte.</w:t>
      </w:r>
    </w:p>
    <w:p>
      <w:r>
        <w:rPr>
          <w:color w:val="5A7D3A"/>
          <w:sz w:val="18"/>
        </w:rPr>
        <w:t>https://pubmed.ncbi.nlm.nih.gov/42831606/</w:t>
      </w:r>
    </w:p>
    <w:p>
      <w:pPr>
        <w:pStyle w:val="Heading2"/>
      </w:pPr>
      <w:r>
        <w:t>Grippeimpfung bei Kindern: individuelle statt routinemäßige Entscheidung empfohlen</w:t>
      </w:r>
    </w:p>
    <w:p>
      <w:r>
        <w:rPr>
          <w:i/>
          <w:color w:val="666666"/>
          <w:sz w:val="18"/>
        </w:rPr>
        <w:t>Beneš J  ·  Cas Lek Cesk  ·  2026  ·  PMID 42829827</w:t>
      </w:r>
    </w:p>
    <w:p>
      <w:r>
        <w:t>Narrative Übersichtsarbeit zur Influenzaimpfung bei Kindern mit Analyse von Evidenz zu Effektivität und Indikationen.</w:t>
      </w:r>
    </w:p>
    <w:p>
      <w:r>
        <w:rPr>
          <w:b/>
        </w:rPr>
        <w:t xml:space="preserve">Ergebnis: </w:t>
      </w:r>
      <w:r>
        <w:t>Grippeimpfung reduziert Häufigkeit und Schweregrad, aber Effektivität variiert je nach Situation. Meta-analysen zeigen unzureichende Evidenz für routinemäßige Impfung gesunder Kinder. Impfung sinnvoll bei schweren Immundefekten oder Komorbiditäten. Routine-Schuleingangsimpfung bleibt umstritten.</w:t>
      </w:r>
    </w:p>
    <w:p>
      <w:r>
        <w:rPr>
          <w:b/>
          <w:sz w:val="19"/>
        </w:rPr>
        <w:t xml:space="preserve">Übertragbarkeit: </w:t>
      </w:r>
      <w:r>
        <w:rPr>
          <w:sz w:val="19"/>
        </w:rPr>
        <w:t>Tschechien, vergleichbare europäische Impfkalender-Diskussionen; Befund zur fehlenden Routine-Evidenz bei Gesunden relevant für deutsches STIKO-Abwägen.</w:t>
      </w:r>
    </w:p>
    <w:p>
      <w:r>
        <w:rPr>
          <w:color w:val="5A7D3A"/>
          <w:sz w:val="18"/>
        </w:rPr>
        <w:t>https://pubmed.ncbi.nlm.nih.gov/42829827/</w:t>
      </w:r>
    </w:p>
    <w:p>
      <w:pPr>
        <w:pStyle w:val="Heading2"/>
      </w:pPr>
      <w:r>
        <w:t>Intranasale Interferon-α lenkt Impf-T-Zellen in obere Atemwege</w:t>
      </w:r>
    </w:p>
    <w:p>
      <w:r>
        <w:rPr>
          <w:i/>
          <w:color w:val="666666"/>
          <w:sz w:val="18"/>
        </w:rPr>
        <w:t>Fraser R et al.  ·  Front Immunol  ·  18.09.2026  ·  PMID 42827561</w:t>
      </w:r>
    </w:p>
    <w:p>
      <w:r>
        <w:t>Experimentelle Studie mit SARS-CoV-2-Vakzination als Testfall: intranasales exogenes IFN-α als Adjuvans zu systemischer Impfung.</w:t>
      </w:r>
    </w:p>
    <w:p>
      <w:r>
        <w:rPr>
          <w:b/>
        </w:rPr>
        <w:t xml:space="preserve">Ergebnis: </w:t>
      </w:r>
      <w:r>
        <w:t>Intranasale Gabe von IFN-α (ohne intranasales Antigen) lenkt impfspezifische T-Zell-Reaktionen in die oberen Atemwege, ohne auf intranasale Antigen-Delivery angewiesen zu sein. Neuartiger Weg, um lokale Immunität an Infektionsort zu generieren und Transmission zu unterbrechen.</w:t>
      </w:r>
    </w:p>
    <w:p>
      <w:r>
        <w:rPr>
          <w:b/>
          <w:sz w:val="19"/>
        </w:rPr>
        <w:t xml:space="preserve">Übertragbarkeit: </w:t>
      </w:r>
      <w:r>
        <w:rPr>
          <w:sz w:val="19"/>
        </w:rPr>
        <w:t>UK-Studie, Konzept-proof; übertragbar auf respiratorische Impfprogramme für Influenza, RSV, andere Atemwegsinfekte mit lokalem Fokus.</w:t>
      </w:r>
    </w:p>
    <w:p>
      <w:r>
        <w:rPr>
          <w:color w:val="5A7D3A"/>
          <w:sz w:val="18"/>
        </w:rPr>
        <w:t>https://pubmed.ncbi.nlm.nih.gov/42827561/</w:t>
      </w:r>
    </w:p>
    <w:p>
      <w:pPr>
        <w:pStyle w:val="Heading2"/>
      </w:pPr>
      <w:r>
        <w:t>NK-Zell-Therapien: Europa betont klinische Translation und Sicherheit</w:t>
      </w:r>
    </w:p>
    <w:p>
      <w:r>
        <w:rPr>
          <w:i/>
          <w:color w:val="666666"/>
          <w:sz w:val="18"/>
        </w:rPr>
        <w:t>Knapp LR et al.  ·  Hum Gene Ther  ·  03.08.2026  ·  PMID 42544553</w:t>
      </w:r>
    </w:p>
    <w:p>
      <w:r>
        <w:t>Opinion Paper aus Europäischer Perspektive zur klinischen Translation von Natural-Killer-Zell-Therapien, Ergebnisse eines Workshops März 2026 in Deutschland.</w:t>
      </w:r>
    </w:p>
    <w:p>
      <w:r>
        <w:rPr>
          <w:b/>
        </w:rPr>
        <w:t xml:space="preserve">Ergebnis: </w:t>
      </w:r>
      <w:r>
        <w:t>Sieben CAR-T-Produkte in Europa zugelassen für B-Zell-Malignome. NK-Zellen und γδ T-Zellen zeigen starke intrinsische Zytotoxizität und günstiges Sicherheitsprofil, aber Implementierungshürden bleiben: Manufacturing-Constraints, Kostenbarrieren, begrenzte klinische Daten. Empfehlung: koordinierte internationale Arbeit zu Validierung und Regulatory Harmonisierung.</w:t>
      </w:r>
    </w:p>
    <w:p>
      <w:r>
        <w:rPr>
          <w:b/>
          <w:sz w:val="19"/>
        </w:rPr>
        <w:t xml:space="preserve">Übertragbarkeit: </w:t>
      </w:r>
      <w:r>
        <w:rPr>
          <w:sz w:val="19"/>
        </w:rPr>
        <w:t>Deutsche und europäische Kliniken, vergleichbare Regulierung; direkt anwendbar auf Implementierungsplanung.</w:t>
      </w:r>
    </w:p>
    <w:p>
      <w:r>
        <w:rPr>
          <w:color w:val="5A7D3A"/>
          <w:sz w:val="18"/>
        </w:rPr>
        <w:t>https://pubmed.ncbi.nlm.nih.gov/42544553/</w:t>
      </w:r>
    </w:p>
    <w:p>
      <w:pPr>
        <w:pStyle w:val="Heading1"/>
      </w:pPr>
      <w:r>
        <w:t>Aufgenommen am 05.10.2026</w:t>
      </w:r>
    </w:p>
    <w:p>
      <w:pPr>
        <w:pStyle w:val="Heading2"/>
      </w:pPr>
      <w:r>
        <w:t>Torque-Teno-Virus-Viruslast verbessert Vorhersage der SARS-CoV-2-Serokonversion bei Nierentransplantation</w:t>
      </w:r>
    </w:p>
    <w:p>
      <w:r>
        <w:rPr>
          <w:i/>
          <w:color w:val="666666"/>
          <w:sz w:val="18"/>
        </w:rPr>
        <w:t>Hermida E et al.  ·  Clin Transplant  ·  Okt. 2026  ·  PMID 42829947</w:t>
      </w:r>
    </w:p>
    <w:p>
      <w:r>
        <w:t>Prospektive Kohortenstudie in argentinischen Nierentransplantierten (KTPs) zur Vorhersage der Serokonversion nach COVID-19-Impfung mittels TTV-Viruslast und klinischer Variablen.</w:t>
      </w:r>
    </w:p>
    <w:p>
      <w:r>
        <w:rPr>
          <w:b/>
        </w:rPr>
        <w:t xml:space="preserve">Ergebnis: </w:t>
      </w:r>
      <w:r>
        <w:t>Serokonversionsraten: 16,9% nach vollständiger Impfung, 21,9% nach einer Auffrischung, 55,5% nach zwei Auffrischungen. TTV-Viruslast allein zeigte bescheidene Vorhersagekraft (AUC 0,634). Ein erweitertes Modell mit TTV + klinischen/Impfvariablen verbesserte die Vorhersage erheblich (AUC 0,814) mit NPV 90,0%. Multifaktorielle Ansätze können Impfstrategien bei immungeschwächten Patienten optimieren.</w:t>
      </w:r>
    </w:p>
    <w:p>
      <w:r>
        <w:rPr>
          <w:b/>
          <w:sz w:val="19"/>
        </w:rPr>
        <w:t xml:space="preserve">Übertragbarkeit: </w:t>
      </w:r>
      <w:r>
        <w:rPr>
          <w:sz w:val="19"/>
        </w:rPr>
        <w:t>Argentinien, Transplantationsmedizin, Modellansatz auf deutsche Zentren übertragbar</w:t>
      </w:r>
    </w:p>
    <w:p>
      <w:r>
        <w:rPr>
          <w:color w:val="5A7D3A"/>
          <w:sz w:val="18"/>
        </w:rPr>
        <w:t>https://pubmed.ncbi.nlm.nih.gov/42829947/</w:t>
      </w:r>
    </w:p>
    <w:p>
      <w:pPr>
        <w:pStyle w:val="Heading2"/>
      </w:pPr>
      <w:r>
        <w:t>WHO-Fragebogen zu Verhaltensfaktoren bei Grippeimpfung validiert in Australien</w:t>
      </w:r>
    </w:p>
    <w:p>
      <w:r>
        <w:rPr>
          <w:i/>
          <w:color w:val="666666"/>
          <w:sz w:val="18"/>
        </w:rPr>
        <w:t>Sabahelzain MM et al.  ·  Hum Vaccin Immunother  ·  04.10.2026  ·  PMID 42829802</w:t>
      </w:r>
    </w:p>
    <w:p>
      <w:r>
        <w:t>Validierungsstudie des WHO-BeSD-Fragebogens zu sozialen und verhaltensbezogenen Treibern der Grippeimpfung in Australien mit kognitiven Interviews und psychometrischer Analyse.</w:t>
      </w:r>
    </w:p>
    <w:p>
      <w:r>
        <w:rPr>
          <w:b/>
        </w:rPr>
        <w:t xml:space="preserve">Ergebnis: </w:t>
      </w:r>
      <w:r>
        <w:t>Nach kognitiven Interviews mit 16 Erwachsenen wurden 9 von 31 Items überarbeitet. Psychometrische Auswertung von 2055 Respondenten identifizierte 5 Faktoren (Denken/Fühlen, soziale Prozesse, Motivation, praktische Fragen). Jedes Item korrelierte mit Impfintention, besonders Items zu wahrgenommener Impfwichtigkeit und sozialer Verantwortung. Fragebogen validiert, weitere Tests in verschiedenen Kontexten empfohlen.</w:t>
      </w:r>
    </w:p>
    <w:p>
      <w:r>
        <w:rPr>
          <w:b/>
          <w:sz w:val="19"/>
        </w:rPr>
        <w:t xml:space="preserve">Übertragbarkeit: </w:t>
      </w:r>
      <w:r>
        <w:rPr>
          <w:sz w:val="19"/>
        </w:rPr>
        <w:t>Australien, ähnlicher Versorgungskontext, Fragebogen-Tool transferierbar</w:t>
      </w:r>
    </w:p>
    <w:p>
      <w:r>
        <w:rPr>
          <w:color w:val="5A7D3A"/>
          <w:sz w:val="18"/>
        </w:rPr>
        <w:t>https://pubmed.ncbi.nlm.nih.gov/42829802/</w:t>
      </w:r>
    </w:p>
    <w:p>
      <w:pPr>
        <w:pStyle w:val="Heading2"/>
      </w:pPr>
      <w:r>
        <w:t>Türkische Eltern in den USA berichten Barrieren in der Impfaufklärung und Vertrauenslücken</w:t>
      </w:r>
    </w:p>
    <w:p>
      <w:r>
        <w:rPr>
          <w:i/>
          <w:color w:val="666666"/>
          <w:sz w:val="18"/>
        </w:rPr>
        <w:t>Çelik E et al.  ·  Front Public Health  ·  18.09.2026  ·  PMID 42827996</w:t>
      </w:r>
    </w:p>
    <w:p>
      <w:r>
        <w:t>Qualitative Interviewstudie mit 13 türkischen Migranteneltern in den USA zur Aufklärung und informed consent für Kinderimpfungen bei verpflichtender Schuleinschulung.</w:t>
      </w:r>
    </w:p>
    <w:p>
      <w:r>
        <w:rPr>
          <w:b/>
        </w:rPr>
        <w:t xml:space="preserve">Ergebnis: </w:t>
      </w:r>
      <w:r>
        <w:t>Vier Hauptthemen: (1) technische Sprache und Verständnisschwierigkeiten; (2) fehlende ethische Kompetenz in der klinischen Kommunikation; (3) Impfmandate verschieben Aufklärung zu bloßer Compliance; (4) Eltern suchen eigenständig religiöse und Zutat-Informationen, da klinische Beratung diese nicht abdeckt. Formale religiöse Leitlinien in USA wenig bekannt, anders als in muslimischen Ländern mit koordinierter Anleitung.</w:t>
      </w:r>
    </w:p>
    <w:p>
      <w:r>
        <w:rPr>
          <w:b/>
          <w:sz w:val="19"/>
        </w:rPr>
        <w:t xml:space="preserve">Übertragbarkeit: </w:t>
      </w:r>
      <w:r>
        <w:rPr>
          <w:sz w:val="19"/>
        </w:rPr>
        <w:t>USA-Kontext, aber Befunde zu Informationsgap und Sprachbarrieren für Deutschland relevant</w:t>
      </w:r>
    </w:p>
    <w:p>
      <w:r>
        <w:rPr>
          <w:color w:val="5A7D3A"/>
          <w:sz w:val="18"/>
        </w:rPr>
        <w:t>https://pubmed.ncbi.nlm.nih.gov/42827996/</w:t>
      </w:r>
    </w:p>
    <w:p>
      <w:pPr>
        <w:pStyle w:val="Heading2"/>
      </w:pPr>
      <w:r>
        <w:t>Impfquoten und Impfeinstellungen unterscheiden sich stark zwischen Stadt und Land in Polen</w:t>
      </w:r>
    </w:p>
    <w:p>
      <w:r>
        <w:rPr>
          <w:i/>
          <w:color w:val="666666"/>
          <w:sz w:val="18"/>
        </w:rPr>
        <w:t>Stefanicka-Wojtas D et al.  ·  Front Public Health  ·  18.09.2026  ·  PMID 42827868</w:t>
      </w:r>
    </w:p>
    <w:p>
      <w:r>
        <w:t>Querschnittsstudie in drei polnischen Hausarztpraxen (Großstadt, Kleinstadt, ländlich) zur Impfbereitschaft, selbstberichteten Nebenwirkungen und Determinanten der Grippeimpfung.</w:t>
      </w:r>
    </w:p>
    <w:p>
      <w:r>
        <w:rPr>
          <w:b/>
        </w:rPr>
        <w:t xml:space="preserve">Ergebnis: </w:t>
      </w:r>
      <w:r>
        <w:t>Impfquoten unterschieden sich deutlich nach Wohnort (p&lt;0,001): 100% im ländlichen Zentrum vs. 73–76% in städtischen Zentren. Selbstberichtete Nebenwirkungen waren selten auf dem Land (7,1%), am häufigsten in der Großstadt (20,0%, p&lt;0,001). In adjustierten Modellen: frühere Infektionserfahrung und respiratorische Komorbiditäten hingen mit höheren Odds für Grippe- (OR 11,0; 3,9) und COVID-19-Impfung (OR 3,6; 2,8) zusammen. Dies zeigt, dass Vertrauen in Gesundheitssystem und Informationsverfügbarkeit stark variieren und lokale Kommunikationsstrategien nötig sind.</w:t>
      </w:r>
    </w:p>
    <w:p>
      <w:r>
        <w:rPr>
          <w:b/>
          <w:sz w:val="19"/>
        </w:rPr>
        <w:t xml:space="preserve">Übertragbarkeit: </w:t>
      </w:r>
      <w:r>
        <w:rPr>
          <w:sz w:val="19"/>
        </w:rPr>
        <w:t>Polen, europäisches Primärversorgungssystem, direkt vergleichbar mit Deutschland</w:t>
      </w:r>
    </w:p>
    <w:p>
      <w:r>
        <w:rPr>
          <w:color w:val="5A7D3A"/>
          <w:sz w:val="18"/>
        </w:rPr>
        <w:t>https://pubmed.ncbi.nlm.nih.gov/42827868/</w:t>
      </w:r>
    </w:p>
    <w:p>
      <w:pPr>
        <w:pStyle w:val="Heading2"/>
      </w:pPr>
      <w:r>
        <w:t>Mütterliche RSV-Impfung schützt Säuglinge vor schweren Atemwegsinfektionen – Metaanalyse</w:t>
      </w:r>
    </w:p>
    <w:p>
      <w:r>
        <w:rPr>
          <w:i/>
          <w:color w:val="666666"/>
          <w:sz w:val="18"/>
        </w:rPr>
        <w:t>Kucukbas Ozonder GN et al.  ·  Front Public Health  ·  18.09.2026  ·  PMID 42827513</w:t>
      </w:r>
    </w:p>
    <w:p>
      <w:r>
        <w:t>Systematische Übersicht und Metaanalyse von 24 Studien (9 RCTs, 15 Beobachtungsstudien) zur Wirksamkeit maternaler RSV-Impfung gegen Säuglings-Bronchiolitis.</w:t>
      </w:r>
    </w:p>
    <w:p>
      <w:r>
        <w:rPr>
          <w:b/>
        </w:rPr>
        <w:t xml:space="preserve">Ergebnis: </w:t>
      </w:r>
      <w:r>
        <w:t>Gepoolte Impfeffektivität gegen RSV-assoziierte Krankenhauseinweisung 79,7% (95% KI 73,9–84,2) in den ersten 3 Monaten, 68,1% (57,1–76,3) bis 6 Monate. Randomisierte Effizienz gegen schwere RSV-LRTI 70%, gegen ärztlich behandelte RSV-LRTI 51,5% (36,3–63,1). Preterm-Geburten modest erhöht in RCTs (RR 1,17), aber Signal nicht robust. Evidenzsicherheit moderat.</w:t>
      </w:r>
    </w:p>
    <w:p>
      <w:r>
        <w:rPr>
          <w:b/>
          <w:sz w:val="19"/>
        </w:rPr>
        <w:t xml:space="preserve">Übertragbarkeit: </w:t>
      </w:r>
      <w:r>
        <w:rPr>
          <w:sz w:val="19"/>
        </w:rPr>
        <w:t>Randomisierte und reale Daten zeigen Übereinstimmung, international übertragbar</w:t>
      </w:r>
    </w:p>
    <w:p>
      <w:r>
        <w:rPr>
          <w:color w:val="5A7D3A"/>
          <w:sz w:val="18"/>
        </w:rPr>
        <w:t>https://pubmed.ncbi.nlm.nih.gov/42827513/</w:t>
      </w:r>
    </w:p>
    <w:p>
      <w:pPr>
        <w:pStyle w:val="Heading2"/>
      </w:pPr>
      <w:r>
        <w:t>Psychologische Faktoren bei Impfskepsis: Neuer Fragebogen zur Messung (PF-HBQ)</w:t>
      </w:r>
    </w:p>
    <w:p>
      <w:r>
        <w:rPr>
          <w:i/>
          <w:color w:val="666666"/>
          <w:sz w:val="18"/>
        </w:rPr>
        <w:t>De Biase R et al.  ·  Front Public Health  ·  18.09.2026  ·  PMID 42827459</w:t>
      </w:r>
    </w:p>
    <w:p>
      <w:r>
        <w:t>Psychometrische Entwicklung und Validierung des Psychological Factors in Healthcare Behavior Questionnaire (PF-HBQ) zur Erfassung psychologischer Einflussfaktoren auf Impfentscheidungen.</w:t>
      </w:r>
    </w:p>
    <w:p>
      <w:r>
        <w:rPr>
          <w:b/>
        </w:rPr>
        <w:t xml:space="preserve">Ergebnis: </w:t>
      </w:r>
      <w:r>
        <w:t>Zwei Studien: Study 1 (N=472) bestätigte 9 psychologische Faktoren (Misstrauen, Distress, Extraversion, Offenheit, Prokrastination, depressive Symptome, posttraumatische Symptome, zwanghafte Züge, emotionale Stabilität) mit guter Reliabilität. Study 2 (N=192) zeigte signifikante Unterschiede zwischen Impfskeptikern und Nicht-Skeptikern. PF-HBQ ist zuverlässiges Werkzeug zur Charakterisierung psychologischer Profile bei Impfentscheidungen.</w:t>
      </w:r>
    </w:p>
    <w:p>
      <w:r>
        <w:rPr>
          <w:b/>
          <w:sz w:val="19"/>
        </w:rPr>
        <w:t xml:space="preserve">Übertragbarkeit: </w:t>
      </w:r>
      <w:r>
        <w:rPr>
          <w:sz w:val="19"/>
        </w:rPr>
        <w:t>Italien, psychometrisches Instrument, kulturübergreifend adaptierbar</w:t>
      </w:r>
    </w:p>
    <w:p>
      <w:r>
        <w:rPr>
          <w:color w:val="5A7D3A"/>
          <w:sz w:val="18"/>
        </w:rPr>
        <w:t>https://pubmed.ncbi.nlm.nih.gov/42827459/</w:t>
      </w:r>
    </w:p>
    <w:p>
      <w:pPr>
        <w:pStyle w:val="Heading1"/>
      </w:pPr>
      <w:r>
        <w:t>Aufgenommen am 04.10.2026</w:t>
      </w:r>
    </w:p>
    <w:p>
      <w:pPr>
        <w:pStyle w:val="Heading2"/>
      </w:pPr>
      <w:r>
        <w:t>Impfverantwortung in Familie und System: Wie russische Mütter Impfentscheidungen treffen</w:t>
      </w:r>
    </w:p>
    <w:p>
      <w:r>
        <w:rPr>
          <w:i/>
          <w:color w:val="666666"/>
          <w:sz w:val="18"/>
        </w:rPr>
        <w:t>Borozdina E  ·  Sociol Health Illn  ·  Nov. 2026  ·  PMID 42823783</w:t>
      </w:r>
    </w:p>
    <w:p>
      <w:r>
        <w:t>Qualitative Interviews mit impfskeptischen russischen Müttern zeigten, dass Impfentscheidungen nicht individuell getroffen werden, sondern eingebettet sind in Familiennetzwerke und durch unzureichende institutionelle Unterstützung bei hoher Eigenverantwortung geprägt sind.</w:t>
      </w:r>
    </w:p>
    <w:p>
      <w:r>
        <w:rPr>
          <w:b/>
        </w:rPr>
        <w:t xml:space="preserve">Ergebnis: </w:t>
      </w:r>
      <w:r>
        <w:t>Impfskepsis entsteht nicht primär aus individualistischer Haltung, sondern aus dem Misstrauen gegenüber Institutionen, die Eigenverantwortung verlangen ohne sie zu unterstützen; familiäre Netzwerke sind zentral für Entscheidungsfindung.</w:t>
      </w:r>
    </w:p>
    <w:p>
      <w:r>
        <w:rPr>
          <w:b/>
          <w:sz w:val="19"/>
        </w:rPr>
        <w:t xml:space="preserve">Übertragbarkeit: </w:t>
      </w:r>
      <w:r>
        <w:rPr>
          <w:sz w:val="19"/>
        </w:rPr>
        <w:t>Russland – System mit neoliberalen Tendenzen und Staatskontrolle, teilweise vergleichbar zu osteuropäischen Transformationsgesellschaften</w:t>
      </w:r>
    </w:p>
    <w:p>
      <w:r>
        <w:rPr>
          <w:color w:val="5A7D3A"/>
          <w:sz w:val="18"/>
        </w:rPr>
        <w:t>https://pubmed.ncbi.nlm.nih.gov/42823783/</w:t>
      </w:r>
    </w:p>
    <w:p>
      <w:pPr>
        <w:pStyle w:val="Heading2"/>
      </w:pPr>
      <w:r>
        <w:t>Guillain-Barré-Syndrom nach RSV-Vakzinierung: Fallbericht und diagnostische Lektionen</w:t>
      </w:r>
    </w:p>
    <w:p>
      <w:r>
        <w:rPr>
          <w:i/>
          <w:color w:val="666666"/>
          <w:sz w:val="18"/>
        </w:rPr>
        <w:t>Hreiz S et al.  ·  BMJ Case Rep  ·  01.10.2026  ·  PMID 42823139</w:t>
      </w:r>
    </w:p>
    <w:p>
      <w:r>
        <w:t>Fallbericht einer älteren Patientin mit Guillain-Barré-Syndrom zwei Wochen nach RSV-Impfung, die zunächst fehldiagnostiziert wurde, intensive Behandlung mit IVIG erforderte und sich nur partiell erholte.</w:t>
      </w:r>
    </w:p>
    <w:p>
      <w:r>
        <w:rPr>
          <w:b/>
        </w:rPr>
        <w:t xml:space="preserve">Ergebnis: </w:t>
      </w:r>
      <w:r>
        <w:t>Ein dokumentierter Fall eines Guillain-Barré-Syndroms mit zeitlichem Zusammenhang zur RSV-Vakzinierung; seltene, aber wichtige Nebenwirkung, die Notwendigkeit serieller klinischer Beurteilung und früher Eskalation unterstreicht.</w:t>
      </w:r>
    </w:p>
    <w:p>
      <w:r>
        <w:rPr>
          <w:b/>
          <w:sz w:val="19"/>
        </w:rPr>
        <w:t xml:space="preserve">Übertragbarkeit: </w:t>
      </w:r>
      <w:r>
        <w:rPr>
          <w:sz w:val="19"/>
        </w:rPr>
        <w:t>Großbritannien – vergleichbares Gesundheitssystem, Vigilanzmeldung in europäischer Sicherheitsüberwachung relevant</w:t>
      </w:r>
    </w:p>
    <w:p>
      <w:r>
        <w:rPr>
          <w:color w:val="5A7D3A"/>
          <w:sz w:val="18"/>
        </w:rPr>
        <w:t>https://pubmed.ncbi.nlm.nih.gov/42823139/</w:t>
      </w:r>
    </w:p>
    <w:p>
      <w:pPr>
        <w:pStyle w:val="Heading2"/>
      </w:pPr>
      <w:r>
        <w:t>Hepatitis-B-Impfantwortraten bei Hämodialysepatienten: Prädiktoren und Responderraten</w:t>
      </w:r>
    </w:p>
    <w:p>
      <w:r>
        <w:rPr>
          <w:i/>
          <w:color w:val="666666"/>
          <w:sz w:val="18"/>
        </w:rPr>
        <w:t>Gupta RD et al.  ·  Mymensingh Med J  ·  Okt. 2026  ·  PMID 42811835</w:t>
      </w:r>
    </w:p>
    <w:p>
      <w:r>
        <w:t>Querschnittstudie mit 50 Hämodialysepatienten in Bangladesch zur Messung von Anti-HBs-Titern nach Hepatitis-B-Impfung und Identifikation von Prädiktoren der Impfantwort.</w:t>
      </w:r>
    </w:p>
    <w:p>
      <w:r>
        <w:rPr>
          <w:b/>
        </w:rPr>
        <w:t xml:space="preserve">Ergebnis: </w:t>
      </w:r>
      <w:r>
        <w:t>Gesamtansprechquote 64%: 38% Hochresponder (Anti-HBs ≥100 mIU/ml), 26% schwache Responder (≥10 bis &lt;100 mIU/ml), 36% Nicht-Responder (&lt;10 mIU/ml); Alter &gt;50 Jahre, Diabetes und niedriges Serumalbmin waren signifikante Prädiktoren für schwache/keine Antwort (p&lt;0,05).</w:t>
      </w:r>
    </w:p>
    <w:p>
      <w:r>
        <w:rPr>
          <w:b/>
          <w:sz w:val="19"/>
        </w:rPr>
        <w:t xml:space="preserve">Übertragbarkeit: </w:t>
      </w:r>
      <w:r>
        <w:rPr>
          <w:sz w:val="19"/>
        </w:rPr>
        <w:t>Bangladesch – ähnliche Dialysepopulation, generalisierbar auf Hochrisikogruppen mit Malnutrition</w:t>
      </w:r>
    </w:p>
    <w:p>
      <w:r>
        <w:rPr>
          <w:color w:val="5A7D3A"/>
          <w:sz w:val="18"/>
        </w:rPr>
        <w:t>https://pubmed.ncbi.nlm.nih.gov/42811835/</w:t>
      </w:r>
    </w:p>
    <w:p>
      <w:pPr>
        <w:pStyle w:val="Heading2"/>
      </w:pPr>
      <w:r>
        <w:t>COVID-19-Impfeffektivität unter Alltagsbedingungen: Direkte und indirekte Effekte in Victoria, Australien</w:t>
      </w:r>
    </w:p>
    <w:p>
      <w:r>
        <w:rPr>
          <w:i/>
          <w:color w:val="666666"/>
          <w:sz w:val="18"/>
        </w:rPr>
        <w:t>Lin L et al.  ·  J R Soc Interface  ·  30.09.2026  ·  PMID 42811612</w:t>
      </w:r>
    </w:p>
    <w:p>
      <w:r>
        <w:t>Bevölkerungsbasierte Modellstudie mit 6,44 Millionen Einwohnern Victorias zur Quantifizierung der direkten und indirekten (Herden-)Schutzeffekte von COVID-19-Impfung während der Delta-Welle 2021.</w:t>
      </w:r>
    </w:p>
    <w:p>
      <w:r>
        <w:rPr>
          <w:b/>
        </w:rPr>
        <w:t xml:space="preserve">Ergebnis: </w:t>
      </w:r>
      <w:r>
        <w:t>Konservativ geschätzt: 315.000 Infektionen (95% BCI: 231k–406k), 33.400 Hospitalisierungen (95% BCI: 22k–46k) und 4.900 Todesfälle (95% BCI: 2,8k–7,2k) vermieden; diese Zahlen sind 4,0–, 7,5– und 8,0-fach höher als die beobachtete Fallzahl. Etwa die Hälfte der vermiedenen Infektionen und ein Viertel der Hospitalisierungen/Todesfälle gingen auf indirekten Schutz zurück.</w:t>
      </w:r>
    </w:p>
    <w:p>
      <w:r>
        <w:rPr>
          <w:b/>
          <w:sz w:val="19"/>
        </w:rPr>
        <w:t xml:space="preserve">Übertragbarkeit: </w:t>
      </w:r>
      <w:r>
        <w:rPr>
          <w:sz w:val="19"/>
        </w:rPr>
        <w:t>Australien – ähnliche Impfinfrastruktur wie Westeuropa, Bevölkerungsdaten robust</w:t>
      </w:r>
    </w:p>
    <w:p>
      <w:r>
        <w:rPr>
          <w:color w:val="5A7D3A"/>
          <w:sz w:val="18"/>
        </w:rPr>
        <w:t>https://pubmed.ncbi.nlm.nih.gov/42811612/</w:t>
      </w:r>
    </w:p>
    <w:p>
      <w:pPr>
        <w:pStyle w:val="Heading2"/>
      </w:pPr>
      <w:r>
        <w:t>HPV-Impfwissen und -akzeptanz bei Studierenden in Malaysia: Lücken trotz positiver Einstellung</w:t>
      </w:r>
    </w:p>
    <w:p>
      <w:r>
        <w:rPr>
          <w:i/>
          <w:color w:val="666666"/>
          <w:sz w:val="18"/>
        </w:rPr>
        <w:t>Lim MSH et al.  ·  Asian Pac J Cancer Prev  ·  01.09.2026  ·  PMID 42808405</w:t>
      </w:r>
    </w:p>
    <w:p>
      <w:r>
        <w:t>Querschnittstudie mit 382 Undergraduate-Studierenden in Sarawak zur Erhebung von HPV-Wissen, Einstellungen und Impfquoten; 55% waren ungeimpft.</w:t>
      </w:r>
    </w:p>
    <w:p>
      <w:r>
        <w:rPr>
          <w:b/>
        </w:rPr>
        <w:t xml:space="preserve">Ergebnis: </w:t>
      </w:r>
      <w:r>
        <w:t>HPV-Wissen moderat: Studierende aus Gesundheitsfachrichtungen zeigten höheres Wissen (aOR 2,0, 95% CI 1,1–3,5); Geimpfte hatten signifikant höheres Wissen (aOR 1,9, 95% CI 1,2–3,0). Einstellungen überwiegend positiv, aber Bedenken bezüglich Kosten, Sicherheit und sozialer Stigmatisierung blieben bestehen.</w:t>
      </w:r>
    </w:p>
    <w:p>
      <w:r>
        <w:rPr>
          <w:b/>
          <w:sz w:val="19"/>
        </w:rPr>
        <w:t xml:space="preserve">Übertragbarkeit: </w:t>
      </w:r>
      <w:r>
        <w:rPr>
          <w:sz w:val="19"/>
        </w:rPr>
        <w:t>Malaysia – mittleres Einkommen, nationales HPV-Programm, ähnliche schulische Erreichbarkeit wie Schwellenländer</w:t>
      </w:r>
    </w:p>
    <w:p>
      <w:r>
        <w:rPr>
          <w:color w:val="5A7D3A"/>
          <w:sz w:val="18"/>
        </w:rPr>
        <w:t>https://pubmed.ncbi.nlm.nih.gov/42808405/</w:t>
      </w:r>
    </w:p>
    <w:p>
      <w:pPr>
        <w:pStyle w:val="Heading2"/>
      </w:pPr>
      <w:r>
        <w:t>Masernimpfversagen bei Reiserückkehrern: Zwei Fallbeispiele aus Deutschland</w:t>
      </w:r>
    </w:p>
    <w:p>
      <w:r>
        <w:rPr>
          <w:i/>
          <w:color w:val="666666"/>
          <w:sz w:val="18"/>
        </w:rPr>
        <w:t>Schnell AP et al.  ·  Inn Med (Heidelb)  ·  08.09.2026  ·  PMID 42709141</w:t>
      </w:r>
    </w:p>
    <w:p>
      <w:r>
        <w:t>Fallbericht von zwei Masernpatienten nach Auslandsreisen, davon einer mit primärem Impfversagen nach Einfachimpfung mit schwerer Pneumonitis und einer mit sekundärem Impfversagen und atypischem Exanthem bei vermuteter Immundefizienz.</w:t>
      </w:r>
    </w:p>
    <w:p>
      <w:r>
        <w:rPr>
          <w:b/>
        </w:rPr>
        <w:t xml:space="preserve">Ergebnis: </w:t>
      </w:r>
      <w:r>
        <w:t>Zwei dokumentierte Masernfälle in Deutschland trotz Impfung – ein Fall mit primärem, einer mit sekundärem Impfversagen; Masern bleiben relevante Differenzialdiagnose auch bei Geimpften, reisemedizinische Beratung sollte Impfstatus erfassen.</w:t>
      </w:r>
    </w:p>
    <w:p>
      <w:r>
        <w:rPr>
          <w:b/>
          <w:sz w:val="19"/>
        </w:rPr>
        <w:t xml:space="preserve">Übertragbarkeit: </w:t>
      </w:r>
      <w:r>
        <w:rPr>
          <w:sz w:val="19"/>
        </w:rPr>
        <w:t>Deutsche Klinikdaten mit reisemedizinischem Bezug und Impfversagensursachen klinisch relevant</w:t>
      </w:r>
    </w:p>
    <w:p>
      <w:r>
        <w:rPr>
          <w:color w:val="5A7D3A"/>
          <w:sz w:val="18"/>
        </w:rPr>
        <w:t>https://pubmed.ncbi.nlm.nih.gov/42709141/</w:t>
      </w:r>
    </w:p>
    <w:p>
      <w:pPr>
        <w:pStyle w:val="Heading1"/>
      </w:pPr>
      <w:r>
        <w:t>Aufgenommen am 03.10.2026</w:t>
      </w:r>
    </w:p>
    <w:p>
      <w:pPr>
        <w:pStyle w:val="Heading2"/>
      </w:pPr>
      <w:r>
        <w:t>Impfquoten bei erwachsenen Diabetespatienten auf den Philippinen: Impfhürden und Chancen</w:t>
      </w:r>
    </w:p>
    <w:p>
      <w:r>
        <w:rPr>
          <w:i/>
          <w:color w:val="666666"/>
          <w:sz w:val="18"/>
        </w:rPr>
        <w:t>Jacobo RJB et al.  ·  Hum Vaccin Immunother  ·  02.10.2026  ·  PMID 42826175</w:t>
      </w:r>
    </w:p>
    <w:p>
      <w:r>
        <w:t>Querschnittstudie mit 284 philippinischen Erwachsenen mit Diabetes zur Erfassung von Impfquoten gegen Influenza, Pneumokokken, Herpes zoster, Hepatitis B, Tetanus und COVID-19 sowie Prädiktoren für Impfung.</w:t>
      </w:r>
    </w:p>
    <w:p>
      <w:r>
        <w:rPr>
          <w:b/>
        </w:rPr>
        <w:t xml:space="preserve">Ergebnis: </w:t>
      </w:r>
      <w:r>
        <w:t>Impfquoten: Influenza 44,4 %, Pneumokokken 49,6 %, Herpes zoster 18,1 %, Hepatitis B 15,5 %, Td/Tdap 23,2 %, COVID-19 97,9 %. Männliches Geschlecht, niedrigeres Alter und niedrigeres Einkommen waren mit niedrigeren Quoten assoziiert. Ärztliche Empfehlung war stärkster Prädiktor für alle Impfungen. Häufigste Gründe für Nicht-Impfung: fehlende Empfehlung (62–82 %), finanzielle Hürden (36–52 %), Impfen nicht als Priorität.</w:t>
      </w:r>
    </w:p>
    <w:p>
      <w:r>
        <w:rPr>
          <w:b/>
          <w:sz w:val="19"/>
        </w:rPr>
        <w:t xml:space="preserve">Übertragbarkeit: </w:t>
      </w:r>
      <w:r>
        <w:rPr>
          <w:sz w:val="19"/>
        </w:rPr>
        <w:t>Niedrig-mittleres Einkommen; Befunde zu Barrierenadressierung auf DACH begrenzt übertragbar</w:t>
      </w:r>
    </w:p>
    <w:p>
      <w:r>
        <w:rPr>
          <w:color w:val="5A7D3A"/>
          <w:sz w:val="18"/>
        </w:rPr>
        <w:t>https://pubmed.ncbi.nlm.nih.gov/42826175/</w:t>
      </w:r>
    </w:p>
    <w:p>
      <w:pPr>
        <w:pStyle w:val="Heading2"/>
      </w:pPr>
      <w:r>
        <w:t>Influenza-Impfeffektivität bei älteren Erwachsenen während Delta-Dominanz in China 2024–2025</w:t>
      </w:r>
    </w:p>
    <w:p>
      <w:r>
        <w:rPr>
          <w:i/>
          <w:color w:val="666666"/>
          <w:sz w:val="18"/>
        </w:rPr>
        <w:t>Liu X et al.  ·  BMC Geriatr  ·  25.07.2026  ·  PMID 42823662</w:t>
      </w:r>
    </w:p>
    <w:p>
      <w:r>
        <w:t>Multizenter Test-Negativ-Studie mit 4.694 älteren Patienten (≥60 Jahre) in der Provinz Zhejiang zur Messung der Impfeffektivität gegen A(H1N1)pdm09 unter Routinebedingungen.</w:t>
      </w:r>
    </w:p>
    <w:p>
      <w:r>
        <w:rPr>
          <w:b/>
        </w:rPr>
        <w:t xml:space="preserve">Ergebnis: </w:t>
      </w:r>
      <w:r>
        <w:t>Gesamteffektivität 53,3 % (95%-KI 45,4–60,2), nach Altersgruppe 56,9 % (60–69 Jahre), 51,2 % (70–79 Jahre), 57,7 % (≥80 Jahre). Effektivität gegen Hospitalisierung 53,9 % (95%-KI 37,3–66,0), gegen moderate bis schwere Influenza 68,8 % (95%-KI 50,0–80,6). Schutz sank von 58,0 % (37–71 Tage post-vakzination) auf 42,8 % (60–180 Tage). Impfquote 32,7 %.</w:t>
      </w:r>
    </w:p>
    <w:p>
      <w:r>
        <w:rPr>
          <w:b/>
          <w:sz w:val="19"/>
        </w:rPr>
        <w:t xml:space="preserve">Übertragbarkeit: </w:t>
      </w:r>
      <w:r>
        <w:rPr>
          <w:sz w:val="19"/>
        </w:rPr>
        <w:t>China-Studie; Labor-Bestätigung und Test-Negativ-Design sind übertragbar</w:t>
      </w:r>
    </w:p>
    <w:p>
      <w:r>
        <w:rPr>
          <w:color w:val="5A7D3A"/>
          <w:sz w:val="18"/>
        </w:rPr>
        <w:t>https://pubmed.ncbi.nlm.nih.gov/42823662/</w:t>
      </w:r>
    </w:p>
    <w:p>
      <w:pPr>
        <w:pStyle w:val="Heading2"/>
      </w:pPr>
      <w:r>
        <w:t>CAR-T-Therapie versus allogene Stammzelltransplantation bei refraktärem großzelligem B-Lymphom</w:t>
      </w:r>
    </w:p>
    <w:p>
      <w:r>
        <w:rPr>
          <w:i/>
          <w:color w:val="666666"/>
          <w:sz w:val="18"/>
        </w:rPr>
        <w:t>Maulhardt M et al.  ·  Clin Lymphoma Myeloma Leuk  ·  07.08.2026  ·  PMID 42686451</w:t>
      </w:r>
    </w:p>
    <w:p>
      <w:r>
        <w:t>Retrospektive Auswertung von 187 Patienten mit refraktärem großzelligem B-Lymphom, die entweder CAR-T-Zelltherapie (Axicabtagene Ciloleucel) oder allogene Transplantation erhielten, zur Vergleichbarkeit von Überleben und Nebenwirkungen.</w:t>
      </w:r>
    </w:p>
    <w:p>
      <w:r>
        <w:rPr>
          <w:b/>
        </w:rPr>
        <w:t xml:space="preserve">Ergebnis: </w:t>
      </w:r>
      <w:r>
        <w:t>12-Monats-progressionsfreies Überleben 50,1 % (CAR-T) vs. 33,8 % (Transplantation, p&lt;0,05); 12-Monats-Gesamtüberleben 60,5 % vs. 43,2 % (p&lt;0,05). Nicht-Rezidiv-Mortalität deutlich höher nach Transplantation (36 % vs. 12 %, p&lt;0,001), hauptsächlich durch Infektionen und Graft-versus-Host-Erkrankung. CAR-T zeigte Überlebensvorteil durch niedrigere Behandlungsmortalität.</w:t>
      </w:r>
    </w:p>
    <w:p>
      <w:r>
        <w:rPr>
          <w:b/>
          <w:sz w:val="19"/>
        </w:rPr>
        <w:t xml:space="preserve">Übertragbarkeit: </w:t>
      </w:r>
      <w:r>
        <w:rPr>
          <w:sz w:val="19"/>
        </w:rPr>
        <w:t>Deutsches Single-Center-Register mit vergleichbarem Versicherungssystem</w:t>
      </w:r>
    </w:p>
    <w:p>
      <w:r>
        <w:rPr>
          <w:color w:val="5A7D3A"/>
          <w:sz w:val="18"/>
        </w:rPr>
        <w:t>https://pubmed.ncbi.nlm.nih.gov/42686451/</w:t>
      </w:r>
    </w:p>
    <w:p>
      <w:pPr>
        <w:pStyle w:val="Heading2"/>
      </w:pPr>
      <w:r>
        <w:t>Attenuierter Influenzaimpfstoff erhöht Pneumokokken-Besiedlung und Übertragung in Haushalten</w:t>
      </w:r>
    </w:p>
    <w:p>
      <w:r>
        <w:rPr>
          <w:i/>
          <w:color w:val="666666"/>
          <w:sz w:val="18"/>
        </w:rPr>
        <w:t>Metz J et al.  ·  Lancet Microbe  ·  18.08.2026  ·  PMID 42612652</w:t>
      </w:r>
    </w:p>
    <w:p>
      <w:r>
        <w:t>Randomisierte UK-Studie mit 405 Familien (1.379 Personen), die untersuchte, ob der lebendabgeschwächte Influenzaimpfstoff bei Kleinkindern die Dichte von Streptococcus-pneumoniae-Besiedlung und deren Übertragung auf Haushaltskontakte erhöht.</w:t>
      </w:r>
    </w:p>
    <w:p>
      <w:r>
        <w:rPr>
          <w:b/>
        </w:rPr>
        <w:t xml:space="preserve">Ergebnis: </w:t>
      </w:r>
      <w:r>
        <w:t>Bei geimpften Kindern 2,5-fach erhöhte Odds für Anstieg der Pneumokokken-Dichte nach 14 Tagen (95%-KI 1,5–4,3, p=0,0008) und 2,0-fach erhöhte Odds für Pneumokokken-Erwerb bei Haushaltskonten (95%-KI 1,2–3,5, p=0,015). Effekte weitgehend abgeklungen bis Tag 28. Impfquote bei Studienende 96 %, Studienvollendung 96 %.</w:t>
      </w:r>
    </w:p>
    <w:p>
      <w:r>
        <w:rPr>
          <w:b/>
          <w:sz w:val="19"/>
        </w:rPr>
        <w:t xml:space="preserve">Übertragbarkeit: </w:t>
      </w:r>
      <w:r>
        <w:rPr>
          <w:sz w:val="19"/>
        </w:rPr>
        <w:t>UK-Register mit vergleichbarer Haushaltsstruktur, Übertragbarkeit auf Deutschland eingeschränkt</w:t>
      </w:r>
    </w:p>
    <w:p>
      <w:r>
        <w:rPr>
          <w:color w:val="5A7D3A"/>
          <w:sz w:val="18"/>
        </w:rPr>
        <w:t>https://pubmed.ncbi.nlm.nih.gov/42612652/</w:t>
      </w:r>
    </w:p>
    <w:p>
      <w:pPr>
        <w:pStyle w:val="Heading2"/>
      </w:pPr>
      <w:r>
        <w:t>Frühe CAR-T-Intensivierung bei hochrisiko-Mantelzelllymphom: CARMAN-Protokoll</w:t>
      </w:r>
    </w:p>
    <w:p>
      <w:r>
        <w:rPr>
          <w:i/>
          <w:color w:val="666666"/>
          <w:sz w:val="18"/>
        </w:rPr>
        <w:t>Tilch MK et al.  ·  BMC Cancer  ·  11.08.2026  ·  PMID 42581349</w:t>
      </w:r>
    </w:p>
    <w:p>
      <w:r>
        <w:t>Randomisierte Phase-II-Studie zur Prüfung, ob eine Verkürzung der Induktionschemotherapie gefolgt von CAR-T-Zelltherapie das Überleben bei hochrisiko-Mantelzelllymphom verbessert – als Alternative zu Standardtherapie.</w:t>
      </w:r>
    </w:p>
    <w:p>
      <w:r>
        <w:rPr>
          <w:b/>
        </w:rPr>
        <w:t xml:space="preserve">Ergebnis: </w:t>
      </w:r>
      <w:r>
        <w:t>Rekrutierung 2026 abgeschlossen; 150 Patienten aus 5 europäischen Ländern randomisiert 1:1. Primärer Endpunkt ist ‚Failure-free survival'; Sekundärendpunkte umfassen Gesamtresponserate, komplette Remissionsrate, Sicherheit und Lebensqualität. Ergebnisse stehen aus.</w:t>
      </w:r>
    </w:p>
    <w:p>
      <w:r>
        <w:rPr>
          <w:b/>
          <w:sz w:val="19"/>
        </w:rPr>
        <w:t xml:space="preserve">Übertragbarkeit: </w:t>
      </w:r>
      <w:r>
        <w:rPr>
          <w:sz w:val="19"/>
        </w:rPr>
        <w:t>Multizenter europäische Studie mit vergleichbarem Gesundheitssystem</w:t>
      </w:r>
    </w:p>
    <w:p>
      <w:r>
        <w:rPr>
          <w:color w:val="5A7D3A"/>
          <w:sz w:val="18"/>
        </w:rPr>
        <w:t>https://pubmed.ncbi.nlm.nih.gov/42581349/</w:t>
      </w:r>
    </w:p>
    <w:p>
      <w:pPr>
        <w:pStyle w:val="Heading2"/>
      </w:pPr>
      <w:r>
        <w:t>Wirtschaftliche Präferenzen vorhersagen COVID-19-Impfabsicht und Verhalten</w:t>
      </w:r>
    </w:p>
    <w:p>
      <w:r>
        <w:rPr>
          <w:i/>
          <w:color w:val="666666"/>
          <w:sz w:val="18"/>
        </w:rPr>
        <w:t>Angerer S et al.  ·  Health Econ  ·  30.07.2026  ·  PMID 42533263</w:t>
      </w:r>
    </w:p>
    <w:p>
      <w:r>
        <w:t>Bevölkerungsstudie mit &gt;5.000 Personen in Deutschland, die die Beziehung zwischen Temperament (Altruismus, Geduld, Risikobereitschaft, Vertrauen) und COVID-19-Impfbereitschaft untersuchte.</w:t>
      </w:r>
    </w:p>
    <w:p>
      <w:r>
        <w:rPr>
          <w:b/>
        </w:rPr>
        <w:t xml:space="preserve">Ergebnis: </w:t>
      </w:r>
      <w:r>
        <w:t>Robuste positive Assoziationen zwischen Impfbereitschaft und Geduld sowie Vertrauen. Altruismus zeigte positive Beziehung zur Impfbereitschaft, die jedoch bei Kontrolle anderer Präferenzen verschwand. Risikobereitschaft zeigte keine konsistenten Effekte. Befunde unterstreichen Bedeutung von Vertrauen und zeitlichem Denken für Impfentscheidungen.</w:t>
      </w:r>
    </w:p>
    <w:p>
      <w:r>
        <w:rPr>
          <w:b/>
          <w:sz w:val="19"/>
        </w:rPr>
        <w:t xml:space="preserve">Übertragbarkeit: </w:t>
      </w:r>
      <w:r>
        <w:rPr>
          <w:sz w:val="19"/>
        </w:rPr>
        <w:t>Deutsche Bevölkerungsstichprobe, direkt auf deutsches Gesundheitssystem übertragbar</w:t>
      </w:r>
    </w:p>
    <w:p>
      <w:r>
        <w:rPr>
          <w:color w:val="5A7D3A"/>
          <w:sz w:val="18"/>
        </w:rPr>
        <w:t>https://pubmed.ncbi.nlm.nih.gov/42533263/</w:t>
      </w:r>
    </w:p>
    <w:p>
      <w:pPr>
        <w:pStyle w:val="Heading1"/>
      </w:pPr>
      <w:r>
        <w:t>Aufgenommen am 02.10.2026</w:t>
      </w:r>
    </w:p>
    <w:p>
      <w:pPr>
        <w:pStyle w:val="Heading2"/>
      </w:pPr>
      <w:r>
        <w:t>COVID-19-Auffrischungsimpfung reduzierte Rehospitalisierungsrisiko um 39 Prozent</w:t>
      </w:r>
    </w:p>
    <w:p>
      <w:r>
        <w:rPr>
          <w:i/>
          <w:color w:val="666666"/>
          <w:sz w:val="18"/>
        </w:rPr>
        <w:t>Neves RKAD et al.  ·  PLoS One  ·  01.10.2026  ·  PMID 42821558</w:t>
      </w:r>
    </w:p>
    <w:p>
      <w:r>
        <w:t>Kohortenstudie in Rio de Janeiro untersuchte, ob Impfstatus die Rehospitalisierung wegen COVID-19-Reinfektionen zwischen 2020 und 2022 beeinflusste.</w:t>
      </w:r>
    </w:p>
    <w:p>
      <w:r>
        <w:rPr>
          <w:b/>
        </w:rPr>
        <w:t xml:space="preserve">Ergebnis: </w:t>
      </w:r>
      <w:r>
        <w:t>Vollständige Impfung mit Auffrischung (≥3 Dosen) reduzierte das Rehospitalisierungsrisiko um 39 Prozent (sHR: 0,61; 95 %-KI: 0,52–0,73). Älteres Alter, Multimorbidität und Black race waren unabhängige Risikofaktoren. Die Herdenimmunität durch hohe Impfquoten hätte Ergebnisse um circa 25 Prozent verbessert.</w:t>
      </w:r>
    </w:p>
    <w:p>
      <w:r>
        <w:rPr>
          <w:b/>
          <w:sz w:val="19"/>
        </w:rPr>
        <w:t xml:space="preserve">Übertragbarkeit: </w:t>
      </w:r>
      <w:r>
        <w:rPr>
          <w:sz w:val="19"/>
        </w:rPr>
        <w:t>Brasilien, aber Effektmaß unabhängig von Systemen, Versorgungsdaten</w:t>
      </w:r>
    </w:p>
    <w:p>
      <w:r>
        <w:rPr>
          <w:color w:val="5A7D3A"/>
          <w:sz w:val="18"/>
        </w:rPr>
        <w:t>https://pubmed.ncbi.nlm.nih.gov/42821558/</w:t>
      </w:r>
    </w:p>
    <w:p>
      <w:pPr>
        <w:pStyle w:val="Heading2"/>
      </w:pPr>
      <w:r>
        <w:t>Impfverzögerungen bei Kleinkindern in Bagdad: Wissen und Verfügbarkeit als Schlüsselfaktoren</w:t>
      </w:r>
    </w:p>
    <w:p>
      <w:r>
        <w:rPr>
          <w:i/>
          <w:color w:val="666666"/>
          <w:sz w:val="18"/>
        </w:rPr>
        <w:t>Shah SSAM et al.  ·  PLoS One  ·  01.10.2026  ·  PMID 42821556</w:t>
      </w:r>
    </w:p>
    <w:p>
      <w:r>
        <w:t>Querschnittsstudie mit dokumentierten Impfkarten bei 168 Kindern (18–24 Monate) in Bagdad prüfte Zeitlichkeit und Verzögerungsgründe.</w:t>
      </w:r>
    </w:p>
    <w:p>
      <w:r>
        <w:rPr>
          <w:b/>
        </w:rPr>
        <w:t xml:space="preserve">Ergebnis: </w:t>
      </w:r>
      <w:r>
        <w:t>Nur 8,3 Prozent erhielten alle Impfungen pünktlich; 91,7 Prozent Verzögerungen (75 Prozent an mehreren Terminen). Fehlende Kenntnisse zum Impfplan (aOR: 3,85; 95 %-KI: 1,04–14,24) und wahrgenommene Impfstoffverfügbarkeit (aOR: 4,74; 95 %-KI: 1,09–20,51) waren Hauptrisiken. Keine Soziodemografika signifikant.</w:t>
      </w:r>
    </w:p>
    <w:p>
      <w:r>
        <w:rPr>
          <w:b/>
          <w:sz w:val="19"/>
        </w:rPr>
        <w:t xml:space="preserve">Übertragbarkeit: </w:t>
      </w:r>
      <w:r>
        <w:rPr>
          <w:sz w:val="19"/>
        </w:rPr>
        <w:t>Postkonflikt-Setting, aber Identifikation gestaltbarer Hindernisse (Wissen, Logistik) übertragbar</w:t>
      </w:r>
    </w:p>
    <w:p>
      <w:r>
        <w:rPr>
          <w:color w:val="5A7D3A"/>
          <w:sz w:val="18"/>
        </w:rPr>
        <w:t>https://pubmed.ncbi.nlm.nih.gov/42821556/</w:t>
      </w:r>
    </w:p>
    <w:p>
      <w:pPr>
        <w:pStyle w:val="Heading2"/>
      </w:pPr>
      <w:r>
        <w:t>Impffehler in der Primärversorgung: Systemischer Ansatz statt Individualisierung</w:t>
      </w:r>
    </w:p>
    <w:p>
      <w:r>
        <w:rPr>
          <w:i/>
          <w:color w:val="666666"/>
          <w:sz w:val="18"/>
        </w:rPr>
        <w:t>Cirino FMSB et al.  ·  Rev Bras Enferm  ·  28.09.2026  ·  PMID 42820566</w:t>
      </w:r>
    </w:p>
    <w:p>
      <w:r>
        <w:t>Reflexive Studie zur Rolle von Überlastung und prekären Arbeitsbedingungen als Systemtreiber von Impffehlern in der Primärversorgung Brasiliens.</w:t>
      </w:r>
    </w:p>
    <w:p>
      <w:r>
        <w:rPr>
          <w:b/>
        </w:rPr>
        <w:t xml:space="preserve">Ergebnis: </w:t>
      </w:r>
      <w:r>
        <w:t>Impffehler sind Ausdruck von Burnout und Überbelastung bei Pflegefachpersonen, nicht nur technische oder individuelle Versäumnisse. Prävention verlangt Systemansatz (Autonomie, Arbeitsbedingungen, kritische Reflexionsräume), nicht nur Einzelverantwortlichkeit.</w:t>
      </w:r>
    </w:p>
    <w:p>
      <w:r>
        <w:rPr>
          <w:b/>
          <w:sz w:val="19"/>
        </w:rPr>
        <w:t xml:space="preserve">Übertragbarkeit: </w:t>
      </w:r>
      <w:r>
        <w:rPr>
          <w:sz w:val="19"/>
        </w:rPr>
        <w:t>Brasilien, aber systemische Sicht auf Impfqualität gilt überall; Personalressourcen und Arbeitsbedingungen zentral</w:t>
      </w:r>
    </w:p>
    <w:p>
      <w:r>
        <w:rPr>
          <w:color w:val="5A7D3A"/>
          <w:sz w:val="18"/>
        </w:rPr>
        <w:t>https://pubmed.ncbi.nlm.nih.gov/42820566/</w:t>
      </w:r>
    </w:p>
    <w:p>
      <w:pPr>
        <w:pStyle w:val="Heading2"/>
      </w:pPr>
      <w:r>
        <w:t>HPV-Impfbereitschaft bei Eltern in China: 63 % bereit, nur 18 % tatsächlich geimpft</w:t>
      </w:r>
    </w:p>
    <w:p>
      <w:r>
        <w:rPr>
          <w:i/>
          <w:color w:val="666666"/>
          <w:sz w:val="18"/>
        </w:rPr>
        <w:t>Li Y et al.  ·  Front Public Health  ·  16.09.2026  ·  PMID 42819398</w:t>
      </w:r>
    </w:p>
    <w:p>
      <w:r>
        <w:t>Querschnittsstudie mit 506 Eltern von Schülerinnen (China) prüfte nach Theory of Planned Behavior, welche Faktoren HPV-Impfwilligkeit und tatsächliche Inanspruchnahme vorhersagen.</w:t>
      </w:r>
    </w:p>
    <w:p>
      <w:r>
        <w:rPr>
          <w:b/>
        </w:rPr>
        <w:t xml:space="preserve">Ergebnis: </w:t>
      </w:r>
      <w:r>
        <w:t>63,24 Prozent zeigten Bereitschaft, aber nur 17,98 Prozent tatsächliche Impfquote. Höhere Elternbildung, Haushaltseinkommen 5.000–10.000 RMB, Familiengeschichte Krebs und positive Einstellung waren Prädiktoren. Wahrgenommene Verhaltenskontrolle (Barrieren) zeigte negatives Pfadkoeffizient (β = –0,10, p &lt; 0,01).</w:t>
      </w:r>
    </w:p>
    <w:p>
      <w:r>
        <w:rPr>
          <w:b/>
          <w:sz w:val="19"/>
        </w:rPr>
        <w:t xml:space="preserve">Übertragbarkeit: </w:t>
      </w:r>
      <w:r>
        <w:rPr>
          <w:sz w:val="19"/>
        </w:rPr>
        <w:t>China, aber Theory of Planned Behavior universell anwendbar; Gap zwischen Bereitschaft und Umsetzung ist globales Problem</w:t>
      </w:r>
    </w:p>
    <w:p>
      <w:r>
        <w:rPr>
          <w:color w:val="5A7D3A"/>
          <w:sz w:val="18"/>
        </w:rPr>
        <w:t>https://pubmed.ncbi.nlm.nih.gov/42819398/</w:t>
      </w:r>
    </w:p>
    <w:p>
      <w:pPr>
        <w:pStyle w:val="Heading2"/>
      </w:pPr>
      <w:r>
        <w:t>Zero-Dose-Kinder in Ländern mit niedrigem Einkommen: Hausgeburten top Risikofaktor</w:t>
      </w:r>
    </w:p>
    <w:p>
      <w:r>
        <w:rPr>
          <w:i/>
          <w:color w:val="666666"/>
          <w:sz w:val="18"/>
        </w:rPr>
        <w:t>Bobo FT et al.  ·  Int J Equity Health  ·  04.08.2026  ·  PMID 42816851</w:t>
      </w:r>
    </w:p>
    <w:p>
      <w:r>
        <w:t>Sekundäranalyse von zwei DHS-Runden aus zehn Ländern mit niedrigem/unterem Einkommen prüfte Trends bei Kinder ohne Grundimmunisierung und bevölkerungszuschreibbare Risikofaktoren.</w:t>
      </w:r>
    </w:p>
    <w:p>
      <w:r>
        <w:rPr>
          <w:b/>
        </w:rPr>
        <w:t xml:space="preserve">Ergebnis: </w:t>
      </w:r>
      <w:r>
        <w:t>Zero-Dose-Prävalenz stieg in fünf Ländern signifikant (z. B. Mosambik 4,8 % auf 14,2 %, Madagaskar 13,3 % auf 18,1 %). Hausgeburt hatte höchste PAF (17,1 %; 95 %-KI: 14,1–19,6), gefolgt von &lt;4 ANC-Kontakten (8,6 %; 95 %-KI: 7,2–10,0). Reproductive Health Services kombiniert: PAF 29,4 Prozent. Vermögen-bedingte Ungleichheit überall signifikant.</w:t>
      </w:r>
    </w:p>
    <w:p>
      <w:r>
        <w:rPr>
          <w:b/>
          <w:sz w:val="19"/>
        </w:rPr>
        <w:t xml:space="preserve">Übertragbarkeit: </w:t>
      </w:r>
      <w:r>
        <w:rPr>
          <w:sz w:val="19"/>
        </w:rPr>
        <w:t>LLMIC, aber bevölkerungszuschreibbare Anteile und Kausalkettenlogik helfen Priorisierung in ähnlichen Systemen</w:t>
      </w:r>
    </w:p>
    <w:p>
      <w:r>
        <w:rPr>
          <w:color w:val="5A7D3A"/>
          <w:sz w:val="18"/>
        </w:rPr>
        <w:t>https://pubmed.ncbi.nlm.nih.gov/42816851/</w:t>
      </w:r>
    </w:p>
    <w:p>
      <w:pPr>
        <w:pStyle w:val="Heading2"/>
      </w:pPr>
      <w:r>
        <w:t>Impfskepsis in Pakistan: Mehrstufig randomisierte Surveys zeigen 33,8 Prozent Hesitancy</w:t>
      </w:r>
    </w:p>
    <w:p>
      <w:r>
        <w:rPr>
          <w:i/>
          <w:color w:val="666666"/>
          <w:sz w:val="18"/>
        </w:rPr>
        <w:t>Honghe L et al.  ·  J Epidemiol Glob Health  ·  12.08.2026  ·  PMID 42809170</w:t>
      </w:r>
    </w:p>
    <w:p>
      <w:r>
        <w:t>Querschnittsstudie mit 1.200 Teilnehmern (Pakistan, Juni–August 2021) nutzte mehrstufig stratifizierte Paired-Response-Frameworks, um Impfskepsis und Underreporting zu quantifizieren.</w:t>
      </w:r>
    </w:p>
    <w:p>
      <w:r>
        <w:rPr>
          <w:b/>
        </w:rPr>
        <w:t xml:space="preserve">Ergebnis: </w:t>
      </w:r>
      <w:r>
        <w:t>Impfskepsis wurde mit MSPRF-I auf 33,8 Prozent (vs. 24,3 % in konventionellen Befragungen) geschätzt, mit 290–399 % höherer Effizienz. Urban-rural-Unterschiede bei Offenbarungsbereitschaft, aber systematische Unterschätzung in Routineerhebungen.</w:t>
      </w:r>
    </w:p>
    <w:p>
      <w:r>
        <w:rPr>
          <w:b/>
          <w:sz w:val="19"/>
        </w:rPr>
        <w:t xml:space="preserve">Übertragbarkeit: </w:t>
      </w:r>
      <w:r>
        <w:rPr>
          <w:sz w:val="19"/>
        </w:rPr>
        <w:t>Pakistan, neue Methodik zur Erfassung von Hesitancy auch in Hochrisiko-Settings nutzbar</w:t>
      </w:r>
    </w:p>
    <w:p>
      <w:r>
        <w:rPr>
          <w:color w:val="5A7D3A"/>
          <w:sz w:val="18"/>
        </w:rPr>
        <w:t>https://pubmed.ncbi.nlm.nih.gov/42809170/</w:t>
      </w:r>
    </w:p>
    <w:p>
      <w:pPr>
        <w:pStyle w:val="Heading1"/>
      </w:pPr>
      <w:r>
        <w:t>Aufgenommen am 01.10.2026</w:t>
      </w:r>
    </w:p>
    <w:p>
      <w:pPr>
        <w:pStyle w:val="Heading2"/>
      </w:pPr>
      <w:r>
        <w:t>Impfprogramme in Konfliktzonen: intrinsischer, instrumentaler und symbolischer Wert</w:t>
      </w:r>
    </w:p>
    <w:p>
      <w:r>
        <w:rPr>
          <w:i/>
          <w:color w:val="666666"/>
          <w:sz w:val="18"/>
        </w:rPr>
        <w:t>Sabahelzain MM et al.  ·  Hum Vaccin Immunother  ·  30.09.2026  ·  PMID 42814974</w:t>
      </w:r>
    </w:p>
    <w:p>
      <w:r>
        <w:t>Qualitative Analyse, welche die Werte von Impfprogrammen in humanitären Krisen aus ethischer Perspektive untersucht und plädiert für deren Verstetigung als Frage der Gerechtigkeit.</w:t>
      </w:r>
    </w:p>
    <w:p>
      <w:r>
        <w:rPr>
          <w:b/>
        </w:rPr>
        <w:t xml:space="preserve">Ergebnis: </w:t>
      </w:r>
      <w:r>
        <w:t>Die Autoren argumentieren, dass Impfungen in Konfliktzonen über die Notfallreaktion hinaus als intrinsisch wertvoll (Menschenrecht auf Gesundheit), instrumentell wertvoll (Krankheitsvorbeugung) und symbolisch wertvoll (Vertrauenszeichen des Staates) anzusehen sind. Diese dreifache Wertigkeit rechtfertigt die Priorisierung ihrer Verstetigung zur Stärkung der Gesundheitssystemresilienz.</w:t>
      </w:r>
    </w:p>
    <w:p>
      <w:r>
        <w:rPr>
          <w:b/>
          <w:sz w:val="19"/>
        </w:rPr>
        <w:t xml:space="preserve">Übertragbarkeit: </w:t>
      </w:r>
      <w:r>
        <w:rPr>
          <w:sz w:val="19"/>
        </w:rPr>
        <w:t>Qualitatives Konzeptpapier; Übertragbarkeit hängt von nationalen Impfkalender und Sicherheitslage ab.</w:t>
      </w:r>
    </w:p>
    <w:p>
      <w:r>
        <w:rPr>
          <w:color w:val="5A7D3A"/>
          <w:sz w:val="18"/>
        </w:rPr>
        <w:t>https://pubmed.ncbi.nlm.nih.gov/42814974/</w:t>
      </w:r>
    </w:p>
    <w:p>
      <w:pPr>
        <w:pStyle w:val="Heading2"/>
      </w:pPr>
      <w:r>
        <w:t>Tollwutpostexpositionsprophylaxe im Iran: Registerdaten und Adhärenz</w:t>
      </w:r>
    </w:p>
    <w:p>
      <w:r>
        <w:rPr>
          <w:i/>
          <w:color w:val="666666"/>
          <w:sz w:val="18"/>
        </w:rPr>
        <w:t>Babaee E et al.  ·  PLoS Negl Trop Dis  ·  30.09.2026  ·  PMID 42814726</w:t>
      </w:r>
    </w:p>
    <w:p>
      <w:r>
        <w:t>Sekundäranalyse von 507.404 Tierbissvorfällen aus dem iranischen Tollwut-Impfregister (März 2022 – September 2023) zur Dokumentation der Adhärenz zu Impf- und Immunglobulin-Richtlinien.</w:t>
      </w:r>
    </w:p>
    <w:p>
      <w:r>
        <w:rPr>
          <w:b/>
        </w:rPr>
        <w:t xml:space="preserve">Ergebnis: </w:t>
      </w:r>
      <w:r>
        <w:t>73,6% Männer; häufigste Altersgruppe 31–40 Jahre (19,8%). Hunde verursachten 76,2%, Katzen 20,8% der Expositionen. Höchste Inzidenz in Nordprovinzen (North Khorasan 773/100.000, Golestan 767/100.000 Einwohner). Wundreinigung dokumentiert bei 94,3%; erste Impfdosis innerhalb 48 h bei 96,4%. Gesamte Impfserie: 68,1% erhielten drei Dosen, 24,2% vier. Immunglobulin wurde bei 95,6% der Kategorie-III-Expositionen gegeben, aber auch unangemessen bei Kategorie I (6,1%) und II (4,7%). Bei Fledermauskontakt nur 36,8% als Kategorie III klassifiziert und 38,7% mit Immunglobulin versorgt.</w:t>
      </w:r>
    </w:p>
    <w:p>
      <w:r>
        <w:rPr>
          <w:b/>
          <w:sz w:val="19"/>
        </w:rPr>
        <w:t xml:space="preserve">Übertragbarkeit: </w:t>
      </w:r>
      <w:r>
        <w:rPr>
          <w:sz w:val="19"/>
        </w:rPr>
        <w:t>Iran, Registerdaten; mittlere Übertragbarkeit auf Deutschland (unterschiedliche epidemiologische Lage).</w:t>
      </w:r>
    </w:p>
    <w:p>
      <w:r>
        <w:rPr>
          <w:color w:val="5A7D3A"/>
          <w:sz w:val="18"/>
        </w:rPr>
        <w:t>https://pubmed.ncbi.nlm.nih.gov/42814726/</w:t>
      </w:r>
    </w:p>
    <w:p>
      <w:pPr>
        <w:pStyle w:val="Heading2"/>
      </w:pPr>
      <w:r>
        <w:t>Auditive Nebenwirkungen und COVID-19-Impfung: Signalbewertung im US-VAERS</w:t>
      </w:r>
    </w:p>
    <w:p>
      <w:r>
        <w:rPr>
          <w:i/>
          <w:color w:val="666666"/>
          <w:sz w:val="18"/>
        </w:rPr>
        <w:t>Wu J et al.  ·  Front Public Health  ·  15.09.2026  ·  PMID 42812531</w:t>
      </w:r>
    </w:p>
    <w:p>
      <w:r>
        <w:t>Unterbrochene Zeitreihenanalyse von US-VAERS-Daten (2018–2025) zur Frage, ob Meldungen auditorischer Nebenwirkungen nach COVID-19-Impf-Zulassung zunahmen und ob dies einen echten Sicherheitssignal oder Meldeverzerrung widerspiegelt.</w:t>
      </w:r>
    </w:p>
    <w:p>
      <w:r>
        <w:rPr>
          <w:b/>
        </w:rPr>
        <w:t xml:space="preserve">Ergebnis: </w:t>
      </w:r>
      <w:r>
        <w:t>Von 1.347.820 Berichten betrafen 27.750 auditorische Nebenwirkungen. Nach der COVID-19-Zulassung stiegen Meldungsraten an (β=2.317,4, 95%-KI 1.079,1–3.555,6; p&lt;0,001). Quasi-Poisson-Modelle zeigten IRR von 5,62–7,36 (p≤0,015). Effekt war heterogen nach Alter: stark bei 18–64 Jahren (p=0,010) und ≥65 Jahren (p=0,0004), nicht signifikant &lt;18 Jahren (p=0,67). Dermatologie-Sentinel (Kontrolle) zeigte keine Änderung (IRR 1,09, p=0,83). Auditorische Nebenwirkungen waren in COVID-19-Berichten häufiger (2,42%) als Influenza (0,88%) oder andere Impfstoffe (0,84%).</w:t>
      </w:r>
    </w:p>
    <w:p>
      <w:r>
        <w:rPr>
          <w:b/>
          <w:sz w:val="19"/>
        </w:rPr>
        <w:t xml:space="preserve">Übertragbarkeit: </w:t>
      </w:r>
      <w:r>
        <w:rPr>
          <w:sz w:val="19"/>
        </w:rPr>
        <w:t>US-Passive-Surveillance-Daten; Übertragbarkeit auf Deutschland eingeschränkt (anderes Meldesystem).</w:t>
      </w:r>
    </w:p>
    <w:p>
      <w:r>
        <w:rPr>
          <w:color w:val="5A7D3A"/>
          <w:sz w:val="18"/>
        </w:rPr>
        <w:t>https://pubmed.ncbi.nlm.nih.gov/42812531/</w:t>
      </w:r>
    </w:p>
    <w:p>
      <w:pPr>
        <w:pStyle w:val="Heading2"/>
      </w:pPr>
      <w:r>
        <w:t>Reaktogenität mRNA- vs. proteinbasierter COVID-19-Impfstoffe 2023–2024: BEEHIVE-Studie</w:t>
      </w:r>
    </w:p>
    <w:p>
      <w:r>
        <w:rPr>
          <w:i/>
          <w:color w:val="666666"/>
          <w:sz w:val="18"/>
        </w:rPr>
        <w:t>Yoon SK et al.  ·  Hum Vaccin Immunother  ·  29.09.2026  ·  PMID 42811742</w:t>
      </w:r>
    </w:p>
    <w:p>
      <w:r>
        <w:t>Doppelblinde randomisierte Studie (NCT06065176) vergleicht Reaktogenität von Novavax (Protein) mit Pfizer-BioNTech (mRNA) XBB.1.5-Impfstoff bei Personen mit ≥2 vorherigen mRNA-Dosen.</w:t>
      </w:r>
    </w:p>
    <w:p>
      <w:r>
        <w:rPr>
          <w:b/>
        </w:rPr>
        <w:t xml:space="preserve">Ergebnis: </w:t>
      </w:r>
      <w:r>
        <w:t>Novavax (n=448) vs. Pfizer (n=453): Am Tag 1 berichteten signifikant weniger Novavax-Empfänger systemische Reaktogenität (62,1% vs. 75,7%; Risikodifferenz −13,7%, 95%-KI −19,6% bis −7,7%, p&lt;0,0001) und lokale Reaktionen (81,0% vs. 92,7%; Risikodifferenz −11,7%, 95%-KI −16,0% bis −7,3%, p&lt;0,0001). Mittlere Ereigniszahl pro Person am Tag 1 und 2 signifikant niedriger für Novavax (je p&lt;0,0001). Die meisten Ereignisse waren mild. Am Tag 6 hatten &gt;80% bzw. &gt;94% keine systemischen oder lokalen Reaktionen.</w:t>
      </w:r>
    </w:p>
    <w:p>
      <w:r>
        <w:rPr>
          <w:b/>
          <w:sz w:val="19"/>
        </w:rPr>
        <w:t xml:space="preserve">Übertragbarkeit: </w:t>
      </w:r>
      <w:r>
        <w:rPr>
          <w:sz w:val="19"/>
        </w:rPr>
        <w:t>USA-Studie, aber primär Sicherheitsfrage – übertragbar auf Deutsche Zulassungsbewertung.</w:t>
      </w:r>
    </w:p>
    <w:p>
      <w:r>
        <w:rPr>
          <w:color w:val="5A7D3A"/>
          <w:sz w:val="18"/>
        </w:rPr>
        <w:t>https://pubmed.ncbi.nlm.nih.gov/42811742/</w:t>
      </w:r>
    </w:p>
    <w:p>
      <w:pPr>
        <w:pStyle w:val="Heading2"/>
      </w:pPr>
      <w:r>
        <w:t>Hybridimmunität gegen SARS-CoV-2: Langzeitdynamik bei Angehörigen der Gesundheitsberufe</w:t>
      </w:r>
    </w:p>
    <w:p>
      <w:r>
        <w:rPr>
          <w:i/>
          <w:color w:val="666666"/>
          <w:sz w:val="18"/>
        </w:rPr>
        <w:t>Tekinsoy M et al.  ·  Viruses  ·  19.09.2026  ·  PMID 42797871</w:t>
      </w:r>
    </w:p>
    <w:p>
      <w:r>
        <w:t>Vierjährige Kohortenstudie (2020–Juni 2024) von Gesundheitsarbeitern, die zwischen Hybrid- (Infektion + Impfung) und reiner Impfimmunität unterscheidet und Antikörperhaltbarkeit bewertet.</w:t>
      </w:r>
    </w:p>
    <w:p>
      <w:r>
        <w:rPr>
          <w:b/>
        </w:rPr>
        <w:t xml:space="preserve">Ergebnis: </w:t>
      </w:r>
      <w:r>
        <w:t>142 Personen mit Längsdaten (1180 Tage Nachverfolgung): 66,2% erlebten mindestens eine Durchbruchinfektion, 14,1% zwei. Anti-N-Antikörper sanken nach Infektion 2,3-fach zwischen Monat 3 und 6; Seropositiv-Rate fiel von 82% auf 40,4% (Median bis Seronegatitivät: 179 Tage). Hybridimmunität mit zwei Dosen hatte Anti-S-IgG und sVNT-Titer vergleichbar mit drei reinen Impfungen. Dritte Dosis verstärkte Anti-S-Persistenz signifikant nach 9 Monaten.</w:t>
      </w:r>
    </w:p>
    <w:p>
      <w:r>
        <w:rPr>
          <w:b/>
          <w:sz w:val="19"/>
        </w:rPr>
        <w:t xml:space="preserve">Übertragbarkeit: </w:t>
      </w:r>
      <w:r>
        <w:rPr>
          <w:sz w:val="19"/>
        </w:rPr>
        <w:t>Deutschland, vergleichbare Gesundheitssettings, aber COVID-Spezifik.</w:t>
      </w:r>
    </w:p>
    <w:p>
      <w:r>
        <w:rPr>
          <w:color w:val="5A7D3A"/>
          <w:sz w:val="18"/>
        </w:rPr>
        <w:t>https://pubmed.ncbi.nlm.nih.gov/42797871/</w:t>
      </w:r>
    </w:p>
    <w:p>
      <w:pPr>
        <w:pStyle w:val="Heading2"/>
      </w:pPr>
      <w:r>
        <w:t>Pneumokokkenimpfstoffe (PCV15/PCV20) gegen PCV13 im UK-Impfplan: Studienprotokoll</w:t>
      </w:r>
    </w:p>
    <w:p>
      <w:r>
        <w:rPr>
          <w:i/>
          <w:color w:val="666666"/>
          <w:sz w:val="18"/>
        </w:rPr>
        <w:t>Aslam R et al.  ·  BMJ Open  ·  22.09.2026  ·  PMID 42772879</w:t>
      </w:r>
    </w:p>
    <w:p>
      <w:r>
        <w:t>Randomisierte Studie zur Nicht-Unterlegenheit von PCV15 und PCV20 gegenüber PCV13 bei 600 Säuglingen im britischen 1+1- und 2+1-Impfschema.</w:t>
      </w:r>
    </w:p>
    <w:p>
      <w:r>
        <w:rPr>
          <w:b/>
        </w:rPr>
        <w:t xml:space="preserve">Ergebnis: </w:t>
      </w:r>
      <w:r>
        <w:t>Studienprotokoll ohne Ergebnisse; primärer Endpunkt ist Nicht-Unterlegenheit der PCV13-Serotpyen-spezifischen Antikörperresponses nach PCV15/PCV20 vs. PCV13. Sekundär werden Trägerschaft und Schleimhaut-IgG gemessen. Rekrutierung abgeschlossen (600 Patienten randomisiert).</w:t>
      </w:r>
    </w:p>
    <w:p>
      <w:r>
        <w:rPr>
          <w:b/>
          <w:sz w:val="19"/>
        </w:rPr>
        <w:t xml:space="preserve">Übertragbarkeit: </w:t>
      </w:r>
      <w:r>
        <w:rPr>
          <w:sz w:val="19"/>
        </w:rPr>
        <w:t>UK-Impfplan, europäisches Gesundheitssystem, vergleichbare Versorgungsstruktur.</w:t>
      </w:r>
    </w:p>
    <w:p>
      <w:r>
        <w:rPr>
          <w:color w:val="5A7D3A"/>
          <w:sz w:val="18"/>
        </w:rPr>
        <w:t>https://pubmed.ncbi.nlm.nih.gov/42772879/</w:t>
      </w:r>
    </w:p>
    <w:p>
      <w:pPr>
        <w:pStyle w:val="Heading2"/>
      </w:pPr>
      <w:r>
        <w:t>Adipositas schwächt Antikörperantwort nach Grippeimpfung: deutsche Explorationsstudie</w:t>
      </w:r>
    </w:p>
    <w:p>
      <w:r>
        <w:rPr>
          <w:i/>
          <w:color w:val="666666"/>
          <w:sz w:val="18"/>
        </w:rPr>
        <w:t>Böll S et al.  ·  BMC Immunol  ·  10.09.2026  ·  PMID 42760530</w:t>
      </w:r>
    </w:p>
    <w:p>
      <w:r>
        <w:t>Deutsche Kohortenstudie untersucht, ob Adipositas die humorale und zelluläre Immunantwort nach Influenzaimpfung beeinträchtigt.</w:t>
      </w:r>
    </w:p>
    <w:p>
      <w:r>
        <w:rPr>
          <w:b/>
        </w:rPr>
        <w:t xml:space="preserve">Ergebnis: </w:t>
      </w:r>
      <w:r>
        <w:t>Kleine Stichprobe (n=25: 18 normalgewichtig, 7 adipös) über 9 Monate. Nach Impfung stiegen Antikörpertiter in beiden Gruppen an und blieben erhöht. Bei normalgewichtigen Personen unterschieden sich alle vier Antikörper signifikant über die Besuche; bei adipösen Personen nur zwei. Adipöse zeigten abnehmende Treg-Anteile (nicht signifikant) und keine klaren Gruppenunterschiede in T-Zell-Zahl. Autoren betonen, dass die Stichprobengröße explorativ ist; größere Studien sind notwendig.</w:t>
      </w:r>
    </w:p>
    <w:p>
      <w:r>
        <w:rPr>
          <w:b/>
          <w:sz w:val="19"/>
        </w:rPr>
        <w:t xml:space="preserve">Übertragbarkeit: </w:t>
      </w:r>
      <w:r>
        <w:rPr>
          <w:sz w:val="19"/>
        </w:rPr>
        <w:t>Deutsche Klinikdaten, aber kleine Stichprobe – Ergebnisse sind vorläufig.</w:t>
      </w:r>
    </w:p>
    <w:p>
      <w:r>
        <w:rPr>
          <w:color w:val="5A7D3A"/>
          <w:sz w:val="18"/>
        </w:rPr>
        <w:t>https://pubmed.ncbi.nlm.nih.gov/42760530/</w:t>
      </w:r>
    </w:p>
    <w:p>
      <w:pPr>
        <w:pStyle w:val="Heading1"/>
      </w:pPr>
      <w:r>
        <w:t>Aufgenommen am 30.09.2026</w:t>
      </w:r>
    </w:p>
    <w:p>
      <w:pPr>
        <w:pStyle w:val="Heading2"/>
      </w:pPr>
      <w:r>
        <w:t>Psychologische Treiber der Impfskepsis gegen HPV in Polen prägen Kampagnen</w:t>
      </w:r>
    </w:p>
    <w:p>
      <w:r>
        <w:rPr>
          <w:i/>
          <w:color w:val="666666"/>
          <w:sz w:val="18"/>
        </w:rPr>
        <w:t>Siebielec J et al.  ·  Front Public Health  ·  14.09.2026  ·  PMID 42807115</w:t>
      </w:r>
    </w:p>
    <w:p>
      <w:r>
        <w:t>Qualitative Analyse von 4.440 Facebook-Einträgen zum HPV-Impfen zwischen Oktober 2020 und Oktober 2023 unter polnischen Sprechern mit Kodierung nach dem 5C-Modell (Confidence, Complacency, Constraints, Calculation, Collective responsibility).</w:t>
      </w:r>
    </w:p>
    <w:p>
      <w:r>
        <w:rPr>
          <w:b/>
        </w:rPr>
        <w:t xml:space="preserve">Ergebnis: </w:t>
      </w:r>
      <w:r>
        <w:t>51 % aller Einträge erschienen 2023 (Programmstart). 42 % ließen sich Kategorien zuordnen; Calculation (60 %) und Confidence (47 %) am häufigsten, in 13 % beide. Psychologische Faktoren: extensive Informationssuche, Verschwörungstheorie-Anfälligkeit, Vertrauensfragen zu Impfstoff und Behörden. Facebook-Kampagnen sollten diverse psychologische Profile ansprechen und zuverlässige Information verständlich darstellen.</w:t>
      </w:r>
    </w:p>
    <w:p>
      <w:r>
        <w:rPr>
          <w:b/>
          <w:sz w:val="19"/>
        </w:rPr>
        <w:t xml:space="preserve">Übertragbarkeit: </w:t>
      </w:r>
      <w:r>
        <w:rPr>
          <w:sz w:val="19"/>
        </w:rPr>
        <w:t>Qualitative Erkenntnis aus Europa (Polen), übertragbar für deutschsprachige Impf­kommunikation.</w:t>
      </w:r>
    </w:p>
    <w:p>
      <w:r>
        <w:rPr>
          <w:color w:val="5A7D3A"/>
          <w:sz w:val="18"/>
        </w:rPr>
        <w:t>https://pubmed.ncbi.nlm.nih.gov/42807115/</w:t>
      </w:r>
    </w:p>
    <w:p>
      <w:pPr>
        <w:pStyle w:val="Heading2"/>
      </w:pPr>
      <w:r>
        <w:t>BCG-Impfung senkt Tuberkulose-Risiko bei bangladeschischen Kindern um 57 %</w:t>
      </w:r>
    </w:p>
    <w:p>
      <w:r>
        <w:rPr>
          <w:i/>
          <w:color w:val="666666"/>
          <w:sz w:val="18"/>
        </w:rPr>
        <w:t>Rahman T et al.  ·  BMC Infect Dis  ·  27.07.2026  ·  PMID 42806320</w:t>
      </w:r>
    </w:p>
    <w:p>
      <w:r>
        <w:t>Gemeindebasierte Fall-Kontroll-Studie bei 207 TB-Fällen und 207 Kontrollen (2–14 Jahre) in Moulavibazar, Bangladesch, Januar–April 2023 mit multivariater logistischer Regression.</w:t>
      </w:r>
    </w:p>
    <w:p>
      <w:r>
        <w:rPr>
          <w:b/>
        </w:rPr>
        <w:t xml:space="preserve">Ergebnis: </w:t>
      </w:r>
      <w:r>
        <w:t>BCG-Impfung: aOR 0,43 (95%-KI 0,20–0,93), Schutz 57 %. Zusätzliche Risikofaktoren: Adoleszenz (11–14 vs. 2–5 Jahre: aOR 2,53), männliches Geschlecht (aOR 1,79), TB in Familie &lt;6 Monate (aOR 1,92). Random-Forest-Modell: Accuracy 71,6 %, AUC 0,74. Impfung bleibt zentral für Kindertuberkulose-Kontrolle.</w:t>
      </w:r>
    </w:p>
    <w:p>
      <w:r>
        <w:rPr>
          <w:b/>
          <w:sz w:val="19"/>
        </w:rPr>
        <w:t xml:space="preserve">Übertragbarkeit: </w:t>
      </w:r>
      <w:r>
        <w:rPr>
          <w:sz w:val="19"/>
        </w:rPr>
        <w:t>Südasien mit epidemiologischen Daten, aber hohe Transmissionslage dort anders als Deutschland.</w:t>
      </w:r>
    </w:p>
    <w:p>
      <w:r>
        <w:rPr>
          <w:color w:val="5A7D3A"/>
          <w:sz w:val="18"/>
        </w:rPr>
        <w:t>https://pubmed.ncbi.nlm.nih.gov/42806320/</w:t>
      </w:r>
    </w:p>
    <w:p>
      <w:pPr>
        <w:pStyle w:val="Heading2"/>
      </w:pPr>
      <w:r>
        <w:t>Masernherd-Schwelle in Florida durch Impfquoten unterschritten – Risiko rapider Ausbrüche</w:t>
      </w:r>
    </w:p>
    <w:p>
      <w:r>
        <w:rPr>
          <w:i/>
          <w:color w:val="666666"/>
          <w:sz w:val="18"/>
        </w:rPr>
        <w:t>Oveson A et al.  ·  Proc Natl Acad Sci U S A  ·  06.10.2026  ·  PMID 42804627</w:t>
      </w:r>
    </w:p>
    <w:p>
      <w:r>
        <w:t>Altersstrukturiertes Masern-Transmissionsmodell für Florida kalibriert mit Daten des Gaines-County-Ausbruchs 2025, untersucht Effekt von Aufhebung schulischer Impfpflicht.</w:t>
      </w:r>
    </w:p>
    <w:p>
      <w:r>
        <w:rPr>
          <w:b/>
        </w:rPr>
        <w:t xml:space="preserve">Ergebnis: </w:t>
      </w:r>
      <w:r>
        <w:t>Aktuelle Masern-Mumps-Röteln-Quote in Florida unterschreitet bereits die Herdenimmunitätsschwelle. Modellierte Quoten­rückgänge nach Aufhebung der Schulanforderung projizieren Ausbruchsgrößen wie vor Impfära, mit signifikanter Kindersterblichkeit in fünf Jahren. Sensitivitätsanalyse: kleine Quoten­rückgänge führen zu disproportional großen Ausbruchszunahmen, besonders bei starker Mischung unter Kindern.</w:t>
      </w:r>
    </w:p>
    <w:p>
      <w:r>
        <w:rPr>
          <w:b/>
          <w:sz w:val="19"/>
        </w:rPr>
        <w:t xml:space="preserve">Übertragbarkeit: </w:t>
      </w:r>
      <w:r>
        <w:rPr>
          <w:sz w:val="19"/>
        </w:rPr>
        <w:t>USA, epidemiologisches Modell – Mechanismus übertragbar auf deutsche Risiko­szenarios.</w:t>
      </w:r>
    </w:p>
    <w:p>
      <w:r>
        <w:rPr>
          <w:color w:val="5A7D3A"/>
          <w:sz w:val="18"/>
        </w:rPr>
        <w:t>https://pubmed.ncbi.nlm.nih.gov/42804627/</w:t>
      </w:r>
    </w:p>
    <w:p>
      <w:pPr>
        <w:pStyle w:val="Heading2"/>
      </w:pPr>
      <w:r>
        <w:t>RSV-Hospitalisierungen bei Kindern sinken nach gezieltem Nirsevimab-Einsatz</w:t>
      </w:r>
    </w:p>
    <w:p>
      <w:r>
        <w:rPr>
          <w:i/>
          <w:color w:val="666666"/>
          <w:sz w:val="18"/>
        </w:rPr>
        <w:t>Attaianese F et al.  ·  Int J Infect Dis  ·  27.08.2026  ·  PMID 42660409</w:t>
      </w:r>
    </w:p>
    <w:p>
      <w:r>
        <w:t>Italienische Studie zu RSV-Infektionen bei Kindern &lt;18 Jahren über sechs Saisons mit Analyse der Auswirkung regionaler Nirsevimab-Impfstrategien zwischen Januar 2019 und März 2025.</w:t>
      </w:r>
    </w:p>
    <w:p>
      <w:r>
        <w:rPr>
          <w:b/>
        </w:rPr>
        <w:t xml:space="preserve">Ergebnis: </w:t>
      </w:r>
      <w:r>
        <w:t>In der Saison 2024–2025 sanken RSV-Hospitalisierungen um insgesamt 43,6 %. Mit breiten Zugangs­kriterien und frühem Einsatz (Gruppe B) betrug das Reduktionsverhältnis 0,28 (95%-KI 0,22–0,36), mit einzelnem Zentrum (Gruppe F) 0,24. Beschränktere Strategien (Gruppen C–E) zeigten moderatere Rückgänge (Quoten 0,58–0,70). Die Studie bestätigt zeitliche Assoziation zwischen Rollout und verringerter Hospitalisierung.</w:t>
      </w:r>
    </w:p>
    <w:p>
      <w:r>
        <w:rPr>
          <w:b/>
          <w:sz w:val="19"/>
        </w:rPr>
        <w:t xml:space="preserve">Übertragbarkeit: </w:t>
      </w:r>
      <w:r>
        <w:rPr>
          <w:sz w:val="19"/>
        </w:rPr>
        <w:t>Italien mit vergleichbaren Krankenhausdaten und Meldesystemen.</w:t>
      </w:r>
    </w:p>
    <w:p>
      <w:r>
        <w:rPr>
          <w:color w:val="5A7D3A"/>
          <w:sz w:val="18"/>
        </w:rPr>
        <w:t>https://pubmed.ncbi.nlm.nih.gov/42660409/</w:t>
      </w:r>
    </w:p>
    <w:p>
      <w:pPr>
        <w:pStyle w:val="Heading2"/>
      </w:pPr>
      <w:r>
        <w:t>Nirsevimab und RSV-Mutterimpfung schützen Säuglinge hocheffektiv</w:t>
      </w:r>
    </w:p>
    <w:p>
      <w:r>
        <w:rPr>
          <w:i/>
          <w:color w:val="666666"/>
          <w:sz w:val="18"/>
        </w:rPr>
        <w:t>Treston B et al.  ·  Int J Infect Dis  ·  06.08.2026  ·  PMID 42562126</w:t>
      </w:r>
    </w:p>
    <w:p>
      <w:r>
        <w:t>Test-negativ Fall-Kontroll-Studie über zwei RSV-Schutzstrategien auf der irischen Insel in der Saison 2024/25 bei Säuglingen &lt;6 Monaten mit akuter Atemwegserkrankung.</w:t>
      </w:r>
    </w:p>
    <w:p>
      <w:r>
        <w:rPr>
          <w:b/>
        </w:rPr>
        <w:t xml:space="preserve">Ergebnis: </w:t>
      </w:r>
      <w:r>
        <w:t>Nirsevimab-Effektivität gegen Hospitalisierung 90,7 % (95%-KI 80,7–95,8) in der Republik Irland bei 83 % Abdeckung; RSVpreF-Effektivität 83,9 % (95%-KI 41,5–96,6) in Nordirland bei 30 % Abdeckung. Notfall­ambulanz-Bronchiolitis-Besuche sanken um 52 % (ROI) und 37 % (NI). Unterschiedliche Abdeckung führte zu unterschiedlichem Bevölkerungseffekt.</w:t>
      </w:r>
    </w:p>
    <w:p>
      <w:r>
        <w:rPr>
          <w:b/>
          <w:sz w:val="19"/>
        </w:rPr>
        <w:t xml:space="preserve">Übertragbarkeit: </w:t>
      </w:r>
      <w:r>
        <w:rPr>
          <w:sz w:val="19"/>
        </w:rPr>
        <w:t>UK-System mit Notfalldaten, aber Strategie-Unterschiede zeigen Implementierungs­priorität.</w:t>
      </w:r>
    </w:p>
    <w:p>
      <w:r>
        <w:rPr>
          <w:color w:val="5A7D3A"/>
          <w:sz w:val="18"/>
        </w:rPr>
        <w:t>https://pubmed.ncbi.nlm.nih.gov/42562126/</w:t>
      </w:r>
    </w:p>
    <w:p>
      <w:pPr>
        <w:pStyle w:val="Heading2"/>
      </w:pPr>
      <w:r>
        <w:t>Keine erhöhte Notfall-Hospitalisierungsrate durch Impfung bei immunologischen Erkrankungen</w:t>
      </w:r>
    </w:p>
    <w:p>
      <w:r>
        <w:rPr>
          <w:i/>
          <w:color w:val="666666"/>
          <w:sz w:val="18"/>
        </w:rPr>
        <w:t>Meiszl K et al.  ·  Int J Infect Dis  ·  25.07.2026  ·  PMID 42501818</w:t>
      </w:r>
    </w:p>
    <w:p>
      <w:r>
        <w:t>Deutsche Register-Kohortenstudie mit sechs Kausalziel-Emulatoren zu Pneumokokken- und Influenza-Impfung bei 432.768 Patienten mit Multipler Sklerose, entzündlich-rheumatischen oder Darmerkrankungen zwischen 2013 und 2019.</w:t>
      </w:r>
    </w:p>
    <w:p>
      <w:r>
        <w:rPr>
          <w:b/>
        </w:rPr>
        <w:t xml:space="preserve">Ergebnis: </w:t>
      </w:r>
      <w:r>
        <w:t>Pneumokokken: HR 0,91 (MS), 0,60 (rheumatisch), 0,89 (IBD). Influenza: HR 0,94 (MS), 0,79 (rheumatisch), 0,83 (IBD) – keine erhöhte Verschlechterung, teilweise Risikoreduktion. Modell-Kalibrierung adequate (Hosmer-Lemeshow-Test). Befund stützt Sicherheit der Immunisierung in diesen Populationen.</w:t>
      </w:r>
    </w:p>
    <w:p>
      <w:r>
        <w:rPr>
          <w:b/>
          <w:sz w:val="19"/>
        </w:rPr>
        <w:t xml:space="preserve">Übertragbarkeit: </w:t>
      </w:r>
      <w:r>
        <w:rPr>
          <w:sz w:val="19"/>
        </w:rPr>
        <w:t>Deutsche Kassenabrechnung (BARMER), direkter Bevölkerungsbezug.</w:t>
      </w:r>
    </w:p>
    <w:p>
      <w:r>
        <w:rPr>
          <w:color w:val="5A7D3A"/>
          <w:sz w:val="18"/>
        </w:rPr>
        <w:t>https://pubmed.ncbi.nlm.nih.gov/42501818/</w:t>
      </w:r>
    </w:p>
    <w:p>
      <w:pPr>
        <w:pStyle w:val="Heading1"/>
      </w:pPr>
      <w:r>
        <w:t>Aufgenommen am 29.09.2026</w:t>
      </w:r>
    </w:p>
    <w:p>
      <w:pPr>
        <w:pStyle w:val="Heading2"/>
      </w:pPr>
      <w:r>
        <w:t>Wirksamkeit der Herpes-zoster-Impfung bei entzündlichen Darmerkrankungen</w:t>
      </w:r>
    </w:p>
    <w:p>
      <w:r>
        <w:rPr>
          <w:i/>
          <w:color w:val="666666"/>
          <w:sz w:val="18"/>
        </w:rPr>
        <w:t>Humayun M et al.  ·  Hum Vaccin Immunother  ·  28.09.2026  ·  PMID 42804491</w:t>
      </w:r>
    </w:p>
    <w:p>
      <w:r>
        <w:t>Matched-cohort und selbstkontrollierte Fall-Serie bei 8.485 IBD-Patienten ≥18 Jahren in Kaiser-Permanente Southern California (2018–2024) zur Effektivität und Sicherheit der rekombinanten Zoster-Impfung (RZV).</w:t>
      </w:r>
    </w:p>
    <w:p>
      <w:r>
        <w:rPr>
          <w:b/>
        </w:rPr>
        <w:t xml:space="preserve">Ergebnis: </w:t>
      </w:r>
      <w:r>
        <w:t>VE gegen Herpes zoster nach 2 RZV-Dosen: 65,4% (95%-KI 40,6–79,9%); in Colitis-Patienten 62,7%, in Morbus-Crohn-Patienten 70,2%. IBD-Schübe im 30-Tage-Fenster nach Impfung (RR 0,80) nicht erhöht.</w:t>
      </w:r>
    </w:p>
    <w:p>
      <w:r>
        <w:rPr>
          <w:b/>
          <w:sz w:val="19"/>
        </w:rPr>
        <w:t xml:space="preserve">Übertragbarkeit: </w:t>
      </w:r>
      <w:r>
        <w:rPr>
          <w:sz w:val="19"/>
        </w:rPr>
        <w:t>USA-Krankenversicherungsdaten, ähnliche Ausgangslage, aber starke Fragmentation möglich – für deutsche Versorgung mit Krankenkassen-Daten parallel machbar</w:t>
      </w:r>
    </w:p>
    <w:p>
      <w:r>
        <w:rPr>
          <w:color w:val="5A7D3A"/>
          <w:sz w:val="18"/>
        </w:rPr>
        <w:t>https://pubmed.ncbi.nlm.nih.gov/42804491/</w:t>
      </w:r>
    </w:p>
    <w:p>
      <w:pPr>
        <w:pStyle w:val="Heading2"/>
      </w:pPr>
      <w:r>
        <w:t>Schutzwirkung Mumps-haltiger Impfstoffe bei Kindern unter 15 Jahren in China</w:t>
      </w:r>
    </w:p>
    <w:p>
      <w:r>
        <w:rPr>
          <w:i/>
          <w:color w:val="666666"/>
          <w:sz w:val="18"/>
        </w:rPr>
        <w:t>Liu H et al.  ·  PLoS One  ·  28.09.2026  ·  PMID 42804452</w:t>
      </w:r>
    </w:p>
    <w:p>
      <w:r>
        <w:t>Matched-case-control-Studie bei 1.405 klinisch oder laborbestätigten Mumps-Fällen und 2.810 Kontrollen (2021–2025) in Taizhou, China, zur Effektivität Mumps-haltiger Impfstoffe nach Schulalter und Impfintervallen.</w:t>
      </w:r>
    </w:p>
    <w:p>
      <w:r>
        <w:rPr>
          <w:b/>
        </w:rPr>
        <w:t xml:space="preserve">Ergebnis: </w:t>
      </w:r>
      <w:r>
        <w:t>Gesamtimpfeffektivität nach ≥1 Dosis: 75,7% (95%-KI 64,8–83,2%). VE stieg mit Alter: 3–5 Jahre 55,2%, 6–11 Jahre 86,7%, ≥12 Jahre 92,9%. Einfach-Dosis-Regime: VE 80,4%; Zwei-Dosis-Periode zeigt VE nicht signifikant (durch hohe Coverage und wenige Ungeimpfte verzerrt).</w:t>
      </w:r>
    </w:p>
    <w:p>
      <w:r>
        <w:rPr>
          <w:b/>
          <w:sz w:val="19"/>
        </w:rPr>
        <w:t xml:space="preserve">Übertragbarkeit: </w:t>
      </w:r>
      <w:r>
        <w:rPr>
          <w:sz w:val="19"/>
        </w:rPr>
        <w:t>China, aber Impfregister-Daten und standardisierte Falldef. übertragbar – Frage zur optimalen Dosierung international relevant</w:t>
      </w:r>
    </w:p>
    <w:p>
      <w:r>
        <w:rPr>
          <w:color w:val="5A7D3A"/>
          <w:sz w:val="18"/>
        </w:rPr>
        <w:t>https://pubmed.ncbi.nlm.nih.gov/42804452/</w:t>
      </w:r>
    </w:p>
    <w:p>
      <w:pPr>
        <w:pStyle w:val="Heading2"/>
      </w:pPr>
      <w:r>
        <w:t>Impfquoten bei HPV-Geimpften sinken bei niedriger Schulbildung und Einkommen der Eltern</w:t>
      </w:r>
    </w:p>
    <w:p>
      <w:r>
        <w:rPr>
          <w:i/>
          <w:color w:val="666666"/>
          <w:sz w:val="18"/>
        </w:rPr>
        <w:t>Appelqvist E et al.  ·  Vaccine  ·  24.10.2026  ·  PMID 42727401</w:t>
      </w:r>
    </w:p>
    <w:p>
      <w:r>
        <w:t>Schwedische Registerstudie mit 492.997 Mädchen (Jahrgänge 2002–2010) zu Faktoren der HPV-Impfquote im Schulprogramm und Catch-up-Impfungen bis Alter 19 Jahren.</w:t>
      </w:r>
    </w:p>
    <w:p>
      <w:r>
        <w:rPr>
          <w:b/>
        </w:rPr>
        <w:t xml:space="preserve">Ergebnis: </w:t>
      </w:r>
      <w:r>
        <w:t>Eltern mit niedrigem Bildungsabschluss (OR 1,3) oder niedrigem Einkommen (OR 1,9) hatten geringere Impfquoten; im Ausland geborene Mädchen oder mit im Ausland geborenen Eltern zeigten OR 1,7. Die meisten ungeimpften Mädchen erhielten später keine Catch-up-Impfung, unabhängig von Schuljahr.</w:t>
      </w:r>
    </w:p>
    <w:p>
      <w:r>
        <w:rPr>
          <w:b/>
          <w:sz w:val="19"/>
        </w:rPr>
        <w:t xml:space="preserve">Übertragbarkeit: </w:t>
      </w:r>
      <w:r>
        <w:rPr>
          <w:sz w:val="19"/>
        </w:rPr>
        <w:t>Schweden, Impfregister und Schulimpfprogramm, Hinweis auf Ungleichheitsachsen auch in deutschen Bundesländern ohne Register</w:t>
      </w:r>
    </w:p>
    <w:p>
      <w:r>
        <w:rPr>
          <w:color w:val="5A7D3A"/>
          <w:sz w:val="18"/>
        </w:rPr>
        <w:t>https://pubmed.ncbi.nlm.nih.gov/42727401/</w:t>
      </w:r>
    </w:p>
    <w:p>
      <w:pPr>
        <w:pStyle w:val="Heading2"/>
      </w:pPr>
      <w:r>
        <w:t>Wirksamkeit und Waning der vierten COVID-19-mRNA-Impfdosis gegen Hospitalisierung</w:t>
      </w:r>
    </w:p>
    <w:p>
      <w:r>
        <w:rPr>
          <w:i/>
          <w:color w:val="666666"/>
          <w:sz w:val="18"/>
        </w:rPr>
        <w:t>Li X et al.  ·  J Infect  ·  05.08.2026  ·  PMID 42556476</w:t>
      </w:r>
    </w:p>
    <w:p>
      <w:r>
        <w:t>Multizentrische Kohortenstudie aus UK, Niederlanden und Spanien (DARWIN EU) an 975.496 geimpften Personen ab 12 Jahren zur Effektivität der vierten Dosis gegen SARS-CoV-2-bedingte Hospitalisierung und Tod.</w:t>
      </w:r>
    </w:p>
    <w:p>
      <w:r>
        <w:rPr>
          <w:b/>
        </w:rPr>
        <w:t xml:space="preserve">Ergebnis: </w:t>
      </w:r>
      <w:r>
        <w:t>VE vierte vs. dritte Dosis gegen Tod 30% (95%-KI 9–46); gegen Hospitalisierung 26% (Spanien) bis 46% (Niederlande). Waning begann bei 4–8 Wochen. Periodische Auffrischungen wurden empfohlen.</w:t>
      </w:r>
    </w:p>
    <w:p>
      <w:r>
        <w:rPr>
          <w:b/>
          <w:sz w:val="19"/>
        </w:rPr>
        <w:t xml:space="preserve">Übertragbarkeit: </w:t>
      </w:r>
      <w:r>
        <w:rPr>
          <w:sz w:val="19"/>
        </w:rPr>
        <w:t>Niederlande, Spanien, UK mit kompletten elektronischen Gesundheitsaufzeichnungen, übertragbar auf deutsche Versorgung</w:t>
      </w:r>
    </w:p>
    <w:p>
      <w:r>
        <w:rPr>
          <w:color w:val="5A7D3A"/>
          <w:sz w:val="18"/>
        </w:rPr>
        <w:t>https://pubmed.ncbi.nlm.nih.gov/42556476/</w:t>
      </w:r>
    </w:p>
    <w:p>
      <w:pPr>
        <w:pStyle w:val="Heading2"/>
      </w:pPr>
      <w:r>
        <w:t>Influenza-Impfquote und Impfskepsis bei Patienten mit Lebererkrankung in Griechenland</w:t>
      </w:r>
    </w:p>
    <w:p>
      <w:r>
        <w:rPr>
          <w:i/>
          <w:color w:val="666666"/>
          <w:sz w:val="18"/>
        </w:rPr>
        <w:t>Dafnou P et al.  ·  Gastroenterol Nurs  ·  21.07.2026  ·  PMID 42484114</w:t>
      </w:r>
    </w:p>
    <w:p>
      <w:r>
        <w:t>Querschnittstudie bei 152 Patienten mit Lebererkrankung in Griechenland (2025) zur Influenza-Impfquote, Einstellungen und Einflussfaktoren.</w:t>
      </w:r>
    </w:p>
    <w:p>
      <w:r>
        <w:rPr>
          <w:b/>
        </w:rPr>
        <w:t xml:space="preserve">Ergebnis: </w:t>
      </w:r>
      <w:r>
        <w:t>58,6% erhielten Influenza-Impfung. Prädiktoren der Impfung: höheres Alter (OR 1,07), vorangegangene Pneumokokken-Impfung (OR 17,98), COVID-19-Impfung (OR 5,77). Etwa die Hälfte ließen sich jährlich impfen. Kliniker als vertrauenswürdige Informanten könnten Quote heben.</w:t>
      </w:r>
    </w:p>
    <w:p>
      <w:r>
        <w:rPr>
          <w:b/>
          <w:sz w:val="19"/>
        </w:rPr>
        <w:t xml:space="preserve">Übertragbarkeit: </w:t>
      </w:r>
      <w:r>
        <w:rPr>
          <w:sz w:val="19"/>
        </w:rPr>
        <w:t>Griechenland, ähnliche Gesundheitssysteme, Fokus auf vulnerable Gruppen und Beratung auch für Deutschland relevant</w:t>
      </w:r>
    </w:p>
    <w:p>
      <w:r>
        <w:rPr>
          <w:color w:val="5A7D3A"/>
          <w:sz w:val="18"/>
        </w:rPr>
        <w:t>https://pubmed.ncbi.nlm.nih.gov/42484114/</w:t>
      </w:r>
    </w:p>
    <w:p>
      <w:pPr>
        <w:pStyle w:val="Heading1"/>
      </w:pPr>
      <w:r>
        <w:t>Aufgenommen am 28.09.2026</w:t>
      </w:r>
    </w:p>
    <w:p>
      <w:pPr>
        <w:pStyle w:val="Heading2"/>
      </w:pPr>
      <w:r>
        <w:t>MMR-Impfung und idiopathische thrombozytopenische Purpura: Risiko nach erster und zweiter Dosis bei englischen Kindern</w:t>
      </w:r>
    </w:p>
    <w:p>
      <w:r>
        <w:rPr>
          <w:i/>
          <w:color w:val="666666"/>
          <w:sz w:val="18"/>
        </w:rPr>
        <w:t>Andrews N et al.  ·  Vaccine  ·  24.10.2026  ·  PMID 42771940</w:t>
      </w:r>
    </w:p>
    <w:p>
      <w:r>
        <w:t>Retrospektive Kohortenstudie anhand von verknüpften Krankenhausdaten zu Blutungskomplikationen nach MMR-Impfung bei 3,9 Millionen Kindern in England 2000-2019.</w:t>
      </w:r>
    </w:p>
    <w:p>
      <w:r>
        <w:rPr>
          <w:b/>
        </w:rPr>
        <w:t xml:space="preserve">Ergebnis: </w:t>
      </w:r>
      <w:r>
        <w:t>Nach erster MMR-Dosis erhöhtes ITP-Risiko (relatives Risiko 2,38; 95%-KI 2,12–2,67), entsprechend 1 Fall pro 42.900 Dosen. Nach zweiter Dosis kein erhöhtes Risiko (RR 0,96; 95%-KI 0,81–1,13). Kinder mit ITP nach Dosis 1 zeigten kein zusätzliches Risiko nach Dosis 2; eine Wiederimpfung ist sicher.</w:t>
      </w:r>
    </w:p>
    <w:p>
      <w:r>
        <w:rPr>
          <w:b/>
          <w:sz w:val="19"/>
        </w:rPr>
        <w:t xml:space="preserve">Übertragbarkeit: </w:t>
      </w:r>
      <w:r>
        <w:rPr>
          <w:sz w:val="19"/>
        </w:rPr>
        <w:t>Englische Klinikdaten, vergleichbare Dokumentationspflichten mit Deutschland.</w:t>
      </w:r>
    </w:p>
    <w:p>
      <w:r>
        <w:rPr>
          <w:color w:val="5A7D3A"/>
          <w:sz w:val="18"/>
        </w:rPr>
        <w:t>https://pubmed.ncbi.nlm.nih.gov/42771940/</w:t>
      </w:r>
    </w:p>
    <w:p>
      <w:pPr>
        <w:pStyle w:val="Heading2"/>
      </w:pPr>
      <w:r>
        <w:t>HPV-Impfquote und Ungleichheit in Süditalien: Sozioökonomische Faktoren und Organisationsbarrieren</w:t>
      </w:r>
    </w:p>
    <w:p>
      <w:r>
        <w:rPr>
          <w:i/>
          <w:color w:val="666666"/>
          <w:sz w:val="18"/>
        </w:rPr>
        <w:t>Mercogliano M et al.  ·  Vaccine  ·  24.10.2026  ·  PMID 42763966</w:t>
      </w:r>
    </w:p>
    <w:p>
      <w:r>
        <w:t>Bevölkerungsbasierte Längsschnittanalyse mit Impfregister-Daten aus Kampanien 2006–2023 zu Einflussfaktoren auf HPV-Impfquoten bei Mädchen und Jungen.</w:t>
      </w:r>
    </w:p>
    <w:p>
      <w:r>
        <w:rPr>
          <w:b/>
        </w:rPr>
        <w:t xml:space="preserve">Ergebnis: </w:t>
      </w:r>
      <w:r>
        <w:t>Ein-Dosis-Quote Mädchen max. 68,5%, Jungen max. 41,1%. Vollständige Immunisierung Mädchen 62,2%, Jungen 29,9%. Sozioökonomische Deprivation senkte Impfquoten bei Jungen (Koeffizient −1,56 für Eine-Dosis-Quote), nicht aber bei routiner Impfung von Mädchen. Nachholimpfung stark von Deprivation betroffen. Impfdichtevariation über Bezirke hinweg unabhängig von Zentrenanzahl.</w:t>
      </w:r>
    </w:p>
    <w:p>
      <w:r>
        <w:rPr>
          <w:b/>
          <w:sz w:val="19"/>
        </w:rPr>
        <w:t xml:space="preserve">Übertragbarkeit: </w:t>
      </w:r>
      <w:r>
        <w:rPr>
          <w:sz w:val="19"/>
        </w:rPr>
        <w:t>Italien, vergleichbares Versicherungssystem und Impfprogramm mit Deutschland.</w:t>
      </w:r>
    </w:p>
    <w:p>
      <w:r>
        <w:rPr>
          <w:color w:val="5A7D3A"/>
          <w:sz w:val="18"/>
        </w:rPr>
        <w:t>https://pubmed.ncbi.nlm.nih.gov/42763966/</w:t>
      </w:r>
    </w:p>
    <w:p>
      <w:pPr>
        <w:pStyle w:val="Heading2"/>
      </w:pPr>
      <w:r>
        <w:t>Impfplan-Adhärenz in Deutschland: Komplexität im 1. Lebensjahr senkt Quote</w:t>
      </w:r>
    </w:p>
    <w:p>
      <w:r>
        <w:rPr>
          <w:i/>
          <w:color w:val="666666"/>
          <w:sz w:val="18"/>
        </w:rPr>
        <w:t>Arede M et al.  ·  Vaccine  ·  24.10.2026  ·  PMID 42759250</w:t>
      </w:r>
    </w:p>
    <w:p>
      <w:r>
        <w:t>Querschnitts- und Längsschnittanalyse aus KUNO-Kids-Studie (Bayern 2015–2020) zur Erreichung und zeitgerechten Durchführung des deutschen Impfkalenders bei 2.044 Kindern.</w:t>
      </w:r>
    </w:p>
    <w:p>
      <w:r>
        <w:rPr>
          <w:b/>
        </w:rPr>
        <w:t xml:space="preserve">Ergebnis: </w:t>
      </w:r>
      <w:r>
        <w:t>Bei 24 Monaten: Hexavalent-Impfquoten 71–76%, MMR 86–87%; keine Vakzine erreichte 90–95%-Ziel. Vollständige Kalender-Adhärenz bei 50–55% mit 2 Jahren, 59–76% mit 4 Jahren. Hexavalent-Quote bei 4 Jahren nur 84%, Nachholimpfung geringer als für MMR. Komplexe Mehrfach-Dosis-Schemata im 1. Lebensjahr assoziiert mit verzögerter Adhärenz.</w:t>
      </w:r>
    </w:p>
    <w:p>
      <w:r>
        <w:rPr>
          <w:b/>
          <w:sz w:val="19"/>
        </w:rPr>
        <w:t xml:space="preserve">Übertragbarkeit: </w:t>
      </w:r>
      <w:r>
        <w:rPr>
          <w:sz w:val="19"/>
        </w:rPr>
        <w:t>Deutsche Daten direkt, Versorgungsforschung im eigenen Gesundheitssystem.</w:t>
      </w:r>
    </w:p>
    <w:p>
      <w:r>
        <w:rPr>
          <w:color w:val="5A7D3A"/>
          <w:sz w:val="18"/>
        </w:rPr>
        <w:t>https://pubmed.ncbi.nlm.nih.gov/42759250/</w:t>
      </w:r>
    </w:p>
    <w:p>
      <w:pPr>
        <w:pStyle w:val="Heading2"/>
      </w:pPr>
      <w:r>
        <w:t>Grippe-Impfquoten senken Sterblichkeit älterer Europäer messbar</w:t>
      </w:r>
    </w:p>
    <w:p>
      <w:r>
        <w:rPr>
          <w:i/>
          <w:color w:val="666666"/>
          <w:sz w:val="18"/>
        </w:rPr>
        <w:t>Zhou B et al.  ·  Vaccine  ·  24.10.2026  ·  PMID 42759249</w:t>
      </w:r>
    </w:p>
    <w:p>
      <w:r>
        <w:t>Ökologische Panel-Analyse mit Surveys (SHARE) und GBD-Daten aus 21 EU/EEA-Ländern, Schweiz und Israel (2019/20 und 2021/22) zur Assoziation von Impfquoten mit Mortalität und Morbidität.</w:t>
      </w:r>
    </w:p>
    <w:p>
      <w:r>
        <w:rPr>
          <w:b/>
        </w:rPr>
        <w:t xml:space="preserve">Ergebnis: </w:t>
      </w:r>
      <w:r>
        <w:t>Mittlere Impfquote stieg von 34,5% auf 47,6%, blieb unter 75%-Ziel. Pro 1%-Punkt höhere Impfquote: 14,9 weniger Todesfälle/100.000 Ältere (95%-KI −22,8 bis −7,1), 328,1 weniger Gesamt-DALYs/100.000 (95%-KI −480,4 bis −175,8), 6,3 weniger LRTI-DALYs/100.000. Assoziationen auch für Diabetes-DALYs (−12,1).</w:t>
      </w:r>
    </w:p>
    <w:p>
      <w:r>
        <w:rPr>
          <w:b/>
          <w:sz w:val="19"/>
        </w:rPr>
        <w:t xml:space="preserve">Übertragbarkeit: </w:t>
      </w:r>
      <w:r>
        <w:rPr>
          <w:sz w:val="19"/>
        </w:rPr>
        <w:t>21 europäische Länder, vergleichbare Gesundheitssysteme und Erfassungsmethoden.</w:t>
      </w:r>
    </w:p>
    <w:p>
      <w:r>
        <w:rPr>
          <w:color w:val="5A7D3A"/>
          <w:sz w:val="18"/>
        </w:rPr>
        <w:t>https://pubmed.ncbi.nlm.nih.gov/42759249/</w:t>
      </w:r>
    </w:p>
    <w:p>
      <w:pPr>
        <w:pStyle w:val="Heading2"/>
      </w:pPr>
      <w:r>
        <w:t>Schulische HPV-Impfaufklärung hebt Impfquoten: Was wirkt wirklich?</w:t>
      </w:r>
    </w:p>
    <w:p>
      <w:r>
        <w:rPr>
          <w:i/>
          <w:color w:val="666666"/>
          <w:sz w:val="18"/>
        </w:rPr>
        <w:t>Munoz A et al.  ·  Vaccine  ·  24.10.2026  ·  PMID 42753385</w:t>
      </w:r>
    </w:p>
    <w:p>
      <w:r>
        <w:t>Randomisierte Interventionsstudie mit 2.758 Schülern in 39 französischen Schulen zur Mediation von Effekten zwischen Wissens-, Einstellungs- und Verhaltensänderungen und HPV-Impfakzeptanz.</w:t>
      </w:r>
    </w:p>
    <w:p>
      <w:r>
        <w:rPr>
          <w:b/>
        </w:rPr>
        <w:t xml:space="preserve">Ergebnis: </w:t>
      </w:r>
      <w:r>
        <w:t>Gemeinsame Aufklärung (EMM) erhöhte Impfakzeptanz/Impfabsicht (OR 1,57; 95%-KI 1,02–2,41). Stärkste Mediationswirkungen durch verbesserte Nutzen-Risiko-Einstellung (OR 1,14), Sicherheitswahrnehmung (OR 1,12), Zugänglichkeit (OR 1,11), Peer-Diskussionen (OR 1,11) und Selbsteingeschätztes Wissen (OR 1,10). Haltungsänderungen wichtiger als reine Wissenseerhöhung.</w:t>
      </w:r>
    </w:p>
    <w:p>
      <w:r>
        <w:rPr>
          <w:b/>
          <w:sz w:val="19"/>
        </w:rPr>
        <w:t xml:space="preserve">Übertragbarkeit: </w:t>
      </w:r>
      <w:r>
        <w:rPr>
          <w:sz w:val="19"/>
        </w:rPr>
        <w:t>Frankreich, vergleichbare Schulstrukturen und Impfprogramme.</w:t>
      </w:r>
    </w:p>
    <w:p>
      <w:r>
        <w:rPr>
          <w:color w:val="5A7D3A"/>
          <w:sz w:val="18"/>
        </w:rPr>
        <w:t>https://pubmed.ncbi.nlm.nih.gov/42753385/</w:t>
      </w:r>
    </w:p>
    <w:p>
      <w:pPr>
        <w:pStyle w:val="Heading2"/>
      </w:pPr>
      <w:r>
        <w:t>Pertussis-Impfung in der Schwangerschaft: Einflussfaktoren und Impfskepsis in den Niederlanden</w:t>
      </w:r>
    </w:p>
    <w:p>
      <w:r>
        <w:rPr>
          <w:i/>
          <w:color w:val="666666"/>
          <w:sz w:val="18"/>
        </w:rPr>
        <w:t>van Vreeswijk-van Donselaar L et al.  ·  Vaccine  ·  24.10.2026  ·  PMID 42743752</w:t>
      </w:r>
    </w:p>
    <w:p>
      <w:r>
        <w:t>Retrospektive Kohortenstudie mit 17.513 Müttern aus Jugendgesundheitszentren (Niederlande 2020–März 2025) zu Determinanten der Impfakzeptanz und Gründen für Ablehnung.</w:t>
      </w:r>
    </w:p>
    <w:p>
      <w:r>
        <w:rPr>
          <w:b/>
        </w:rPr>
        <w:t xml:space="preserve">Ergebnis: </w:t>
      </w:r>
      <w:r>
        <w:t>Höhere Impfquote mit älterem Alter (OR 1,78–2,70), Beschäftigung (OR 2,55). Niedrigere Quote bei geringerer Bildung (OR 0,41), Mehrparität (OR 0,61), Geburt außerhalb NL. Mütter ≥41 Jahre lehnten öfter wegen Graviditätsbedenken ab (OR 2,61). Nicht-niederländische Muttersprache führte zu fehlender Info von Fachleuten (OR 2,19–2,96). Impfskepsis verteilt sich über alle soziodemografischen Gruppen.</w:t>
      </w:r>
    </w:p>
    <w:p>
      <w:r>
        <w:rPr>
          <w:b/>
          <w:sz w:val="19"/>
        </w:rPr>
        <w:t xml:space="preserve">Übertragbarkeit: </w:t>
      </w:r>
      <w:r>
        <w:rPr>
          <w:sz w:val="19"/>
        </w:rPr>
        <w:t>Niederlande, ähnliches Versicherungssystem und Impfprogramm.</w:t>
      </w:r>
    </w:p>
    <w:p>
      <w:r>
        <w:rPr>
          <w:color w:val="5A7D3A"/>
          <w:sz w:val="18"/>
        </w:rPr>
        <w:t>https://pubmed.ncbi.nlm.nih.gov/42743752/</w:t>
      </w:r>
    </w:p>
    <w:p>
      <w:pPr>
        <w:pStyle w:val="Heading2"/>
      </w:pPr>
      <w:r>
        <w:t>HPV-Impfung bei Männern senkt Analkrebs-Viren: Effekte sichtbar</w:t>
      </w:r>
    </w:p>
    <w:p>
      <w:r>
        <w:rPr>
          <w:i/>
          <w:color w:val="666666"/>
          <w:sz w:val="18"/>
        </w:rPr>
        <w:t>Checchi M et al.  ·  Vaccine  ·  24.10.2026  ·  PMID 42702144</w:t>
      </w:r>
    </w:p>
    <w:p>
      <w:r>
        <w:t>Überwachungsstudie mit 5.787 Rektaltupfern bei Männern, die Sex mit Männern haben (England 2017–2024, zwei Phasen) zum HPV-Serotyp-Rückgang nach Impfprogrammstart 2016.</w:t>
      </w:r>
    </w:p>
    <w:p>
      <w:r>
        <w:rPr>
          <w:b/>
        </w:rPr>
        <w:t xml:space="preserve">Ergebnis: </w:t>
      </w:r>
      <w:r>
        <w:t>36% Rückgang von HPV16/18-Prävalenz zwischen Phase 1 (2017–19, 3.291 Proben) und Phase 2 (2021–24, 2.496 Proben). HPV16/18-Prävalenz ähnlich in geimpften (16,6%; 95%-KI 15,2–18,1) und ungeimpften (15,8%; 95%-KI 14,5–17,1) Männern. Nachweis von Herdenimmunität und vermutlich Untererfassung von Impfmeldungen.</w:t>
      </w:r>
    </w:p>
    <w:p>
      <w:r>
        <w:rPr>
          <w:b/>
          <w:sz w:val="19"/>
        </w:rPr>
        <w:t xml:space="preserve">Übertragbarkeit: </w:t>
      </w:r>
      <w:r>
        <w:rPr>
          <w:sz w:val="19"/>
        </w:rPr>
        <w:t>England mit Impfregister; Datenqualität höher als Deutschland ohne Register.</w:t>
      </w:r>
    </w:p>
    <w:p>
      <w:r>
        <w:rPr>
          <w:color w:val="5A7D3A"/>
          <w:sz w:val="18"/>
        </w:rPr>
        <w:t>https://pubmed.ncbi.nlm.nih.gov/42702144/</w:t>
      </w:r>
    </w:p>
    <w:p>
      <w:pPr>
        <w:pStyle w:val="Heading1"/>
      </w:pPr>
      <w:r>
        <w:t>Aufgenommen am 27.09.2026</w:t>
      </w:r>
    </w:p>
    <w:p>
      <w:pPr>
        <w:pStyle w:val="Heading2"/>
      </w:pPr>
      <w:r>
        <w:t>Nirsevimab-Immunisierung senkte RSV-Hospitalisierung bei Neugeborenen um 78 %</w:t>
      </w:r>
    </w:p>
    <w:p>
      <w:r>
        <w:rPr>
          <w:i/>
          <w:color w:val="666666"/>
          <w:sz w:val="18"/>
        </w:rPr>
        <w:t>Auriti C et al.  ·  Viruses  ·  07.09.2026  ·  PMID 42797813</w:t>
      </w:r>
    </w:p>
    <w:p>
      <w:r>
        <w:t>Italienische Studie zur Wirksamkeit der universellen Nirsevimab-Prophylaxe gegen RSV-assoziierte Krankenhauseinweisungen bei Neugeborenen im Routinebetrieb.</w:t>
      </w:r>
    </w:p>
    <w:p>
      <w:r>
        <w:rPr>
          <w:b/>
        </w:rPr>
        <w:t xml:space="preserve">Ergebnis: </w:t>
      </w:r>
      <w:r>
        <w:t>78,3 % Wirksamkeit gegen RSV-assoziierte Hospitalisierung; Nirsevimab-geimpfte Infanten hatten niedrigere RSV-Infektionsrate (33,99 % vs. 68,21 %; p&lt;0,001) und benötigten seltener Atemunterstützung (55,23 % vs. 70,07 %; p&lt;0,001). Unter hospitalisierten Infanten zeigte sich ein 80,2 % Rückgang der Atemunterstützung und 64,3 % weniger NICU-Aufnahmen durch Impfung.</w:t>
      </w:r>
    </w:p>
    <w:p>
      <w:r>
        <w:rPr>
          <w:b/>
          <w:sz w:val="19"/>
        </w:rPr>
        <w:t xml:space="preserve">Übertragbarkeit: </w:t>
      </w:r>
      <w:r>
        <w:rPr>
          <w:sz w:val="19"/>
        </w:rPr>
        <w:t>Italien, vergleichbares Versicherungssystem und Impfkalender wie DACH</w:t>
      </w:r>
    </w:p>
    <w:p>
      <w:r>
        <w:rPr>
          <w:color w:val="5A7D3A"/>
          <w:sz w:val="18"/>
        </w:rPr>
        <w:t>https://pubmed.ncbi.nlm.nih.gov/42797813/</w:t>
      </w:r>
    </w:p>
    <w:p>
      <w:pPr>
        <w:pStyle w:val="Heading2"/>
      </w:pPr>
      <w:r>
        <w:t>Pneumokokken-Nasopharyngeal-Besiedlung bei hospitalisierten Kindern in Lettland</w:t>
      </w:r>
    </w:p>
    <w:p>
      <w:r>
        <w:rPr>
          <w:i/>
          <w:color w:val="666666"/>
          <w:sz w:val="18"/>
        </w:rPr>
        <w:t>Cupeca H et al.  ·  PLoS One  ·  25.09.2026  ·  PMID 42789531</w:t>
      </w:r>
    </w:p>
    <w:p>
      <w:r>
        <w:t>Querschnittsstudie zur Prävalenz und Serotyp-Verteilung von Pneumokokken-Besiedlung bei hospitalisierten Kindern während des Übergangs von PCV13 zu PCV15/PCV20.</w:t>
      </w:r>
    </w:p>
    <w:p>
      <w:r>
        <w:rPr>
          <w:b/>
        </w:rPr>
        <w:t xml:space="preserve">Ergebnis: </w:t>
      </w:r>
      <w:r>
        <w:t>Gesamtprävalenz der Besiedlung 21,8 % (70/321; 95%-KI: 17,6–26,6%); PCV-Impfquote 63,2 % (203/321), überwiegend PCV10; kein signifikanter Unterschied zwischen geimpften und ungeimpften Kindern (25,6 % vs. 16,7 %; p=0,138); häufigste Serotypen 20, 13, 48 – keine in PCV13-abgedeckt.</w:t>
      </w:r>
    </w:p>
    <w:p>
      <w:r>
        <w:rPr>
          <w:b/>
          <w:sz w:val="19"/>
        </w:rPr>
        <w:t xml:space="preserve">Übertragbarkeit: </w:t>
      </w:r>
      <w:r>
        <w:rPr>
          <w:sz w:val="19"/>
        </w:rPr>
        <w:t>Baltische Region, aber Daten übertragbar auf deutschsprachige Länder bei ähnlichem PCV-Übergang</w:t>
      </w:r>
    </w:p>
    <w:p>
      <w:r>
        <w:rPr>
          <w:color w:val="5A7D3A"/>
          <w:sz w:val="18"/>
        </w:rPr>
        <w:t>https://pubmed.ncbi.nlm.nih.gov/42789531/</w:t>
      </w:r>
    </w:p>
    <w:p>
      <w:pPr>
        <w:pStyle w:val="Heading2"/>
      </w:pPr>
      <w:r>
        <w:t>Vertrauen und mRNA-Impfstoffakzeptanz durch deliberative Dialoge stärken</w:t>
      </w:r>
    </w:p>
    <w:p>
      <w:r>
        <w:rPr>
          <w:i/>
          <w:color w:val="666666"/>
          <w:sz w:val="18"/>
        </w:rPr>
        <w:t>Plamondon K et al.  ·  JMIR Res Protoc  ·  25.09.2026  ·  PMID 42789402</w:t>
      </w:r>
    </w:p>
    <w:p>
      <w:r>
        <w:t>Protokoll einer sequenziellen deliberativen Dialogstudie zu Bedingungen für informierte Öffentlichkeitsbeteiligung, Vertrauen und Akzeptanz emergenter Vakzin-Technologien am Beispiel mRNA-Impfstoffe.</w:t>
      </w:r>
    </w:p>
    <w:p>
      <w:r>
        <w:rPr>
          <w:b/>
        </w:rPr>
        <w:t xml:space="preserve">Ergebnis: </w:t>
      </w:r>
      <w:r>
        <w:t>Bis Juni 2026: 10 deliberative Dialoge und 1 selbstgeleiteter Dialog mit 77 Beteiligten durchgeführt; 2 summative Dialoge mit 18 Teilnehmern; erwartete Publikation Zweite Hälfte 2026; Fokus auf Verbesserung von Wissenschaftskompetenz, tailored Kommunikation unter Berücksichtigung historischer Ungleichheiten und Navigation von Polarisierung rund um Impfung.</w:t>
      </w:r>
    </w:p>
    <w:p>
      <w:r>
        <w:rPr>
          <w:b/>
          <w:sz w:val="19"/>
        </w:rPr>
        <w:t xml:space="preserve">Übertragbarkeit: </w:t>
      </w:r>
      <w:r>
        <w:rPr>
          <w:sz w:val="19"/>
        </w:rPr>
        <w:t>Kanada, aber deliberative Methode und Vertrauensfragen universal auf deutschsprachige Systeme übertragbar</w:t>
      </w:r>
    </w:p>
    <w:p>
      <w:r>
        <w:rPr>
          <w:color w:val="5A7D3A"/>
          <w:sz w:val="18"/>
        </w:rPr>
        <w:t>https://pubmed.ncbi.nlm.nih.gov/42789402/</w:t>
      </w:r>
    </w:p>
    <w:p>
      <w:pPr>
        <w:pStyle w:val="Heading2"/>
      </w:pPr>
      <w:r>
        <w:t>Hochdosis-Influenzaimpfung für kardiovaskuläre Prävention bei älteren Patienten</w:t>
      </w:r>
    </w:p>
    <w:p>
      <w:r>
        <w:rPr>
          <w:i/>
          <w:color w:val="666666"/>
          <w:sz w:val="18"/>
        </w:rPr>
        <w:t>Volpe M et al.  ·  G Ital Cardiol (Rome)  ·  Okt. 2026  ·  PMID 42788302</w:t>
      </w:r>
    </w:p>
    <w:p>
      <w:r>
        <w:t>Konsens-Papier fünf italienischer Fachgesellschaften zur Influenzaimpfung als Prävention kardiovaskulärer Komplikationen bei Risikopatienten, basierend auf FLUNITY-HD-Daten.</w:t>
      </w:r>
    </w:p>
    <w:p>
      <w:r>
        <w:rPr>
          <w:b/>
        </w:rPr>
        <w:t xml:space="preserve">Ergebnis: </w:t>
      </w:r>
      <w:r>
        <w:t>Hochdosis-Influenzaimpfung zeigt signifikante Vorteile gegenüber Standarddosis; Empfehlung für ältere Patienten und solche mit kardiovaskulärer Erkrankung zur Stärkung der Immunantwort und besseren kardiovaskulären Schutz.</w:t>
      </w:r>
    </w:p>
    <w:p>
      <w:r>
        <w:rPr>
          <w:b/>
          <w:sz w:val="19"/>
        </w:rPr>
        <w:t xml:space="preserve">Übertragbarkeit: </w:t>
      </w:r>
      <w:r>
        <w:rPr>
          <w:sz w:val="19"/>
        </w:rPr>
        <w:t>Italien, aber zunehmende Evidenz aus großen europäischen Studien; übertragbar auf deutsche Impfpraxis</w:t>
      </w:r>
    </w:p>
    <w:p>
      <w:r>
        <w:rPr>
          <w:color w:val="5A7D3A"/>
          <w:sz w:val="18"/>
        </w:rPr>
        <w:t>https://pubmed.ncbi.nlm.nih.gov/42788302/</w:t>
      </w:r>
    </w:p>
    <w:p>
      <w:pPr>
        <w:pStyle w:val="Heading2"/>
      </w:pPr>
      <w:r>
        <w:t>Anti-CD19-CAR-T-Therapie in SLE: Keine Signale für beeinträchtigte Eierstockreserve</w:t>
      </w:r>
    </w:p>
    <w:p>
      <w:r>
        <w:rPr>
          <w:i/>
          <w:color w:val="666666"/>
          <w:sz w:val="18"/>
        </w:rPr>
        <w:t>Pecher AC et al.  ·  Rheumatology (Oxford)  ·  01.08.2026  ·  PMID 42584071</w:t>
      </w:r>
    </w:p>
    <w:p>
      <w:r>
        <w:t>Longitudinale Studie zu reproduktiven Hormonmarkern bei 13 Frauen mit schwerem, therapierefraktärem SLE nach anti-CD19-CAR-T-Zelltherapie.</w:t>
      </w:r>
    </w:p>
    <w:p>
      <w:r>
        <w:rPr>
          <w:b/>
        </w:rPr>
        <w:t xml:space="preserve">Ergebnis: </w:t>
      </w:r>
      <w:r>
        <w:t>AMH-Level stabil (1,54 ng/ml [IQR 0,64–3,15] vs. 2,14 ng/ml [0,63–3,26]; p=0,886); FSH moderat erhöht (6,60 IU/l [4,00–7,90] vs. 7,20 IU/l [4,50–9,90]; p=0,033), aber ohne begleitenden AMH-Rückgang; keine Signale einer beeinträchtigten Eierstockreserve unter Standardlymphodepletion.</w:t>
      </w:r>
    </w:p>
    <w:p>
      <w:r>
        <w:rPr>
          <w:b/>
          <w:sz w:val="19"/>
        </w:rPr>
        <w:t xml:space="preserve">Übertragbarkeit: </w:t>
      </w:r>
      <w:r>
        <w:rPr>
          <w:sz w:val="19"/>
        </w:rPr>
        <w:t>Deutschland, Schweiz, Österreich – Immuntherapie-Zentren mit ähnlicher CAR-T-Infrastruktur</w:t>
      </w:r>
    </w:p>
    <w:p>
      <w:r>
        <w:rPr>
          <w:color w:val="5A7D3A"/>
          <w:sz w:val="18"/>
        </w:rPr>
        <w:t>https://pubmed.ncbi.nlm.nih.gov/42584071/</w:t>
      </w:r>
    </w:p>
    <w:p>
      <w:pPr>
        <w:pStyle w:val="Heading2"/>
      </w:pPr>
      <w:r>
        <w:t>Internetnutzung hat ambivalente Effekte auf Impfskepsis: Hochschulrechnung mit 48.538 Personen</w:t>
      </w:r>
    </w:p>
    <w:p>
      <w:r>
        <w:rPr>
          <w:i/>
          <w:color w:val="666666"/>
          <w:sz w:val="18"/>
        </w:rPr>
        <w:t>Helbing A et al.  ·  J Community Health  ·  16.07.2026  ·  PMID 42461515</w:t>
      </w:r>
    </w:p>
    <w:p>
      <w:r>
        <w:t>Multilevel-Logit-Analyse zu Zusammenhang zwischen Internetnutzung, digitaler Gesundheitskompetenz (DHL) und Impfskepsis auf Basis der ISSP 2021-Daten.</w:t>
      </w:r>
    </w:p>
    <w:p>
      <w:r>
        <w:rPr>
          <w:b/>
        </w:rPr>
        <w:t xml:space="preserve">Ergebnis: </w:t>
      </w:r>
      <w:r>
        <w:t>Nicht-lineare Beziehung: Personen ohne Internetzugang und solche mit sehr häufiger Online-Suche nach Impfinformation zeigen höhere Skepsis; niedrige DHL konsistent mit mehr Impfskepsis assoziiert; Unzufriedenheit mit Gesundheitssystem und niedrigere nationale Gesundheitsqualität verstärken Skepsis; Internetnutzung ist sowohl Bildungs- als auch Fehlinformationspotenzial.</w:t>
      </w:r>
    </w:p>
    <w:p>
      <w:r>
        <w:rPr>
          <w:b/>
          <w:sz w:val="19"/>
        </w:rPr>
        <w:t xml:space="preserve">Übertragbarkeit: </w:t>
      </w:r>
      <w:r>
        <w:rPr>
          <w:sz w:val="19"/>
        </w:rPr>
        <w:t>48 Länder (ISSP), inklusive Deutschland; vergleichbare Sozialversicherungssysteme</w:t>
      </w:r>
    </w:p>
    <w:p>
      <w:r>
        <w:rPr>
          <w:color w:val="5A7D3A"/>
          <w:sz w:val="18"/>
        </w:rPr>
        <w:t>https://pubmed.ncbi.nlm.nih.gov/42461515/</w:t>
      </w:r>
    </w:p>
    <w:p>
      <w:pPr>
        <w:pStyle w:val="Heading1"/>
      </w:pPr>
      <w:r>
        <w:t>Aufgenommen am 26.09.2026</w:t>
      </w:r>
    </w:p>
    <w:p>
      <w:pPr>
        <w:pStyle w:val="Heading2"/>
      </w:pPr>
      <w:r>
        <w:t>Tollwutimpfung bei Kindern in Thailand: Prävention mit Kosten-Nutzen-Vorteilen</w:t>
      </w:r>
    </w:p>
    <w:p>
      <w:r>
        <w:rPr>
          <w:i/>
          <w:color w:val="666666"/>
          <w:sz w:val="18"/>
        </w:rPr>
        <w:t>Soopairin S et al.  ·  BMJ Glob Health  ·  25.09.2026  ·  PMID 42791044</w:t>
      </w:r>
    </w:p>
    <w:p>
      <w:r>
        <w:t>Entscheidungsmodell-Analyse zum Kosten-Nutzen-Verhältnis einer Tollwut-Präexpositionsprophylaxe (PrEP) plus Postexpositionsprophylaxe (PEP) versus PEP allein bei 5-Jährigen in Thailand.</w:t>
      </w:r>
    </w:p>
    <w:p>
      <w:r>
        <w:rPr>
          <w:b/>
        </w:rPr>
        <w:t xml:space="preserve">Ergebnis: </w:t>
      </w:r>
      <w:r>
        <w:t>PrEP+PEP intrakutan mit inaktiviertem Hühnerzellvakzin war kosteneffektiv mit 40.977 THB (~1.161 USD) pro qualitätsbereinigtem Lebensjahr vs. PEP allein. Jährliche Bissinzidenz war einflussreichster Parameter; Kosten-Effektivität bleib robust über weitere Parameter.</w:t>
      </w:r>
    </w:p>
    <w:p>
      <w:r>
        <w:rPr>
          <w:b/>
          <w:sz w:val="19"/>
        </w:rPr>
        <w:t xml:space="preserve">Übertragbarkeit: </w:t>
      </w:r>
      <w:r>
        <w:rPr>
          <w:sz w:val="19"/>
        </w:rPr>
        <w:t>Thailand, außereuropäisches System; Kosten-Nutzen-Befund ist methodisch übertragbar für Priorisierung in Impfprogrammen.</w:t>
      </w:r>
    </w:p>
    <w:p>
      <w:r>
        <w:rPr>
          <w:color w:val="5A7D3A"/>
          <w:sz w:val="18"/>
        </w:rPr>
        <w:t>https://pubmed.ncbi.nlm.nih.gov/42791044/</w:t>
      </w:r>
    </w:p>
    <w:p>
      <w:pPr>
        <w:pStyle w:val="Heading2"/>
      </w:pPr>
      <w:r>
        <w:t>Influenza-Impfquoten in der Praxis: Defizite bei hochwertigen Impfstoffen</w:t>
      </w:r>
    </w:p>
    <w:p>
      <w:r>
        <w:rPr>
          <w:i/>
          <w:color w:val="666666"/>
          <w:sz w:val="18"/>
        </w:rPr>
        <w:t>Amicizia D et al.  ·  Hum Vaccin Immunother  ·  25.09.2026  ·  PMID 42788870</w:t>
      </w:r>
    </w:p>
    <w:p>
      <w:r>
        <w:t>Italienische Studie zur Influenzaimpfung ≥60-Jähriger in zwei Saisons (2023/24 und 2024/25), die den Wechsel zu dezentraler Versorgung durch Apotheken und Hausärzte untersucht.</w:t>
      </w:r>
    </w:p>
    <w:p>
      <w:r>
        <w:rPr>
          <w:b/>
        </w:rPr>
        <w:t xml:space="preserve">Ergebnis: </w:t>
      </w:r>
      <w:r>
        <w:t>Gesamtquote sank um 6% zwischen den Saisons; nur 65% (2023/24) bzw. 73% (2024/25) der ≥65-Jährigen erhielten altersgerechte hochdosierte Impfstoffe. Dezentrale Versorgung steigerte zwar Erreichbarkeit, führte aber zu erheblicher Varianz bei der Impfstoffwahl und suboptimalen Plattformen bei Hochrisikogruppen.</w:t>
      </w:r>
    </w:p>
    <w:p>
      <w:r>
        <w:rPr>
          <w:b/>
          <w:sz w:val="19"/>
        </w:rPr>
        <w:t xml:space="preserve">Übertragbarkeit: </w:t>
      </w:r>
      <w:r>
        <w:rPr>
          <w:sz w:val="19"/>
        </w:rPr>
        <w:t>Italien, vergleichbares Gesundheitssystem; zeigt Hürden bei Umsetzung von Leitlinien in dezentraler Versorgung.</w:t>
      </w:r>
    </w:p>
    <w:p>
      <w:r>
        <w:rPr>
          <w:color w:val="5A7D3A"/>
          <w:sz w:val="18"/>
        </w:rPr>
        <w:t>https://pubmed.ncbi.nlm.nih.gov/42788870/</w:t>
      </w:r>
    </w:p>
    <w:p>
      <w:pPr>
        <w:pStyle w:val="Heading2"/>
      </w:pPr>
      <w:r>
        <w:t>HPV-Impfung und Krebsvorsorge in Brasilien: Pandemie-Folgen bei Ungleichheit</w:t>
      </w:r>
    </w:p>
    <w:p>
      <w:r>
        <w:rPr>
          <w:i/>
          <w:color w:val="666666"/>
          <w:sz w:val="18"/>
        </w:rPr>
        <w:t>Carvalho TS et al.  ·  Rev Inst Med Trop Sao Paulo  ·  18.09.2026  ·  PMID 42788601</w:t>
      </w:r>
    </w:p>
    <w:p>
      <w:r>
        <w:t>Ökologische Studie (2016–2021) zur Auswirkung der COVID-19-Pandemie auf HPV-Impfquoten und Pap-Abstrich-Screening in Sao Paulo State mittels öffentlicher Datenbank.</w:t>
      </w:r>
    </w:p>
    <w:p>
      <w:r>
        <w:rPr>
          <w:b/>
        </w:rPr>
        <w:t xml:space="preserve">Ergebnis: </w:t>
      </w:r>
      <w:r>
        <w:t>HPV-Impfquoten stiegen 2020, hielten aber 2021 nicht an. Pap-Abstriche sanken 2020 und erholten sich 2021 nur teilweise, besonders in Gemeinden mit niedrigen sozioökonomischen Indikatoren. Anzahl der COVID-19-Fälle war nicht stark assoziiert mit Schwankungen in Präventionsdiensten.</w:t>
      </w:r>
    </w:p>
    <w:p>
      <w:r>
        <w:rPr>
          <w:b/>
          <w:sz w:val="19"/>
        </w:rPr>
        <w:t xml:space="preserve">Übertragbarkeit: </w:t>
      </w:r>
      <w:r>
        <w:rPr>
          <w:sz w:val="19"/>
        </w:rPr>
        <w:t>Brasilien, öffentliche Gesundheitsverwaltung; zeigt Resilienz-Probleme bei integrierten Präventionsprogrammen unter Krise, besonders bei vulnerablen Bevölkerungen.</w:t>
      </w:r>
    </w:p>
    <w:p>
      <w:r>
        <w:rPr>
          <w:color w:val="5A7D3A"/>
          <w:sz w:val="18"/>
        </w:rPr>
        <w:t>https://pubmed.ncbi.nlm.nih.gov/42788601/</w:t>
      </w:r>
    </w:p>
    <w:p>
      <w:pPr>
        <w:pStyle w:val="Heading2"/>
      </w:pPr>
      <w:r>
        <w:t>Sicherheit von HPV-Impfstoffen in China: Verträglichkeit unter Alltag</w:t>
      </w:r>
    </w:p>
    <w:p>
      <w:r>
        <w:rPr>
          <w:i/>
          <w:color w:val="666666"/>
          <w:sz w:val="18"/>
        </w:rPr>
        <w:t>Xie M et al.  ·  Hum Vaccin Immunother  ·  25.09.2026  ·  PMID 42788243</w:t>
      </w:r>
    </w:p>
    <w:p>
      <w:r>
        <w:t>Postmarketing-Sicherheitsüberwachung von HPV-Impfstoffen in Shandong 2017–2025 mittels Nebenwirkungsmeldungen.</w:t>
      </w:r>
    </w:p>
    <w:p>
      <w:r>
        <w:rPr>
          <w:b/>
        </w:rPr>
        <w:t xml:space="preserve">Ergebnis: </w:t>
      </w:r>
      <w:r>
        <w:t>1.056 Meldungen bei ~13,2 Millionen Dosen (Quote 7,99 pro 100.000 Dosen); 95,46% leichte Reaktionen, 1,42% seltene unerwünschte Ereignisse (u.a. Myalgie, Induration &gt;5 cm, Immunthrombozytopenie). Sicherheitsprofil insgesamt gut.</w:t>
      </w:r>
    </w:p>
    <w:p>
      <w:r>
        <w:rPr>
          <w:b/>
          <w:sz w:val="19"/>
        </w:rPr>
        <w:t xml:space="preserve">Übertragbarkeit: </w:t>
      </w:r>
      <w:r>
        <w:rPr>
          <w:sz w:val="19"/>
        </w:rPr>
        <w:t>China, anderes Meldesystem; bestätigt gutes Sicherheitsprofil auch bei Millionenfach-Anwendung.</w:t>
      </w:r>
    </w:p>
    <w:p>
      <w:r>
        <w:rPr>
          <w:color w:val="5A7D3A"/>
          <w:sz w:val="18"/>
        </w:rPr>
        <w:t>https://pubmed.ncbi.nlm.nih.gov/42788243/</w:t>
      </w:r>
    </w:p>
    <w:p>
      <w:pPr>
        <w:pStyle w:val="Heading2"/>
      </w:pPr>
      <w:r>
        <w:t>Enterovirus-71-Impfung senkt Fallzahlen von Hand-Fuß-Mund-Krankheit</w:t>
      </w:r>
    </w:p>
    <w:p>
      <w:r>
        <w:rPr>
          <w:i/>
          <w:color w:val="666666"/>
          <w:sz w:val="18"/>
        </w:rPr>
        <w:t>Li K et al.  ·  JMIR Public Health Surveill  ·  24.09.2026  ·  PMID 42785728</w:t>
      </w:r>
    </w:p>
    <w:p>
      <w:r>
        <w:t>Überwachungsstudie (2008–2023) in Anhui, China zur Epidemiologie von Hand-Fuß-Mund-Krankheit (HFMD) nach Einführung der EV71-Impfung und während COVID-19-Pandemie.</w:t>
      </w:r>
    </w:p>
    <w:p>
      <w:r>
        <w:rPr>
          <w:b/>
        </w:rPr>
        <w:t xml:space="preserve">Ergebnis: </w:t>
      </w:r>
      <w:r>
        <w:t>Typisierte EV71-Fälle sanken von 45,8% (vor Impfung) auf 3,4% (während COVID-19); Vorhersagemodelle für 2017–2019 zeigten 470 beobachtete vs. 659 vorhergesagte EV71-Fälle 2017 (95%-PI 467–933). Gesamtlast HFMD während COVID-19 substanziell unter Prognose, Todesfälle ab 2020 keine gemeldet.</w:t>
      </w:r>
    </w:p>
    <w:p>
      <w:r>
        <w:rPr>
          <w:b/>
          <w:sz w:val="19"/>
        </w:rPr>
        <w:t xml:space="preserve">Übertragbarkeit: </w:t>
      </w:r>
      <w:r>
        <w:rPr>
          <w:sz w:val="19"/>
        </w:rPr>
        <w:t>China, Überwachungsdaten; zeigt reale Impfeffektivität bei Bevölkerungsergebnissen unter Alltagsbedingungen.</w:t>
      </w:r>
    </w:p>
    <w:p>
      <w:r>
        <w:rPr>
          <w:color w:val="5A7D3A"/>
          <w:sz w:val="18"/>
        </w:rPr>
        <w:t>https://pubmed.ncbi.nlm.nih.gov/42785728/</w:t>
      </w:r>
    </w:p>
    <w:p>
      <w:pPr>
        <w:pStyle w:val="Heading2"/>
      </w:pPr>
      <w:r>
        <w:t>COVID-19-Impfung überwindet HLA-bedingte Unterschiede in Antikörper-Breite</w:t>
      </w:r>
    </w:p>
    <w:p>
      <w:r>
        <w:rPr>
          <w:i/>
          <w:color w:val="666666"/>
          <w:sz w:val="18"/>
        </w:rPr>
        <w:t>Nguyen TTN et al.  ·  Front Immunol  ·  08.09.2026  ·  PMID 42774458</w:t>
      </w:r>
    </w:p>
    <w:p>
      <w:r>
        <w:t>Longitudinale Kohortenstudie an 189 vietnamesischen Erwachsenen vor und nach COVID-19-Impfung, mit HLA-Genotypisierung und Neutralisierungstests gegen Variants of Concern.</w:t>
      </w:r>
    </w:p>
    <w:p>
      <w:r>
        <w:rPr>
          <w:b/>
        </w:rPr>
        <w:t xml:space="preserve">Ergebnis: </w:t>
      </w:r>
      <w:r>
        <w:t>Impfung erhöhte Antikörpertiter gegen Wuhan um 132-fach und gegen Omikron 10-fach; Neutralisierungbreite erweiterte sich substanziell. HLA-Assoziationen bei Zeitpunkt 1 beobachtet, aber Impfung erwies sich als stärkster Faktor für Neutralisierungsbreite bei Monat 15 (p&lt;0,001 in multivariablen Modellen).</w:t>
      </w:r>
    </w:p>
    <w:p>
      <w:r>
        <w:rPr>
          <w:b/>
          <w:sz w:val="19"/>
        </w:rPr>
        <w:t xml:space="preserve">Übertragbarkeit: </w:t>
      </w:r>
      <w:r>
        <w:rPr>
          <w:sz w:val="19"/>
        </w:rPr>
        <w:t>Vietnam, Hybridimmunität; zeigt, dass Impfung genetische Heterogenität in Antikörper-Breite überlagert und Population-spezifische Langzeitimmunität aufbaut.</w:t>
      </w:r>
    </w:p>
    <w:p>
      <w:r>
        <w:rPr>
          <w:color w:val="5A7D3A"/>
          <w:sz w:val="18"/>
        </w:rPr>
        <w:t>https://pubmed.ncbi.nlm.nih.gov/42774458/</w:t>
      </w:r>
    </w:p>
    <w:p>
      <w:pPr>
        <w:pStyle w:val="Heading1"/>
      </w:pPr>
      <w:r>
        <w:t>Aufgenommen am 25.09.2026</w:t>
      </w:r>
    </w:p>
    <w:p>
      <w:pPr>
        <w:pStyle w:val="Heading2"/>
      </w:pPr>
      <w:r>
        <w:t>SARS-CoV-2-Impfstoffverfügbarkeit in ruralen Regionen sub-Sahara-Afrikas – systematisches Reviewprotokoll</w:t>
      </w:r>
    </w:p>
    <w:p>
      <w:r>
        <w:rPr>
          <w:i/>
          <w:color w:val="666666"/>
          <w:sz w:val="18"/>
        </w:rPr>
        <w:t>Nyangi E et al.  ·  BMJ Open  ·  24.09.2026  ·  PMID 42785944</w:t>
      </w:r>
    </w:p>
    <w:p>
      <w:r>
        <w:t>Systematisches Reviewprotokoll zu Verfügbarkeit und Erreichbarkeit von COVID-19-Impfstoffen bei ruraler Bevölkerung in sub-Sahara-Afrika (Suche Oktober 2025–Oktober 2027).</w:t>
      </w:r>
    </w:p>
    <w:p>
      <w:r>
        <w:rPr>
          <w:b/>
        </w:rPr>
        <w:t xml:space="preserve">Ergebnis: </w:t>
      </w:r>
      <w:r>
        <w:t>Systematisches Review und Meta-Analyse in Planung; quantitative Befunde werden mit Modell mit Zufallseffekten gepoolt, qualitative Befunde thematisch synthetisiert. Schwerpunkt: strukturelle Barrieren, schwache Gesundheitssysteme, Ressourcenmangel.</w:t>
      </w:r>
    </w:p>
    <w:p>
      <w:r>
        <w:rPr>
          <w:b/>
          <w:sz w:val="19"/>
        </w:rPr>
        <w:t xml:space="preserve">Übertragbarkeit: </w:t>
      </w:r>
      <w:r>
        <w:rPr>
          <w:sz w:val="19"/>
        </w:rPr>
        <w:t>Sub-Sahara-Afrika, methodisch relevant für Reichweitenanalysen, aber Ressourcenlage sehr unterschiedlich</w:t>
      </w:r>
    </w:p>
    <w:p>
      <w:r>
        <w:rPr>
          <w:color w:val="5A7D3A"/>
          <w:sz w:val="18"/>
        </w:rPr>
        <w:t>https://pubmed.ncbi.nlm.nih.gov/42785944/</w:t>
      </w:r>
    </w:p>
    <w:p>
      <w:pPr>
        <w:pStyle w:val="Heading2"/>
      </w:pPr>
      <w:r>
        <w:t>Kostenloses Grippeimpfangebot erhöht Impfquote und psychisches Wohlbefinden älterer Menschen</w:t>
      </w:r>
    </w:p>
    <w:p>
      <w:r>
        <w:rPr>
          <w:i/>
          <w:color w:val="666666"/>
          <w:sz w:val="18"/>
        </w:rPr>
        <w:t>Wang Y  ·  Front Public Health  ·  09.09.2026  ·  PMID 42780378</w:t>
      </w:r>
    </w:p>
    <w:p>
      <w:r>
        <w:t>Chinesische Differenz-in-Differenzen-Analyse zur Wirkung einer kostenlosen Grippeimpfpolitik für die Bevölkerung ab 60 Jahren auf Impfquoten und Gesundheit.</w:t>
      </w:r>
    </w:p>
    <w:p>
      <w:r>
        <w:rPr>
          <w:b/>
        </w:rPr>
        <w:t xml:space="preserve">Ergebnis: </w:t>
      </w:r>
      <w:r>
        <w:t>Die Impfquote stieg um 23 Prozentpunkte. Die Wahrscheinlichkeit, dass gesundheitliche Probleme die täglichen Aktivitäten einschränken, sank um 16,9 Prozentpunkte; das Gefühl von Energie stieg um 28,1 Prozentpunkte. Der Effekt funktioniert über Verhaltenspfade, nicht nur biologisch.</w:t>
      </w:r>
    </w:p>
    <w:p>
      <w:r>
        <w:rPr>
          <w:b/>
          <w:sz w:val="19"/>
        </w:rPr>
        <w:t xml:space="preserve">Übertragbarkeit: </w:t>
      </w:r>
      <w:r>
        <w:rPr>
          <w:sz w:val="19"/>
        </w:rPr>
        <w:t>China, aber Versorgungsfrage (Kostenfreiheit und Quote) übertragbar auf Deutschland-Diskussionen zur Impffinanzierung</w:t>
      </w:r>
    </w:p>
    <w:p>
      <w:r>
        <w:rPr>
          <w:color w:val="5A7D3A"/>
          <w:sz w:val="18"/>
        </w:rPr>
        <w:t>https://pubmed.ncbi.nlm.nih.gov/42780378/</w:t>
      </w:r>
    </w:p>
    <w:p>
      <w:pPr>
        <w:pStyle w:val="Heading2"/>
      </w:pPr>
      <w:r>
        <w:t>Impfwissen und Eigenimpfung prägen Impfempfehlung durch Gesundheitspersonal</w:t>
      </w:r>
    </w:p>
    <w:p>
      <w:r>
        <w:rPr>
          <w:i/>
          <w:color w:val="666666"/>
          <w:sz w:val="18"/>
        </w:rPr>
        <w:t>Shi H et al.  ·  Front Public Health  ·  09.09.2026  ·  PMID 42780248</w:t>
      </w:r>
    </w:p>
    <w:p>
      <w:r>
        <w:t>Querschnittstudie zu Pfad zwischen Grippeimpfwissen, Eigenimpfung, zukünftiger Impfbereitschaft und Empfehlungsverhalten bei 4.238 Beschäftigten im Gesundheitswesen in Beijing.</w:t>
      </w:r>
    </w:p>
    <w:p>
      <w:r>
        <w:rPr>
          <w:b/>
        </w:rPr>
        <w:t xml:space="preserve">Ergebnis: </w:t>
      </w:r>
      <w:r>
        <w:t>22,1 % waren aktuell geimpft, 43,7 % wollten sich nächste Saison impfen, 82,0 % empfahlen Impfung Patienten. Impfwissen korrelierte mit Impfquote (β = 0,09, p &lt; 0,001); Eigenimpfung vorhersagend für zukünftige Impfbereitschaft (β = 0,47); zukünftige Bereitschaft stärkster Prädiktor für Empfehlung (β = 0,41, p &lt; 0,001).</w:t>
      </w:r>
    </w:p>
    <w:p>
      <w:r>
        <w:rPr>
          <w:b/>
          <w:sz w:val="19"/>
        </w:rPr>
        <w:t xml:space="preserve">Übertragbarkeit: </w:t>
      </w:r>
      <w:r>
        <w:rPr>
          <w:sz w:val="19"/>
        </w:rPr>
        <w:t>China, aber Pfadmodell (Wissen → Verhalten → Empfehlung) systemübergreifend relevant</w:t>
      </w:r>
    </w:p>
    <w:p>
      <w:r>
        <w:rPr>
          <w:color w:val="5A7D3A"/>
          <w:sz w:val="18"/>
        </w:rPr>
        <w:t>https://pubmed.ncbi.nlm.nih.gov/42780248/</w:t>
      </w:r>
    </w:p>
    <w:p>
      <w:pPr>
        <w:pStyle w:val="Heading2"/>
      </w:pPr>
      <w:r>
        <w:t>Impflücken bei Flüchtlingen und Migranten in Uganda: Systematische Analyse von Barrieren und Lösungen</w:t>
      </w:r>
    </w:p>
    <w:p>
      <w:r>
        <w:rPr>
          <w:i/>
          <w:color w:val="666666"/>
          <w:sz w:val="18"/>
        </w:rPr>
        <w:t>Nakachwa SM et al.  ·  Glob Public Health  ·  31.12.2026  ·  PMID 42776600</w:t>
      </w:r>
    </w:p>
    <w:p>
      <w:r>
        <w:t>Narrative Review zu Impfquoten, Barrieren und Maßnahmen bei Flüchtlingen und Migranten in Uganda bis September 2025.</w:t>
      </w:r>
    </w:p>
    <w:p>
      <w:r>
        <w:rPr>
          <w:b/>
        </w:rPr>
        <w:t xml:space="preserve">Ergebnis: </w:t>
      </w:r>
      <w:r>
        <w:t>Flüchtlings-Impfquoten unter nationalen Durchschnitten durch administrative Hürden, Engpässe, Entfernungen, Sprachhindernisse und Desinformation. Erfolgreiche Ansätze: Integration in nationale Systeme, vereinfachte Registrierung, mobile Angebote, Gemeindegesundheitspersonal, grenzübergreifende Datenkoordination.</w:t>
      </w:r>
    </w:p>
    <w:p>
      <w:r>
        <w:rPr>
          <w:b/>
          <w:sz w:val="19"/>
        </w:rPr>
        <w:t xml:space="preserve">Übertragbarkeit: </w:t>
      </w:r>
      <w:r>
        <w:rPr>
          <w:sz w:val="19"/>
        </w:rPr>
        <w:t>Uganda, aber Barrieren und Strategien (mobil, registrierungsarmut) für vulnerable Gruppen übertragbar</w:t>
      </w:r>
    </w:p>
    <w:p>
      <w:r>
        <w:rPr>
          <w:color w:val="5A7D3A"/>
          <w:sz w:val="18"/>
        </w:rPr>
        <w:t>https://pubmed.ncbi.nlm.nih.gov/42776600/</w:t>
      </w:r>
    </w:p>
    <w:p>
      <w:pPr>
        <w:pStyle w:val="Heading2"/>
      </w:pPr>
      <w:r>
        <w:t>Grippeimpfquote bei Fachpersonen in Guangzhou: Unterschiede nach Arbeitsstätte und Wissenstyp</w:t>
      </w:r>
    </w:p>
    <w:p>
      <w:r>
        <w:rPr>
          <w:i/>
          <w:color w:val="666666"/>
          <w:sz w:val="18"/>
        </w:rPr>
        <w:t>Lin D et al.  ·  Expert Rev Vaccines  ·  23.09.2026  ·  PMID 42775460</w:t>
      </w:r>
    </w:p>
    <w:p>
      <w:r>
        <w:t>Querschnittstudie unter 3.153 Gesundheitsfachleuten in Grundversorgung, Krankenhäusern und Schulen zur Grippeimpfquote und Empfehlungsverhalten.</w:t>
      </w:r>
    </w:p>
    <w:p>
      <w:r>
        <w:rPr>
          <w:b/>
        </w:rPr>
        <w:t xml:space="preserve">Ergebnis: </w:t>
      </w:r>
      <w:r>
        <w:t>46,2 % waren mindestens in einer der letzten vier Saisons geimpft, durchschnittliche saisonale Quote 28,2 %. Öffentlichkeitsgesundheit: OR 2,53, Schulgesundheit: OR 0,64 vs. Ärzte. Impfstoffwissen positiv assoziiert mit Impfung (OR 1,09) und Empfehlungsverhalten (OR 1,11).</w:t>
      </w:r>
    </w:p>
    <w:p>
      <w:r>
        <w:rPr>
          <w:b/>
          <w:sz w:val="19"/>
        </w:rPr>
        <w:t xml:space="preserve">Übertragbarkeit: </w:t>
      </w:r>
      <w:r>
        <w:rPr>
          <w:sz w:val="19"/>
        </w:rPr>
        <w:t>China, aber Versorgungsmuster (Quote nach Berufsgruppe) international vergleichbar</w:t>
      </w:r>
    </w:p>
    <w:p>
      <w:r>
        <w:rPr>
          <w:color w:val="5A7D3A"/>
          <w:sz w:val="18"/>
        </w:rPr>
        <w:t>https://pubmed.ncbi.nlm.nih.gov/42775460/</w:t>
      </w:r>
    </w:p>
    <w:p>
      <w:pPr>
        <w:pStyle w:val="Heading2"/>
      </w:pPr>
      <w:r>
        <w:t>HPV-Impfung und HPV-Screening kombiniert für vulnerable Frauen in Europa – Implementierungsprotokoll</w:t>
      </w:r>
    </w:p>
    <w:p>
      <w:r>
        <w:rPr>
          <w:i/>
          <w:color w:val="666666"/>
          <w:sz w:val="18"/>
        </w:rPr>
        <w:t>Mosquera I et al.  ·  Cancer Control  ·  02.09.2026  ·  PMID 42683830</w:t>
      </w:r>
    </w:p>
    <w:p>
      <w:r>
        <w:t>Implementierungsstudienprotokoll zur Kapazität von Gesundheitssystemen, HPV-Impfung und HPV-basiertes Screening kombiniert für vulnerable Gruppen (25–45 Jahre) in Spanien, Schweden, Dänemark, Rumänien und Frankreich anzubieten.</w:t>
      </w:r>
    </w:p>
    <w:p>
      <w:r>
        <w:rPr>
          <w:b/>
        </w:rPr>
        <w:t xml:space="preserve">Ergebnis: </w:t>
      </w:r>
      <w:r>
        <w:t>Protokoll umfasst Schreibtischreview, Vor-Ort-Prüfungen und Stakeholder-Interviews. Ziel: Systemkapazität messen und Strategien zur HPV-Schneller-Elimination in Europa tailoriert stärken. Studie läuft.</w:t>
      </w:r>
    </w:p>
    <w:p>
      <w:r>
        <w:rPr>
          <w:b/>
          <w:sz w:val="19"/>
        </w:rPr>
        <w:t xml:space="preserve">Übertragbarkeit: </w:t>
      </w:r>
      <w:r>
        <w:rPr>
          <w:sz w:val="19"/>
        </w:rPr>
        <w:t>Mehrere europäische Länder (DACH-nahes System), vergleichbare nationale Gesundheitssysteme</w:t>
      </w:r>
    </w:p>
    <w:p>
      <w:r>
        <w:rPr>
          <w:color w:val="5A7D3A"/>
          <w:sz w:val="18"/>
        </w:rPr>
        <w:t>https://pubmed.ncbi.nlm.nih.gov/42683830/</w:t>
      </w:r>
    </w:p>
    <w:p>
      <w:pPr>
        <w:pStyle w:val="Heading1"/>
      </w:pPr>
      <w:r>
        <w:t>Aufgenommen am 24.09.2026</w:t>
      </w:r>
    </w:p>
    <w:p>
      <w:pPr>
        <w:pStyle w:val="Heading2"/>
      </w:pPr>
      <w:r>
        <w:t>COVID-19-Impfung: Alter und Bildung bestimmen Annahme in Ostpolen stärker als Lebensstil</w:t>
      </w:r>
    </w:p>
    <w:p>
      <w:r>
        <w:rPr>
          <w:i/>
          <w:color w:val="666666"/>
          <w:sz w:val="18"/>
        </w:rPr>
        <w:t>Karczmarz S et al.  ·  Med Sci Monit  ·  23.09.2026  ·  PMID 42776929</w:t>
      </w:r>
    </w:p>
    <w:p>
      <w:r>
        <w:t>Querschnittsstudie an 458 Primärversorgungspatienten in Polen untersuchte, welche Faktoren mit vollständiger COVID-19-Impfung assoziiert sind.</w:t>
      </w:r>
    </w:p>
    <w:p>
      <w:r>
        <w:rPr>
          <w:b/>
        </w:rPr>
        <w:t xml:space="preserve">Ergebnis: </w:t>
      </w:r>
      <w:r>
        <w:t>Vollständige Impfung war assoziiert mit höherem Alter, höherer Bildung und Rentnerstatus; ländlicher Wohnort zeigte unerwartet höhere Impfquote als urban; Lifestyle-Profile zeigten keine konsistente unabhängige Assoziation mit Impfstatus.</w:t>
      </w:r>
    </w:p>
    <w:p>
      <w:r>
        <w:rPr>
          <w:b/>
          <w:sz w:val="19"/>
        </w:rPr>
        <w:t xml:space="preserve">Übertragbarkeit: </w:t>
      </w:r>
      <w:r>
        <w:rPr>
          <w:sz w:val="19"/>
        </w:rPr>
        <w:t>Polen, vergleichbares Versicherungssystem, dokumentiert Rollen von Zugang und Vertrauen</w:t>
      </w:r>
    </w:p>
    <w:p>
      <w:r>
        <w:rPr>
          <w:color w:val="5A7D3A"/>
          <w:sz w:val="18"/>
        </w:rPr>
        <w:t>https://pubmed.ncbi.nlm.nih.gov/42776929/</w:t>
      </w:r>
    </w:p>
    <w:p>
      <w:pPr>
        <w:pStyle w:val="Heading2"/>
      </w:pPr>
      <w:r>
        <w:t>Moderate bis hohe körperliche Aktivität verstärkt COVID-19-Antikörperreaktion unmittelbar nach Impfung</w:t>
      </w:r>
    </w:p>
    <w:p>
      <w:r>
        <w:rPr>
          <w:i/>
          <w:color w:val="666666"/>
          <w:sz w:val="18"/>
        </w:rPr>
        <w:t>Voulgaridi I et al.  ·  Front Public Health  ·  08.09.2026  ·  PMID 42774463</w:t>
      </w:r>
    </w:p>
    <w:p>
      <w:r>
        <w:t>Längsschnitt-Kohortenstudie mit 641 Erwachsenen untersuchte Assoziation zwischen Bewegungsaktivität und Anti-SARS-CoV-2-IgG/IgA-Antikörpern an den Tagen 21, 42, 90 und 180 nach COVID-19-Impfung.</w:t>
      </w:r>
    </w:p>
    <w:p>
      <w:r>
        <w:rPr>
          <w:b/>
        </w:rPr>
        <w:t xml:space="preserve">Ergebnis: </w:t>
      </w:r>
      <w:r>
        <w:t>IgG-Seropositividät an Tag 21 war höher bei moderater (92,6%) oder hoher (97,0%) Aktivität als bei niedriger (70,4%, p&lt;0,001); älteres Alter mit reduzierten IgG-Titern assoziiert (alle Zeitpunkte p&lt;0,001); Komorbidität mit niedrigeren Titern verknüpft.</w:t>
      </w:r>
    </w:p>
    <w:p>
      <w:r>
        <w:rPr>
          <w:b/>
          <w:sz w:val="19"/>
        </w:rPr>
        <w:t xml:space="preserve">Übertragbarkeit: </w:t>
      </w:r>
      <w:r>
        <w:rPr>
          <w:sz w:val="19"/>
        </w:rPr>
        <w:t>Griechenland, europäisches Gesundheitssystem, vergleichbare Impfprogramme</w:t>
      </w:r>
    </w:p>
    <w:p>
      <w:r>
        <w:rPr>
          <w:color w:val="5A7D3A"/>
          <w:sz w:val="18"/>
        </w:rPr>
        <w:t>https://pubmed.ncbi.nlm.nih.gov/42774463/</w:t>
      </w:r>
    </w:p>
    <w:p>
      <w:pPr>
        <w:pStyle w:val="Heading2"/>
      </w:pPr>
      <w:r>
        <w:t>Tdap-Sicherheit im VAERS-Register: Radiculitis bei Frauen erhöht, aber Schwangerschaft und Alter unbedenklich</w:t>
      </w:r>
    </w:p>
    <w:p>
      <w:r>
        <w:rPr>
          <w:i/>
          <w:color w:val="666666"/>
          <w:sz w:val="18"/>
        </w:rPr>
        <w:t>Song W et al.  ·  Front Cell Infect Microbiol  ·  08.09.2026  ·  PMID 42774241</w:t>
      </w:r>
    </w:p>
    <w:p>
      <w:r>
        <w:t>Post-Marketing-Surveillance von 20.128 VAERS-Meldungen zu Tdap (2015–2025) mit Disproportionalitätsanalyse nach Alter, Geschlecht und Schwangerschaftsstatus.</w:t>
      </w:r>
    </w:p>
    <w:p>
      <w:r>
        <w:rPr>
          <w:b/>
        </w:rPr>
        <w:t xml:space="preserve">Ergebnis: </w:t>
      </w:r>
      <w:r>
        <w:t>95,8% nicht-schwerwiegende Fälle; häufigste Signale: Injektionsstelle Erythem und Ödem; 70,3% Ereignisse innerhalb 1 Tag; bei Schwangeren (n=744): keine unerwarteten Sicherheitssignale; Adoleszenten: Opisthotonus erhöht (ROR=8,55); nicht-schwangere Frauen: Brachialradiculitis (ROR=14,42) und Bursa-Flüssigkeitsansammlung (ROR=21,22) erhöht.</w:t>
      </w:r>
    </w:p>
    <w:p>
      <w:r>
        <w:rPr>
          <w:b/>
          <w:sz w:val="19"/>
        </w:rPr>
        <w:t xml:space="preserve">Übertragbarkeit: </w:t>
      </w:r>
      <w:r>
        <w:rPr>
          <w:sz w:val="19"/>
        </w:rPr>
        <w:t>USA-VAERS-Daten, aber Pharmakovigilanz-Methode international verwendbar</w:t>
      </w:r>
    </w:p>
    <w:p>
      <w:r>
        <w:rPr>
          <w:color w:val="5A7D3A"/>
          <w:sz w:val="18"/>
        </w:rPr>
        <w:t>https://pubmed.ncbi.nlm.nih.gov/42774241/</w:t>
      </w:r>
    </w:p>
    <w:p>
      <w:pPr>
        <w:pStyle w:val="Heading2"/>
      </w:pPr>
      <w:r>
        <w:t>HPV16/18-Antikörper-Überwachung: Neutralisierungstest, cCLIA und IgG im Vergleich für Impfquoten-Monitoring</w:t>
      </w:r>
    </w:p>
    <w:p>
      <w:r>
        <w:rPr>
          <w:i/>
          <w:color w:val="666666"/>
          <w:sz w:val="18"/>
        </w:rPr>
        <w:t>Mao W et al.  ·  Front Immunol  ·  08.09.2026  ·  PMID 42774225</w:t>
      </w:r>
    </w:p>
    <w:p>
      <w:r>
        <w:t>Querschnitt- und Längsschnittstudie mit vollständig Geimpften und Ungeimpften verglich drei serologische Assays (Pseudovirionen-Neutralisierung, kompetitiver Chemilumineszenz-Immunoassay, indirekte IgG) für HPV16/18-Antikörper-Nachweis nach Vakzination.</w:t>
      </w:r>
    </w:p>
    <w:p>
      <w:r>
        <w:rPr>
          <w:b/>
        </w:rPr>
        <w:t xml:space="preserve">Ergebnis: </w:t>
      </w:r>
      <w:r>
        <w:t>Alle drei Assays reflektierten Impfantwort-Trends; cCLIA stabiler gegenüber Neutralisierungstest als IgG-Assay, besonders longitudinal und nach 2. Dosis; IgG zeigte niedrigere Stabilität für funktionale Klassifikation, aber konsistente Erfassung von Bevölkerungs-Reaktionen; persistente numerische Unterschiede bedeuten Assays nicht direkt austauschbar.</w:t>
      </w:r>
    </w:p>
    <w:p>
      <w:r>
        <w:rPr>
          <w:b/>
          <w:sz w:val="19"/>
        </w:rPr>
        <w:t xml:space="preserve">Übertragbarkeit: </w:t>
      </w:r>
      <w:r>
        <w:rPr>
          <w:sz w:val="19"/>
        </w:rPr>
        <w:t>China, aber Assay-Vergleich für HPV-Monitoring-Strategien europaweit relevant</w:t>
      </w:r>
    </w:p>
    <w:p>
      <w:r>
        <w:rPr>
          <w:color w:val="5A7D3A"/>
          <w:sz w:val="18"/>
        </w:rPr>
        <w:t>https://pubmed.ncbi.nlm.nih.gov/42774225/</w:t>
      </w:r>
    </w:p>
    <w:p>
      <w:pPr>
        <w:pStyle w:val="Heading2"/>
      </w:pPr>
      <w:r>
        <w:t>Hochdosis-Grippeimpfstoff für gebrechliche Ältere – Effektivität variiert nach Frailty-Risiko</w:t>
      </w:r>
    </w:p>
    <w:p>
      <w:r>
        <w:rPr>
          <w:i/>
          <w:color w:val="666666"/>
          <w:sz w:val="18"/>
        </w:rPr>
        <w:t>Espersen C et al.  ·  Lancet Healthy Longev  ·  17.09.2026  ·  PMID 42753782</w:t>
      </w:r>
    </w:p>
    <w:p>
      <w:r>
        <w:t>Prespecified Analyse der DANFLU-2-Studie mit 332.438 Personen ≥65 Jahren aus Dänemark verglich Hochdosis- vs. Standarddosis-Influenzavakzin nach Gebrechlichkeitsrisiko bezüglich Hospitalisierungen.</w:t>
      </w:r>
    </w:p>
    <w:p>
      <w:r>
        <w:rPr>
          <w:b/>
        </w:rPr>
        <w:t xml:space="preserve">Ergebnis: </w:t>
      </w:r>
      <w:r>
        <w:t>Bei niedriger Gebrechlichkeit: relative Vakzin-Effektivität (HD vs. SD) 0,2% (95% KI −10,8–10,2); bei mittlerer: 13,1% (−0,4–24,8); bei hoher: 19,9% (−10,3–42,1). Höhere Effektivitätsgewinne mit steigendem Gebrechlichkeitsrisiko, aber 95%-KIs überschreiten Null; Effekt-Modifikation nicht signifikant in vorgegebenen Kategorien.</w:t>
      </w:r>
    </w:p>
    <w:p>
      <w:r>
        <w:rPr>
          <w:b/>
          <w:sz w:val="19"/>
        </w:rPr>
        <w:t xml:space="preserve">Übertragbarkeit: </w:t>
      </w:r>
      <w:r>
        <w:rPr>
          <w:sz w:val="19"/>
        </w:rPr>
        <w:t>Dänemark, vergleichbares skandinavisches System mit Register und Krankenhausdaten</w:t>
      </w:r>
    </w:p>
    <w:p>
      <w:r>
        <w:rPr>
          <w:color w:val="5A7D3A"/>
          <w:sz w:val="18"/>
        </w:rPr>
        <w:t>https://pubmed.ncbi.nlm.nih.gov/42753782/</w:t>
      </w:r>
    </w:p>
    <w:p>
      <w:pPr>
        <w:pStyle w:val="Heading2"/>
      </w:pPr>
      <w:r>
        <w:t>Langzeitkomplikationen nach CAR-T-Zelltherapie: Infektionen und Sekundärmalignome überwiegen</w:t>
      </w:r>
    </w:p>
    <w:p>
      <w:r>
        <w:rPr>
          <w:i/>
          <w:color w:val="666666"/>
          <w:sz w:val="18"/>
        </w:rPr>
        <w:t>Eisenmann M et al.  ·  Curr Oncol  ·  01.08.2026  ·  PMID 42645366</w:t>
      </w:r>
    </w:p>
    <w:p>
      <w:r>
        <w:t>Scoping Review von 18 Primärstudien (2018 an) zu späten Nebenwirkungen (≥12 Monate nach Infusion) bei Patienten mit EMA-zugelassenen CAR-T-Produkten.</w:t>
      </w:r>
    </w:p>
    <w:p>
      <w:r>
        <w:rPr>
          <w:b/>
        </w:rPr>
        <w:t xml:space="preserve">Ergebnis: </w:t>
      </w:r>
      <w:r>
        <w:t>Spätkomplikationen konzentrierten sich auf Infektionen und Sekundärmalignome; Nicht-Rückfall-Mortalität in 7 Studien berichtet, Infektionen und Sekundärmalignome häufig als Todesursachen genannt; systematische Übersichtsarbeit ohne neue Ziffern, aber klare Kategorisierung der Evidenz.</w:t>
      </w:r>
    </w:p>
    <w:p>
      <w:r>
        <w:rPr>
          <w:b/>
          <w:sz w:val="19"/>
        </w:rPr>
        <w:t xml:space="preserve">Übertragbarkeit: </w:t>
      </w:r>
      <w:r>
        <w:rPr>
          <w:sz w:val="19"/>
        </w:rPr>
        <w:t>Europa, EMA-Daten, aber Übersicht ohne neue empirische Effekte – nur für Systemwissen</w:t>
      </w:r>
    </w:p>
    <w:p>
      <w:r>
        <w:rPr>
          <w:color w:val="5A7D3A"/>
          <w:sz w:val="18"/>
        </w:rPr>
        <w:t>https://pubmed.ncbi.nlm.nih.gov/42645366/</w:t>
      </w:r>
    </w:p>
    <w:p>
      <w:pPr>
        <w:pStyle w:val="Heading1"/>
      </w:pPr>
      <w:r>
        <w:t>Aufgenommen am 23.09.2026</w:t>
      </w:r>
    </w:p>
    <w:p>
      <w:pPr>
        <w:pStyle w:val="Heading2"/>
      </w:pPr>
      <w:r>
        <w:t>Impfkettenmanagement in koreanischen Gesundheitseinrichtungen: Defizite bei Temperaturüberwachung und Notstrom</w:t>
      </w:r>
    </w:p>
    <w:p>
      <w:r>
        <w:rPr>
          <w:i/>
          <w:color w:val="666666"/>
          <w:sz w:val="18"/>
        </w:rPr>
        <w:t>Kang CR et al.  ·  J Korean Med Sci  ·  21.09.2026  ·  PMID 42773072</w:t>
      </w:r>
    </w:p>
    <w:p>
      <w:r>
        <w:t>Nationale Querschnittserhebung zur Evaluierung der Impfkühllager-Praktiken in 53 südkoreanischen Immunisierungsanbietern (43 private Einrichtungen, 10 öffentliche Gesundheitszentren).</w:t>
      </w:r>
    </w:p>
    <w:p>
      <w:r>
        <w:rPr>
          <w:b/>
        </w:rPr>
        <w:t xml:space="preserve">Ergebnis: </w:t>
      </w:r>
      <w:r>
        <w:t>Alle Einrichtungen hatten dedizierte Impfkühlschränke (100 %), aber nur 73,6 % kontinuierliche Temperaturüberwachung auf allen Geräten; Alarmsysteme in 83,0 %; Notfallpläne in 52,8 %, regelmäßig getestet nur 40,9 %. Dokumentation und Entsorgung erfolgten regelkonform, aber Infrastruktur-Sicherheit ist lückenhaft.</w:t>
      </w:r>
    </w:p>
    <w:p>
      <w:r>
        <w:rPr>
          <w:b/>
          <w:sz w:val="19"/>
        </w:rPr>
        <w:t xml:space="preserve">Übertragbarkeit: </w:t>
      </w:r>
      <w:r>
        <w:rPr>
          <w:sz w:val="19"/>
        </w:rPr>
        <w:t>Südkorea, vergleichbare Infrastruktur-Herausforderungen, nicht direktes Deutschland-Modell</w:t>
      </w:r>
    </w:p>
    <w:p>
      <w:r>
        <w:rPr>
          <w:color w:val="5A7D3A"/>
          <w:sz w:val="18"/>
        </w:rPr>
        <w:t>https://pubmed.ncbi.nlm.nih.gov/42773072/</w:t>
      </w:r>
    </w:p>
    <w:p>
      <w:pPr>
        <w:pStyle w:val="Heading2"/>
      </w:pPr>
      <w:r>
        <w:t>COVID-19-Impfeffektivität: Test-negativ vs. Kohortenstudien liefern vergleichbare Ergebnisse</w:t>
      </w:r>
    </w:p>
    <w:p>
      <w:r>
        <w:rPr>
          <w:i/>
          <w:color w:val="666666"/>
          <w:sz w:val="18"/>
        </w:rPr>
        <w:t>Sukik L et al.  ·  Int J Epidemiol  ·  18.08.2026  ·  PMID 42772774</w:t>
      </w:r>
    </w:p>
    <w:p>
      <w:r>
        <w:t>Direkter Methodenvergleich: Test-negativ-Fall-Kontroll- vs. retrospektive Kohortenstudien zur COVID-19-Impfeffektivität in Katar mit identischer Population und Datenquelle.</w:t>
      </w:r>
    </w:p>
    <w:p>
      <w:r>
        <w:rPr>
          <w:b/>
        </w:rPr>
        <w:t xml:space="preserve">Ergebnis: </w:t>
      </w:r>
      <w:r>
        <w:t>BNT162b2-Effektivität gegen Infektion im Test-negativ-Design 71,0 % vs. Kohorten-Design 78,0 % (nach Korrektur für Testrate); gegen schwere COVID-19 96,3 % vs. 98,0 %. Beide Designs zeigten ähnliche Wirksamkeitsverluste. Methodische Unterschiede sind kleiner als erwartet.</w:t>
      </w:r>
    </w:p>
    <w:p>
      <w:r>
        <w:rPr>
          <w:b/>
          <w:sz w:val="19"/>
        </w:rPr>
        <w:t xml:space="preserve">Übertragbarkeit: </w:t>
      </w:r>
      <w:r>
        <w:rPr>
          <w:sz w:val="19"/>
        </w:rPr>
        <w:t>Katar (nicht Deutschland), aber Methodenvergleich für alle Impfstoff-Studien übertragbar</w:t>
      </w:r>
    </w:p>
    <w:p>
      <w:r>
        <w:rPr>
          <w:color w:val="5A7D3A"/>
          <w:sz w:val="18"/>
        </w:rPr>
        <w:t>https://pubmed.ncbi.nlm.nih.gov/42772774/</w:t>
      </w:r>
    </w:p>
    <w:p>
      <w:pPr>
        <w:pStyle w:val="Heading2"/>
      </w:pPr>
      <w:r>
        <w:t>WHO-Einfachdosis-Empfehlung für HPV-Impfung erhöhte Ländereinführungen um 22 weitere Länder</w:t>
      </w:r>
    </w:p>
    <w:p>
      <w:r>
        <w:rPr>
          <w:i/>
          <w:color w:val="666666"/>
          <w:sz w:val="18"/>
        </w:rPr>
        <w:t>Suh J et al.  ·  Expert Rev Vaccines  ·  22.09.2026  ·  PMID 42770688</w:t>
      </w:r>
    </w:p>
    <w:p>
      <w:r>
        <w:t>Analyse von Einflussfaktoren auf nationale HPV-Impfstoff-Einführungsraten in Ländern mit niedrigem und mittlerem Einkommen 2006–2025 mittels GLM und Changepoint-Analyse.</w:t>
      </w:r>
    </w:p>
    <w:p>
      <w:r>
        <w:rPr>
          <w:b/>
        </w:rPr>
        <w:t xml:space="preserve">Ergebnis: </w:t>
      </w:r>
      <w:r>
        <w:t>WHO-Einfachdosis-Empfehlung 2022 war der stärkste assoziierte Faktor; Gavi-Finanzierungserweiterung (2017–2025) auch bedeutsam. Modellprognosen: 22,46 zusätzliche nationale HPV-Impfstoff-Einführungen in LMIC allein durch die Einfachdosis-Empfehlung. Signifikanter Anstieg 2022.</w:t>
      </w:r>
    </w:p>
    <w:p>
      <w:r>
        <w:rPr>
          <w:b/>
          <w:sz w:val="19"/>
        </w:rPr>
        <w:t xml:space="preserve">Übertragbarkeit: </w:t>
      </w:r>
      <w:r>
        <w:rPr>
          <w:sz w:val="19"/>
        </w:rPr>
        <w:t>Globale Politikanalyse, zeigt Hebel für Impfprogramme weltweit, nicht Deutschland-spezifisch</w:t>
      </w:r>
    </w:p>
    <w:p>
      <w:r>
        <w:rPr>
          <w:color w:val="5A7D3A"/>
          <w:sz w:val="18"/>
        </w:rPr>
        <w:t>https://pubmed.ncbi.nlm.nih.gov/42770688/</w:t>
      </w:r>
    </w:p>
    <w:p>
      <w:pPr>
        <w:pStyle w:val="Heading2"/>
      </w:pPr>
      <w:r>
        <w:t>Impfablehnung in der Türkei: Eltern und Gesundheitspersonal berichten von Vertrauenskrise</w:t>
      </w:r>
    </w:p>
    <w:p>
      <w:r>
        <w:rPr>
          <w:i/>
          <w:color w:val="666666"/>
          <w:sz w:val="18"/>
        </w:rPr>
        <w:t>Sezer E et al.  ·  Front Public Health  ·  07.09.2026  ·  PMID 42769268</w:t>
      </w:r>
    </w:p>
    <w:p>
      <w:r>
        <w:t>Qualitative Studie mit 19 impfablehnenden Eltern und 21 Fachpersonen (Ärzte, Hebammen) zur Erkundung von Gründen und strukturellen Barrieren für Impfverweigerung in der Türkei 2017.</w:t>
      </w:r>
    </w:p>
    <w:p>
      <w:r>
        <w:rPr>
          <w:b/>
        </w:rPr>
        <w:t xml:space="preserve">Ergebnis: </w:t>
      </w:r>
      <w:r>
        <w:t>Vier zentrale ethische Spannungsfelder: (1) Lücke zwischen informierter Ablehnung und uninformierter Wahl durch Informationsasymmetrie; (2) Vertrauenskrise in Gesundheitsinstitutionen durch leistungsbasierte Bezahlung von Ärzten; (3) Konflikt zwischen religiöser und medizinischer Autorität; (4) angefochtene elterliche Autonomie in patriarchalen Strukturen. Leistungsbezahlte Ärzte dokumentieren lieber, als dass sie Gespräche führen.</w:t>
      </w:r>
    </w:p>
    <w:p>
      <w:r>
        <w:rPr>
          <w:b/>
          <w:sz w:val="19"/>
        </w:rPr>
        <w:t xml:space="preserve">Übertragbarkeit: </w:t>
      </w:r>
      <w:r>
        <w:rPr>
          <w:sz w:val="19"/>
        </w:rPr>
        <w:t>Türkei (LMIC), strukturelle Probleme aber in allen Systemen mit Leistungsvergütung relevant</w:t>
      </w:r>
    </w:p>
    <w:p>
      <w:r>
        <w:rPr>
          <w:color w:val="5A7D3A"/>
          <w:sz w:val="18"/>
        </w:rPr>
        <w:t>https://pubmed.ncbi.nlm.nih.gov/42769268/</w:t>
      </w:r>
    </w:p>
    <w:p>
      <w:pPr>
        <w:pStyle w:val="Heading2"/>
      </w:pPr>
      <w:r>
        <w:t>Adenovirus-Serotyp-Wechsel steigerte Ebola-Impfstoff-Immunantwort in Mäusen</w:t>
      </w:r>
    </w:p>
    <w:p>
      <w:r>
        <w:rPr>
          <w:i/>
          <w:color w:val="666666"/>
          <w:sz w:val="18"/>
        </w:rPr>
        <w:t>Wiggins J et al.  ·  J Med Virol  ·  Sept. 2026  ·  PMID 42765626</w:t>
      </w:r>
    </w:p>
    <w:p>
      <w:r>
        <w:t>Vergleichende Laborstu die mit verschiedenen Adenovirus-Vektoren und Immunisierungsrouten zur Optimierung der Ebolavirus-Glykoproteinin-Immunogenität.</w:t>
      </w:r>
    </w:p>
    <w:p>
      <w:r>
        <w:rPr>
          <w:b/>
        </w:rPr>
        <w:t xml:space="preserve">Ergebnis: </w:t>
      </w:r>
      <w:r>
        <w:t>Species-C-Vektoren (Ad5, Ad6) zeigten starke Antikörperreaktionen und schnelle Klassenumwandlung zu IgG im Vergleich zu Species B und D. Serotyp-Wechsel-Schemata erhöhten Antikörperniveaus und erzeugte robuste T-Zell-Reaktionen bei intramuskulärer Gabe. Intranasale Gabe induzierte nachweisbares IgA, aber keine messbaren T-Zell-Antworten – routenabhängige Immunkompartimentalisierung.</w:t>
      </w:r>
    </w:p>
    <w:p>
      <w:r>
        <w:rPr>
          <w:b/>
          <w:sz w:val="19"/>
        </w:rPr>
        <w:t xml:space="preserve">Übertragbarkeit: </w:t>
      </w:r>
      <w:r>
        <w:rPr>
          <w:sz w:val="19"/>
        </w:rPr>
        <w:t>Präklinische Mausstudien, Impfstoff-Entwicklungsphase, keine direkten Versorgungsdaten</w:t>
      </w:r>
    </w:p>
    <w:p>
      <w:r>
        <w:rPr>
          <w:color w:val="5A7D3A"/>
          <w:sz w:val="18"/>
        </w:rPr>
        <w:t>https://pubmed.ncbi.nlm.nih.gov/42765626/</w:t>
      </w:r>
    </w:p>
    <w:p>
      <w:pPr>
        <w:pStyle w:val="Heading2"/>
      </w:pPr>
      <w:r>
        <w:t>MMR-Impf-Anaphylaxie durch Schweineglatine: Fallbericht und praktische Empfehlungen</w:t>
      </w:r>
    </w:p>
    <w:p>
      <w:r>
        <w:rPr>
          <w:i/>
          <w:color w:val="666666"/>
          <w:sz w:val="18"/>
        </w:rPr>
        <w:t>Iordachescu M et al.  ·  Rev Med Liege  ·  Sept. 2026  ·  PMID 42751843</w:t>
      </w:r>
    </w:p>
    <w:p>
      <w:r>
        <w:t>Zwei pädiatrische Fallberichte von Anaphylaxie nach M-M-RVaxPro®-Impfung, zugeordnet der Schweineglatine (14,5 mg/Dosis) als Stabilisator.</w:t>
      </w:r>
    </w:p>
    <w:p>
      <w:r>
        <w:rPr>
          <w:b/>
        </w:rPr>
        <w:t xml:space="preserve">Ergebnis: </w:t>
      </w:r>
      <w:r>
        <w:t>Beide Patienten entwickelten schwere Reaktionen nach Auffrischung mit positiven Haut- und Bluttests für Gelatin; Allergien gegen Neomycin, Latex und Chlorhexidin ausgeschlossen. Empfehlungen: Vermeidung gelatinehaltiger Impfstoffe, Substitution mit gelatinefreien Alternativen (Priorix®), orale Herausforderungsprobe für Lebensmitteltoleranz, Epinephrin-Notfallset, Spitalüberwachung bei Mastzellstörungen.</w:t>
      </w:r>
    </w:p>
    <w:p>
      <w:r>
        <w:rPr>
          <w:b/>
          <w:sz w:val="19"/>
        </w:rPr>
        <w:t xml:space="preserve">Übertragbarkeit: </w:t>
      </w:r>
      <w:r>
        <w:rPr>
          <w:sz w:val="19"/>
        </w:rPr>
        <w:t>Belgien, europäische Fallberichte, Sicherheitserkenntnis für alle Mastzell-Erkrankungen</w:t>
      </w:r>
    </w:p>
    <w:p>
      <w:r>
        <w:rPr>
          <w:color w:val="5A7D3A"/>
          <w:sz w:val="18"/>
        </w:rPr>
        <w:t>https://pubmed.ncbi.nlm.nih.gov/42751843/</w:t>
      </w:r>
    </w:p>
    <w:p>
      <w:pPr>
        <w:pStyle w:val="Heading2"/>
      </w:pPr>
      <w:r>
        <w:t>RSV-Impfstoff verhinderte 70 % der Hospitalisierungen bei Erwachsenen</w:t>
      </w:r>
    </w:p>
    <w:p>
      <w:r>
        <w:rPr>
          <w:i/>
          <w:color w:val="666666"/>
          <w:sz w:val="18"/>
        </w:rPr>
        <w:t>Lassen MCH et al.  ·  NEJM Evid  ·  29.08.2026  ·  PMID 42666095</w:t>
      </w:r>
    </w:p>
    <w:p>
      <w:r>
        <w:t>Pragmatische randomisierte Studie zum Schutz der bivalenten RSV-Präfusion-F-Impfung vor RSV-Hospitalisierung in Dänemark und Spanien.</w:t>
      </w:r>
    </w:p>
    <w:p>
      <w:r>
        <w:rPr>
          <w:b/>
        </w:rPr>
        <w:t xml:space="preserve">Ergebnis: </w:t>
      </w:r>
      <w:r>
        <w:t>Von 513.358 randomisierten Teilnehmern lag die Impfeffektivität gegen RSV-Atemwegserkrankungen-Hospitalisierung bei 70,3 % (95 %-KI 49,7–83,2), gegen untere Atemwege bei 71,1 % (45,4–85,7). Schwere Nebenwirkungen traten in 2,0 % der Impfgruppe vs. 2,2 % der Kontrollgruppe auf – ein wirksamer und sicherer Impfstoff unter Alltagsbedingungen.</w:t>
      </w:r>
    </w:p>
    <w:p>
      <w:r>
        <w:rPr>
          <w:b/>
          <w:sz w:val="19"/>
        </w:rPr>
        <w:t xml:space="preserve">Übertragbarkeit: </w:t>
      </w:r>
      <w:r>
        <w:rPr>
          <w:sz w:val="19"/>
        </w:rPr>
        <w:t>Dänemark/Spanien, nationale Versicherungsdaten und Routineüberwachung, nicht USA-abhängig</w:t>
      </w:r>
    </w:p>
    <w:p>
      <w:r>
        <w:rPr>
          <w:color w:val="5A7D3A"/>
          <w:sz w:val="18"/>
        </w:rPr>
        <w:t>https://pubmed.ncbi.nlm.nih.gov/42666095/</w:t>
      </w:r>
    </w:p>
    <w:p>
      <w:pPr>
        <w:pStyle w:val="Heading1"/>
      </w:pPr>
      <w:r>
        <w:t>Aufgenommen am 22.09.2026</w:t>
      </w:r>
    </w:p>
    <w:p>
      <w:pPr>
        <w:pStyle w:val="Heading2"/>
      </w:pPr>
      <w:r>
        <w:t>Impfbelastung bei Kindern senken: Leitlinie 2026 zu Schmerz und Angst</w:t>
      </w:r>
    </w:p>
    <w:p>
      <w:r>
        <w:rPr>
          <w:i/>
          <w:color w:val="666666"/>
          <w:sz w:val="18"/>
        </w:rPr>
        <w:t>Taddio A et al.  ·  CMAJ  ·  20.09.2026  ·  PMID 42767684</w:t>
      </w:r>
    </w:p>
    <w:p>
      <w:r>
        <w:t>Systematische Übersichtsarbeiten zu 16 evidenzgestützten Empfehlungen gegen Impfangst und Schmerzen in fünf Domänen (Prozess, Technik, Körperlage, Medikament, Psychologie).</w:t>
      </w:r>
    </w:p>
    <w:p>
      <w:r>
        <w:rPr>
          <w:b/>
        </w:rPr>
        <w:t xml:space="preserve">Ergebnis: </w:t>
      </w:r>
      <w:r>
        <w:t>7 starke Empfehlungen mit moderater bis hoher Evidenz (z. B. mehrkomponentige Prozessinterventionen, orale Ernährung für Säuglinge); 9 bedingte Empfehlungen bei niedriger Evidenz. Empfehlungen zielgruppenspezifisch für Fachpersonen, Impflinge und Angehörige.</w:t>
      </w:r>
    </w:p>
    <w:p>
      <w:r>
        <w:rPr>
          <w:b/>
          <w:sz w:val="19"/>
        </w:rPr>
        <w:t xml:space="preserve">Übertragbarkeit: </w:t>
      </w:r>
      <w:r>
        <w:rPr>
          <w:sz w:val="19"/>
        </w:rPr>
        <w:t>Kanada, GRADE-Methodik, Impfpraxis in Hocheinkommensländern.</w:t>
      </w:r>
    </w:p>
    <w:p>
      <w:r>
        <w:rPr>
          <w:color w:val="5A7D3A"/>
          <w:sz w:val="18"/>
        </w:rPr>
        <w:t>https://pubmed.ncbi.nlm.nih.gov/42767684/</w:t>
      </w:r>
    </w:p>
    <w:p>
      <w:pPr>
        <w:pStyle w:val="Heading2"/>
      </w:pPr>
      <w:r>
        <w:t>HPV-Impfbereitschaft bei Frauen in Sierra Leone: hohe Akzeptanz trotz Wissenslücken</w:t>
      </w:r>
    </w:p>
    <w:p>
      <w:r>
        <w:rPr>
          <w:i/>
          <w:color w:val="666666"/>
          <w:sz w:val="18"/>
        </w:rPr>
        <w:t>Everman S et al.  ·  J Health Care Poor Underserved  ·  2026  ·  PMID 42766516</w:t>
      </w:r>
    </w:p>
    <w:p>
      <w:r>
        <w:t>Querschnittsstudie zur Akzeptanz der HPV-Impfung bei 189 Frauen in ländlichen und städtischen Gegenden Sierra Leones, untersucht Wissen über Gebärmutterhalskrebs und Impfverhalten.</w:t>
      </w:r>
    </w:p>
    <w:p>
      <w:r>
        <w:rPr>
          <w:b/>
        </w:rPr>
        <w:t xml:space="preserve">Ergebnis: </w:t>
      </w:r>
      <w:r>
        <w:t>Geringe Awareness für Gebärmutterhalskrebs und HPV-Impfung. Breite Willingness zur Impfung. Statistisch signifikante positive Assoziation zwischen formaler Bildung und Impfbereitschaft (p &lt; 0,01). Starke Präferenz für Schulmedizin.</w:t>
      </w:r>
    </w:p>
    <w:p>
      <w:r>
        <w:rPr>
          <w:b/>
          <w:sz w:val="19"/>
        </w:rPr>
        <w:t xml:space="preserve">Übertragbarkeit: </w:t>
      </w:r>
      <w:r>
        <w:rPr>
          <w:sz w:val="19"/>
        </w:rPr>
        <w:t>Wenig entwickelte Region, Impfakzeptanz ist Ausgangspunkt für Programmentwicklung.</w:t>
      </w:r>
    </w:p>
    <w:p>
      <w:r>
        <w:rPr>
          <w:color w:val="5A7D3A"/>
          <w:sz w:val="18"/>
        </w:rPr>
        <w:t>https://pubmed.ncbi.nlm.nih.gov/42766516/</w:t>
      </w:r>
    </w:p>
    <w:p>
      <w:pPr>
        <w:pStyle w:val="Heading2"/>
      </w:pPr>
      <w:r>
        <w:t>Saisonimpfung vor A(H5)-Impfung: marginal additivem Nutzen gegen pandemisches H5N1-Risiko</w:t>
      </w:r>
    </w:p>
    <w:p>
      <w:r>
        <w:rPr>
          <w:i/>
          <w:color w:val="666666"/>
          <w:sz w:val="18"/>
        </w:rPr>
        <w:t>Hatta M et al.  ·  Emerg Microbes Infect  ·  21.09.2026  ·  PMID 42765371</w:t>
      </w:r>
    </w:p>
    <w:p>
      <w:r>
        <w:t>Maus- und Frettchen-Modellstudie mit pandemischen H5N1-Viren (Klade 2.3.4.4b) zur Frage, ob saisonale Influenza-Impfung vor A(H5)-Impfung die Schutzwirkung verbessert.</w:t>
      </w:r>
    </w:p>
    <w:p>
      <w:r>
        <w:rPr>
          <w:b/>
        </w:rPr>
        <w:t xml:space="preserve">Ergebnis: </w:t>
      </w:r>
      <w:r>
        <w:t>Saisonale Impfung induzierte keine Antikörper gegen A(H5). Saisonale Impfung vor A(H5)-Impfung war in 1 von 3 Maus-Experimenten mit besseren Outcomes assoziiert, nicht aber in den anderen 2 Maus-Experimenten oder bei Frettchen. Begrenzte additive Vorteile.</w:t>
      </w:r>
    </w:p>
    <w:p>
      <w:r>
        <w:rPr>
          <w:b/>
          <w:sz w:val="19"/>
        </w:rPr>
        <w:t xml:space="preserve">Übertragbarkeit: </w:t>
      </w:r>
      <w:r>
        <w:rPr>
          <w:sz w:val="19"/>
        </w:rPr>
        <w:t>Präklinische Modelle, Pandemiebereitscha Deutschland für Ressourcenpriorisierung.</w:t>
      </w:r>
    </w:p>
    <w:p>
      <w:r>
        <w:rPr>
          <w:color w:val="5A7D3A"/>
          <w:sz w:val="18"/>
        </w:rPr>
        <w:t>https://pubmed.ncbi.nlm.nih.gov/42765371/</w:t>
      </w:r>
    </w:p>
    <w:p>
      <w:pPr>
        <w:pStyle w:val="Heading2"/>
      </w:pPr>
      <w:r>
        <w:t>Influenza- und Pneumokokken-Impfungen in Südafrika 2017–2021: COVID-19 beeinflusste Versorgungsmuster</w:t>
      </w:r>
    </w:p>
    <w:p>
      <w:r>
        <w:rPr>
          <w:i/>
          <w:color w:val="666666"/>
          <w:sz w:val="18"/>
        </w:rPr>
        <w:t>Truter I et al.  ·  Pharmacoepidemiol Drug Saf  ·  Okt. 2026  ·  PMID 42764173</w:t>
      </w:r>
    </w:p>
    <w:p>
      <w:r>
        <w:t>Longitudinale pharmakoepidemiologische Studie zu Abgabemengen von Influenza- und Pneumokokken-Impfstoffen in privaten Krankenversicherungsdaten Südafrikas (3,8 Mio. Versicherte).</w:t>
      </w:r>
    </w:p>
    <w:p>
      <w:r>
        <w:rPr>
          <w:b/>
        </w:rPr>
        <w:t xml:space="preserve">Ergebnis: </w:t>
      </w:r>
      <w:r>
        <w:t>Jährliche Abgabemuster unterschieden sich signifikant (p &lt; 0,01), Influenza-Impfung hauptsächlich März–Juni. Post-COVID-19 (2020–2021): signifikant mehr Influenza-Impfungen März–Juni (p &lt; 0,01), leichte Zunahme Pneumokokken-Impfungen (p &lt; 0,05). COVID-19-Impfung hatte insgesamt keinen signifikanten Effekt auf die Muster.</w:t>
      </w:r>
    </w:p>
    <w:p>
      <w:r>
        <w:rPr>
          <w:b/>
          <w:sz w:val="19"/>
        </w:rPr>
        <w:t xml:space="preserve">Übertragbarkeit: </w:t>
      </w:r>
      <w:r>
        <w:rPr>
          <w:sz w:val="19"/>
        </w:rPr>
        <w:t>Südafrika, Versicherungsdaten, Versorgungsrealität im Privatsektor.</w:t>
      </w:r>
    </w:p>
    <w:p>
      <w:r>
        <w:rPr>
          <w:color w:val="5A7D3A"/>
          <w:sz w:val="18"/>
        </w:rPr>
        <w:t>https://pubmed.ncbi.nlm.nih.gov/42764173/</w:t>
      </w:r>
    </w:p>
    <w:p>
      <w:pPr>
        <w:pStyle w:val="Heading2"/>
      </w:pPr>
      <w:r>
        <w:t>Influenza-Impfeffektivität bei Kindern in der Primärversorgung: 79 % Schutz vor laborbestätigter Erkrankung</w:t>
      </w:r>
    </w:p>
    <w:p>
      <w:r>
        <w:rPr>
          <w:i/>
          <w:color w:val="666666"/>
          <w:sz w:val="18"/>
        </w:rPr>
        <w:t>Barretta M et al.  ·  Clin Microbiol Infect  ·  11.07.2026  ·  PMID 42435855</w:t>
      </w:r>
    </w:p>
    <w:p>
      <w:r>
        <w:t>Multizenterstudie unter italienischen Kinderärzten zur Influenza-Impfeffektivität in der ambulanten Versorgung während der Saison 2024/2025.</w:t>
      </w:r>
    </w:p>
    <w:p>
      <w:r>
        <w:rPr>
          <w:b/>
        </w:rPr>
        <w:t xml:space="preserve">Ergebnis: </w:t>
      </w:r>
      <w:r>
        <w:t>79 % Reduktion von laborbestätigter Influenza bei geimpften vs. ungeimpften Kindern (95%-KI: 70–86 %). Kohorten-Analyse zeigte 76 % VE (95%-KI: 67–82 %). Effektivität konsistent für unterschiedliche Impfstofftypen und Testmethoden. Kein Schutz vor nicht-influenzabedingten Atemwegsinfekten.</w:t>
      </w:r>
    </w:p>
    <w:p>
      <w:r>
        <w:rPr>
          <w:b/>
          <w:sz w:val="19"/>
        </w:rPr>
        <w:t xml:space="preserve">Übertragbarkeit: </w:t>
      </w:r>
      <w:r>
        <w:rPr>
          <w:sz w:val="19"/>
        </w:rPr>
        <w:t>Italien, vergleichbare pädiatrische Versorgungsstrukturen, Praxisdaten.</w:t>
      </w:r>
    </w:p>
    <w:p>
      <w:r>
        <w:rPr>
          <w:color w:val="5A7D3A"/>
          <w:sz w:val="18"/>
        </w:rPr>
        <w:t>https://pubmed.ncbi.nlm.nih.gov/42435855/</w:t>
      </w:r>
    </w:p>
    <w:p>
      <w:pPr>
        <w:pStyle w:val="Heading1"/>
      </w:pPr>
      <w:r>
        <w:t>Aufgenommen am 21.09.2026</w:t>
      </w:r>
    </w:p>
    <w:p>
      <w:pPr>
        <w:pStyle w:val="Heading2"/>
      </w:pPr>
      <w:r>
        <w:t>Impfstoffsicherheit: Meningokokken-B und Routineimpfungen bei Säuglingen</w:t>
      </w:r>
    </w:p>
    <w:p>
      <w:r>
        <w:rPr>
          <w:i/>
          <w:color w:val="666666"/>
          <w:sz w:val="18"/>
        </w:rPr>
        <w:t>Nguyen T et al.  ·  Med J Aust  ·  Sept. 2026  ·  PMID 42764145</w:t>
      </w:r>
    </w:p>
    <w:p>
      <w:r>
        <w:t>Die Studie vergleicht Sicherheit und Reaktionen bei gleichzeitiger oder separater Verabreichung von Meningokokken-B-Impfstoff mit anderen Säuglingsimpfungen an 2-, 4-, 6- und 12 Monaten.</w:t>
      </w:r>
    </w:p>
    <w:p>
      <w:r>
        <w:rPr>
          <w:b/>
        </w:rPr>
        <w:t xml:space="preserve">Ergebnis: </w:t>
      </w:r>
      <w:r>
        <w:t>Bei 10.959 Säuglingen war die kumulative Rate unerwünschter Ereignisse nach gleichzeitiger Gabe bei 2 Monaten niedriger (29 % vs. 35 %, Risikodifferenz −6,7 %), bei 4, 6 und 12 Monaten vergleichbar. Ärztliche Konsultationen waren bei 12 Monaten unter gleichzeitiger Gabe seltener (4,1 % vs. 6,3 %). Separate Verabreichung reduziert nicht, kann aber die Reaktionslast erhöhen.</w:t>
      </w:r>
    </w:p>
    <w:p>
      <w:r>
        <w:rPr>
          <w:b/>
          <w:sz w:val="19"/>
        </w:rPr>
        <w:t xml:space="preserve">Übertragbarkeit: </w:t>
      </w:r>
      <w:r>
        <w:rPr>
          <w:sz w:val="19"/>
        </w:rPr>
        <w:t>Australien, vergleichbare Surveillance-Methodik über Online-Befragung anwendbar</w:t>
      </w:r>
    </w:p>
    <w:p>
      <w:r>
        <w:rPr>
          <w:color w:val="5A7D3A"/>
          <w:sz w:val="18"/>
        </w:rPr>
        <w:t>https://pubmed.ncbi.nlm.nih.gov/42764145/</w:t>
      </w:r>
    </w:p>
    <w:p>
      <w:pPr>
        <w:pStyle w:val="Heading2"/>
      </w:pPr>
      <w:r>
        <w:t>SARS-CoV-2 Langzeitschutz: MVA-Impfung erreicht mRNA-Niveau</w:t>
      </w:r>
    </w:p>
    <w:p>
      <w:r>
        <w:rPr>
          <w:i/>
          <w:color w:val="666666"/>
          <w:sz w:val="18"/>
        </w:rPr>
        <w:t>Pérez P et al.  ·  Front Immunol  ·  31.08.2026  ·  PMID 42741364</w:t>
      </w:r>
    </w:p>
    <w:p>
      <w:r>
        <w:t>Studie vergleicht Langzeitimmunität und Schutzwirkung nach homologer oder heterologer mRNA- und MVA-Impfung gegen XBB.1.5 in K18-hACE2-Mäusen über 9 Monate.</w:t>
      </w:r>
    </w:p>
    <w:p>
      <w:r>
        <w:rPr>
          <w:b/>
        </w:rPr>
        <w:t xml:space="preserve">Ergebnis: </w:t>
      </w:r>
      <w:r>
        <w:t>Alle Zwei-Dosen-Regimen reduzierten viral RNA und infektiöse Viruslast in oberen und unteren Atemwegen nach Challenge markant und vergleichbar. Bindungs-IgG blieb über 9 Monate hoch, neutralisierende Antikörper nahmen ab. mRNA/MVA-Heterologer Regimen zeigte Trend zu besserer CD8+-T-Zell-Persistenz. MVA als thermostabiler und kostengünstiger Kandidat bestätigt.</w:t>
      </w:r>
    </w:p>
    <w:p>
      <w:r>
        <w:rPr>
          <w:b/>
          <w:sz w:val="19"/>
        </w:rPr>
        <w:t xml:space="preserve">Übertragbarkeit: </w:t>
      </w:r>
      <w:r>
        <w:rPr>
          <w:sz w:val="19"/>
        </w:rPr>
        <w:t>Experimentell in Mäusen; Strategie für globale thermostabile Impfstoffversorgung relevant</w:t>
      </w:r>
    </w:p>
    <w:p>
      <w:r>
        <w:rPr>
          <w:color w:val="5A7D3A"/>
          <w:sz w:val="18"/>
        </w:rPr>
        <w:t>https://pubmed.ncbi.nlm.nih.gov/42741364/</w:t>
      </w:r>
    </w:p>
    <w:p>
      <w:pPr>
        <w:pStyle w:val="Heading2"/>
      </w:pPr>
      <w:r>
        <w:t>Digitale Impfdienste in Impfzentren: Strategien zur Effizienzsteigerung</w:t>
      </w:r>
    </w:p>
    <w:p>
      <w:r>
        <w:rPr>
          <w:i/>
          <w:color w:val="666666"/>
          <w:sz w:val="18"/>
        </w:rPr>
        <w:t>Song YF et al.  ·  Zhonghua Yu Fang Yi Xue Za Zhi  ·  06.09.2026  ·  PMID 42736157</w:t>
      </w:r>
    </w:p>
    <w:p>
      <w:r>
        <w:t>Chinesische Systemanalyse zu Strategien und Praktiken für digitale Services in Impfzentren, um Versorgungsqualität und Effizienz zu verbessern.</w:t>
      </w:r>
    </w:p>
    <w:p>
      <w:r>
        <w:rPr>
          <w:b/>
        </w:rPr>
        <w:t xml:space="preserve">Ergebnis: </w:t>
      </w:r>
      <w:r>
        <w:t>Artikel definiert digitale Impfdienste systematisch als Antwort auf steigende Impfstoffvielfalt, höhere Bevölkerungsmobilität und diversifizierte Impfbedarfe. Hauptkomponenten sind digitale Verwaltung, Planung und Patientenmanagement. Implementierungsempfehlungen zielen auf Verbesserung von Verwaltungseffizienz und Servicequalität.</w:t>
      </w:r>
    </w:p>
    <w:p>
      <w:r>
        <w:rPr>
          <w:b/>
          <w:sz w:val="19"/>
        </w:rPr>
        <w:t xml:space="preserve">Übertragbarkeit: </w:t>
      </w:r>
      <w:r>
        <w:rPr>
          <w:sz w:val="19"/>
        </w:rPr>
        <w:t>China; Systemansatz übertragbar auf Optimierung der Impflogistik in Gesundheitssystemen</w:t>
      </w:r>
    </w:p>
    <w:p>
      <w:r>
        <w:rPr>
          <w:color w:val="5A7D3A"/>
          <w:sz w:val="18"/>
        </w:rPr>
        <w:t>https://pubmed.ncbi.nlm.nih.gov/42736157/</w:t>
      </w:r>
    </w:p>
    <w:p>
      <w:pPr>
        <w:pStyle w:val="Heading2"/>
      </w:pPr>
      <w:r>
        <w:t>Dengue- und Chikungunya-Impfstoffe: Verfügbarkeit und Versorgungslücken</w:t>
      </w:r>
    </w:p>
    <w:p>
      <w:r>
        <w:rPr>
          <w:i/>
          <w:color w:val="666666"/>
          <w:sz w:val="18"/>
        </w:rPr>
        <w:t>Tee KK et al.  ·  Hum Vaccin Immunother  ·  10.09.2026  ·  PMID 42720969</w:t>
      </w:r>
    </w:p>
    <w:p>
      <w:r>
        <w:t>Analyse der Lücke zwischen Impfstoffverfügbarkeit nach regulativer Zulassung und tatsächlicher Aufnahme in nationale Impfprogramme in Ländern mit Übertragungsrisiko.</w:t>
      </w:r>
    </w:p>
    <w:p>
      <w:r>
        <w:rPr>
          <w:b/>
        </w:rPr>
        <w:t xml:space="preserve">Ergebnis: </w:t>
      </w:r>
      <w:r>
        <w:t>Dengue- und Chikungunya-Impfstoffe sind verfügbar, aber ihre Aufnahme in nationale Programme in vielen Hochrisiko-Ländern bleibt begrenzt oder ungleich verteilt. Die zentrale Herausforderung liegt nicht nur in der Verfügbarkeit, sondern in einem mehrschichtigen Zugangsdefizit: initiale Verfügbarkeit, anhaltende Bereitstellung und Anpassung an Übertragungsrisiko.</w:t>
      </w:r>
    </w:p>
    <w:p>
      <w:r>
        <w:rPr>
          <w:b/>
          <w:sz w:val="19"/>
        </w:rPr>
        <w:t xml:space="preserve">Übertragbarkeit: </w:t>
      </w:r>
      <w:r>
        <w:rPr>
          <w:sz w:val="19"/>
        </w:rPr>
        <w:t>Globale Perspektive; übertragbar auf Systemfähigkeit und Priorisierung in Gesundheitssystemen</w:t>
      </w:r>
    </w:p>
    <w:p>
      <w:r>
        <w:rPr>
          <w:color w:val="5A7D3A"/>
          <w:sz w:val="18"/>
        </w:rPr>
        <w:t>https://pubmed.ncbi.nlm.nih.gov/42720969/</w:t>
      </w:r>
    </w:p>
    <w:p>
      <w:pPr>
        <w:pStyle w:val="Heading2"/>
      </w:pPr>
      <w:r>
        <w:t>Impfstoff-Notfallreserven: Globales System entwickelt sich weiter</w:t>
      </w:r>
    </w:p>
    <w:p>
      <w:r>
        <w:rPr>
          <w:i/>
          <w:color w:val="666666"/>
          <w:sz w:val="18"/>
        </w:rPr>
        <w:t>Walldorf JA et al.  ·  Expert Rev Vaccines  ·  10.09.2026  ·  PMID 42717903</w:t>
      </w:r>
    </w:p>
    <w:p>
      <w:r>
        <w:t>Übersicht über die Entwicklung globaler Impfstoff-Stockpile-Strategien von 2014–2025 für Cholera, Gelbfieber, Polio, Meningokokken, COVID-19, Ebola und Mpox.</w:t>
      </w:r>
    </w:p>
    <w:p>
      <w:r>
        <w:rPr>
          <w:b/>
        </w:rPr>
        <w:t xml:space="preserve">Ergebnis: </w:t>
      </w:r>
      <w:r>
        <w:t>Globale Stockpile wurden für mehrere Impfstoffe etabliert. Die Strategie hat sich von reaktiv zu integriert entwickelt und verbindet Notfallreaktion mit Präventionsstrategie. Beschleunigte Impfstoffentwicklung erfordert effiziente und transparente Stockpile-Verwaltung für gerechte, bedarfsgerechte Verteilung.</w:t>
      </w:r>
    </w:p>
    <w:p>
      <w:r>
        <w:rPr>
          <w:b/>
          <w:sz w:val="19"/>
        </w:rPr>
        <w:t xml:space="preserve">Übertragbarkeit: </w:t>
      </w:r>
      <w:r>
        <w:rPr>
          <w:sz w:val="19"/>
        </w:rPr>
        <w:t>Governance und Versorgungslogistik; System betrifft Deutschland als Teilnehmer globaler Netzwerke</w:t>
      </w:r>
    </w:p>
    <w:p>
      <w:r>
        <w:rPr>
          <w:color w:val="5A7D3A"/>
          <w:sz w:val="18"/>
        </w:rPr>
        <w:t>https://pubmed.ncbi.nlm.nih.gov/42717903/</w:t>
      </w:r>
    </w:p>
    <w:p>
      <w:pPr>
        <w:pStyle w:val="Heading2"/>
      </w:pPr>
      <w:r>
        <w:t>BNT162b2-mRNA-Impfung: Plasmazytoide dendritische Zellen lenken Immunantwort</w:t>
      </w:r>
    </w:p>
    <w:p>
      <w:r>
        <w:rPr>
          <w:i/>
          <w:color w:val="666666"/>
          <w:sz w:val="18"/>
        </w:rPr>
        <w:t>Pizzichetti C et al.  ·  EBioMedicine  ·  21.08.2026  ·  PMID 42628376</w:t>
      </w:r>
    </w:p>
    <w:p>
      <w:r>
        <w:t>Vorklinische Mausstudie zur Rolle plasmatischer dendritischer Zellen (pDCs) bei humoralen und CD8+-T-Zell-Gedächtnisantworten nach BNT162b2-Impfung.</w:t>
      </w:r>
    </w:p>
    <w:p>
      <w:r>
        <w:rPr>
          <w:b/>
        </w:rPr>
        <w:t xml:space="preserve">Ergebnis: </w:t>
      </w:r>
      <w:r>
        <w:t>BNT162b2 wurde schnell zu drainierenden Lymphknoten transportiert, wo es hauptsächlich von Leukozyten aufgenommen wurde, die daraufhin Spike-Protein exprimierten. pDCs zeigten sich als Regulatoren entzündlicher und humoraler Immunantworten. Single-Cell-Transkriptomik offenbarte aktive Interaktionen zwischen pDCs und CD8+-T-Zellen; funktionelle Studien bestätigten, dass pDCs CD8+-T-Zell-Aktivierung und -Expansion fördern.</w:t>
      </w:r>
    </w:p>
    <w:p>
      <w:r>
        <w:rPr>
          <w:b/>
          <w:sz w:val="19"/>
        </w:rPr>
        <w:t xml:space="preserve">Übertragbarkeit: </w:t>
      </w:r>
      <w:r>
        <w:rPr>
          <w:sz w:val="19"/>
        </w:rPr>
        <w:t>Vorklinisch; Mechanismusverständnis der mRNA-Impfstoffwirksamkeit</w:t>
      </w:r>
    </w:p>
    <w:p>
      <w:r>
        <w:rPr>
          <w:color w:val="5A7D3A"/>
          <w:sz w:val="18"/>
        </w:rPr>
        <w:t>https://pubmed.ncbi.nlm.nih.gov/42628376/</w:t>
      </w:r>
    </w:p>
    <w:p>
      <w:pPr>
        <w:pStyle w:val="Heading1"/>
      </w:pPr>
      <w:r>
        <w:t>Aufgenommen am 20.09.2026</w:t>
      </w:r>
    </w:p>
    <w:p>
      <w:pPr>
        <w:pStyle w:val="Heading2"/>
      </w:pPr>
      <w:r>
        <w:t>COVID-19-Impfquote bei Lebertransplantierten: 84,9% mit stabiler psychosozialer Gesundheit</w:t>
      </w:r>
    </w:p>
    <w:p>
      <w:r>
        <w:rPr>
          <w:i/>
          <w:color w:val="666666"/>
          <w:sz w:val="18"/>
        </w:rPr>
        <w:t>Akbulut S et al.  ·  Front Public Health  ·  04.09.2026  ·  PMID 42761137</w:t>
      </w:r>
    </w:p>
    <w:p>
      <w:r>
        <w:t>Querschnittsstudie von 311 Lebertransplantierten in der Türkei zu Impfstatus, Impfakzeptanz, Hesitanz, Präventionsverhalten und psychosozialer Gesundheit.</w:t>
      </w:r>
    </w:p>
    <w:p>
      <w:r>
        <w:rPr>
          <w:b/>
        </w:rPr>
        <w:t xml:space="preserve">Ergebnis: </w:t>
      </w:r>
      <w:r>
        <w:t>84,9% Impfquote; Hauptgründe: Empfehlungen von Fachleuten (p=n.s.), wahrgenommene höhere Mortalität chronisch Kranker. Hesitanz wegen unzureichender Effektivitäts- und Sicherheitsdaten, Anti-Impf-Inhalte in sozialen Medien. Psychosoziales Wohlbefinden assoziiert mit Einkommen, Immunsuppression und Informationsquellen; Impfstatus nicht robust mit Risikoperzeption assoziiert.</w:t>
      </w:r>
    </w:p>
    <w:p>
      <w:r>
        <w:rPr>
          <w:b/>
          <w:sz w:val="19"/>
        </w:rPr>
        <w:t xml:space="preserve">Übertragbarkeit: </w:t>
      </w:r>
      <w:r>
        <w:rPr>
          <w:sz w:val="19"/>
        </w:rPr>
        <w:t>Türkei, aber Erkenntnisse zu Impfakzeptanz in Hochrisiko-Kohorten übertragbar</w:t>
      </w:r>
    </w:p>
    <w:p>
      <w:r>
        <w:rPr>
          <w:color w:val="5A7D3A"/>
          <w:sz w:val="18"/>
        </w:rPr>
        <w:t>https://pubmed.ncbi.nlm.nih.gov/42761137/</w:t>
      </w:r>
    </w:p>
    <w:p>
      <w:pPr>
        <w:pStyle w:val="Heading2"/>
      </w:pPr>
      <w:r>
        <w:t>HSV-1-Infektion nach Grippeimpfung: Kasuistik einer zeitlichen Assoziation</w:t>
      </w:r>
    </w:p>
    <w:p>
      <w:r>
        <w:rPr>
          <w:i/>
          <w:color w:val="666666"/>
          <w:sz w:val="18"/>
        </w:rPr>
        <w:t>Liu YH et al.  ·  Hum Vaccin Immunother  ·  18.09.2026  ·  PMID 42757534</w:t>
      </w:r>
    </w:p>
    <w:p>
      <w:r>
        <w:t>Fallbericht eines 28-Jährigen mit multifokaler HSV-1-Infektion sieben Tage nach Influenzaimpfung ohne bekannte Immunsuppression.</w:t>
      </w:r>
    </w:p>
    <w:p>
      <w:r>
        <w:rPr>
          <w:b/>
        </w:rPr>
        <w:t xml:space="preserve">Ergebnis: </w:t>
      </w:r>
      <w:r>
        <w:t>PCR bestätigte HSV-1-DNA in Läsionen; vollständige klinische Remission nach intravenösem Acyclovir. Kausalität kann nicht etabliert werden, zeitliche Nähe ist jedoch bemerkenswert; Differentialdiagnose sollte HSV-Infektionen nach Impfung einbeziehen, ohne Kausalität zu implizieren.</w:t>
      </w:r>
    </w:p>
    <w:p>
      <w:r>
        <w:rPr>
          <w:b/>
          <w:sz w:val="19"/>
        </w:rPr>
        <w:t xml:space="preserve">Übertragbarkeit: </w:t>
      </w:r>
      <w:r>
        <w:rPr>
          <w:sz w:val="19"/>
        </w:rPr>
        <w:t>Deutschland, klinische Einzelfallbeobachtung in Versorgungspraxis relevant</w:t>
      </w:r>
    </w:p>
    <w:p>
      <w:r>
        <w:rPr>
          <w:color w:val="5A7D3A"/>
          <w:sz w:val="18"/>
        </w:rPr>
        <w:t>https://pubmed.ncbi.nlm.nih.gov/42757534/</w:t>
      </w:r>
    </w:p>
    <w:p>
      <w:pPr>
        <w:pStyle w:val="Heading2"/>
      </w:pPr>
      <w:r>
        <w:t>Sabin-IPV in Erwachsenen: Sicherheitsprofil gleichwertig mit konventionellem Polio-Impfstoff</w:t>
      </w:r>
    </w:p>
    <w:p>
      <w:r>
        <w:rPr>
          <w:i/>
          <w:color w:val="666666"/>
          <w:sz w:val="18"/>
        </w:rPr>
        <w:t>Hussain M et al.  ·  Front Public Health  ·  03.09.2026  ·  PMID 42755970</w:t>
      </w:r>
    </w:p>
    <w:p>
      <w:r>
        <w:t>Systematische Übersicht und Meta-Analyse von vier RCTs (70–340 Teilnehmer) zum Vergleich der Sicherheit von Sabin-abgeleiteter inaktivierter Poliovirus-Impfung (sIPV) mit konventioneller IPV bei Erwachsenen als Auffrischung.</w:t>
      </w:r>
    </w:p>
    <w:p>
      <w:r>
        <w:rPr>
          <w:b/>
        </w:rPr>
        <w:t xml:space="preserve">Ergebnis: </w:t>
      </w:r>
      <w:r>
        <w:t>Kein statistisch signifikanter Unterschied in unerwünschten Ereignissen: Schmerz (RR 1,57; 95%-KI 0,98–2,50), Erythem (RR 1,54; 95%-KI 0,64–3,69), Fieber (RR 0,96; 95%-KI 0,39–2,33). Heterogenität I²=0%. Nebenwirkungen mild und transient, die meisten Studien berichteten keine ernstlichen unerwünschten Ereignisse. Evidenzsicherheit niedrig bis sehr niedrig wegen kleiner Stichproben.</w:t>
      </w:r>
    </w:p>
    <w:p>
      <w:r>
        <w:rPr>
          <w:b/>
          <w:sz w:val="19"/>
        </w:rPr>
        <w:t xml:space="preserve">Übertragbarkeit: </w:t>
      </w:r>
      <w:r>
        <w:rPr>
          <w:sz w:val="19"/>
        </w:rPr>
        <w:t>Evidenz aus RCTs, aber kleine Fallzahlen; sIPV-Zulassung in Deutschland prüfen</w:t>
      </w:r>
    </w:p>
    <w:p>
      <w:r>
        <w:rPr>
          <w:color w:val="5A7D3A"/>
          <w:sz w:val="18"/>
        </w:rPr>
        <w:t>https://pubmed.ncbi.nlm.nih.gov/42755970/</w:t>
      </w:r>
    </w:p>
    <w:p>
      <w:pPr>
        <w:pStyle w:val="Heading2"/>
      </w:pPr>
      <w:r>
        <w:t>mRNA-Impfung bei Post-COVID: Funktionelle Besserung unabhängig vom Impfstatus</w:t>
      </w:r>
    </w:p>
    <w:p>
      <w:r>
        <w:rPr>
          <w:i/>
          <w:color w:val="666666"/>
          <w:sz w:val="18"/>
        </w:rPr>
        <w:t>Pries P et al.  ·  Expert Rev Vaccines  ·  17.09.2026  ·  PMID 42755271</w:t>
      </w:r>
    </w:p>
    <w:p>
      <w:r>
        <w:t>Retrospektive Kohortenstudie zur Frage, ob mRNA-SARS-CoV-2-Impfungen bei Patienten mit Langzeit-COVID (PASC) Symptome verschlimmern oder die Genesung beeinträchtigen.</w:t>
      </w:r>
    </w:p>
    <w:p>
      <w:r>
        <w:rPr>
          <w:b/>
        </w:rPr>
        <w:t xml:space="preserve">Ergebnis: </w:t>
      </w:r>
      <w:r>
        <w:t>174 geimpfte und ungeimpfte PASC-Patienten zeigten nach 3–6 Monaten in beiden Gruppen signifikante Verbesserungen bei Müdigkeit und Leistungsfähigkeit; kein statistisch signifikanter Unterschied zwischen Gruppen. Die Studie findet keine Evidenz für eine Verschlechterung durch Impfung, kleinere Effekte sind aber nicht ausgeschlossen.</w:t>
      </w:r>
    </w:p>
    <w:p>
      <w:r>
        <w:rPr>
          <w:b/>
          <w:sz w:val="19"/>
        </w:rPr>
        <w:t xml:space="preserve">Übertragbarkeit: </w:t>
      </w:r>
      <w:r>
        <w:rPr>
          <w:sz w:val="19"/>
        </w:rPr>
        <w:t>Deutschland, vergleichbare Gesundheitssysteme, ambulante Langzeit-COVID-Versorgung</w:t>
      </w:r>
    </w:p>
    <w:p>
      <w:r>
        <w:rPr>
          <w:color w:val="5A7D3A"/>
          <w:sz w:val="18"/>
        </w:rPr>
        <w:t>https://pubmed.ncbi.nlm.nih.gov/42755271/</w:t>
      </w:r>
    </w:p>
    <w:p>
      <w:pPr>
        <w:pStyle w:val="Heading2"/>
      </w:pPr>
      <w:r>
        <w:t>BCG-Immuntherapie bei Typ-1-Diabetes: Glukosemetabolismus korrigiert, HbA1c-Reduktion 8 Jahre stabil</w:t>
      </w:r>
    </w:p>
    <w:p>
      <w:r>
        <w:rPr>
          <w:i/>
          <w:color w:val="666666"/>
          <w:sz w:val="18"/>
        </w:rPr>
        <w:t>Faustman DL et al.  ·  Cells  ·  03.09.2026  ·  PMID 42738899</w:t>
      </w:r>
    </w:p>
    <w:p>
      <w:r>
        <w:t>Übersichtsarbeit zu klinischen Studien und mechanistischen Arbeiten über multi-Dosis-BCG-Immuntherapie bei Typ-1-Diabetes (T1D) und latent autoimmune diabetes in adults (LADA) über 15 Jahre.</w:t>
      </w:r>
    </w:p>
    <w:p>
      <w:r>
        <w:rPr>
          <w:b/>
        </w:rPr>
        <w:t xml:space="preserve">Ergebnis: </w:t>
      </w:r>
      <w:r>
        <w:t>T1D: Multiple klinische Studien zeigen stabile, wiederholte Reduktionen des HbA1c zu nahezu normalen Werten (vs. Placebo) für mindestens 8 Jahre, ohne Wiederherstellung der Pankreasfunction. Mechanismus: BCG-induzierte Korrektur von aerober Glykolyse-Defekten in lymphoiden/myeloiden Zellen → erhöhter Glukoseaufnahme nachgewiesen durch Langzeit-PET/CT. LADA: Minimale oder fehlende klinische Verbesserung; aber BCG reduziert Entzündung und fördert regulatorische T-Zellen. Epigenetische Umgestaltung ohne Genotyp-Änderung.</w:t>
      </w:r>
    </w:p>
    <w:p>
      <w:r>
        <w:rPr>
          <w:b/>
          <w:sz w:val="19"/>
        </w:rPr>
        <w:t xml:space="preserve">Übertragbarkeit: </w:t>
      </w:r>
      <w:r>
        <w:rPr>
          <w:sz w:val="19"/>
        </w:rPr>
        <w:t>USA-Studien mit deutschen Kliniken; Diabetes-Versorgung übertragbar</w:t>
      </w:r>
    </w:p>
    <w:p>
      <w:r>
        <w:rPr>
          <w:color w:val="5A7D3A"/>
          <w:sz w:val="18"/>
        </w:rPr>
        <w:t>https://pubmed.ncbi.nlm.nih.gov/42738899/</w:t>
      </w:r>
    </w:p>
    <w:p>
      <w:pPr>
        <w:pStyle w:val="Heading2"/>
      </w:pPr>
      <w:r>
        <w:t>BCG-Impfung bei Kindern: Genetische Varianten in Entzündungsproteinen zeigen Interaktion mit Impfantwort</w:t>
      </w:r>
    </w:p>
    <w:p>
      <w:r>
        <w:rPr>
          <w:i/>
          <w:color w:val="666666"/>
          <w:sz w:val="18"/>
        </w:rPr>
        <w:t>Boahen CK et al.  ·  Biomed Pharmacother  ·  13.08.2026  ·  PMID 42594746</w:t>
      </w:r>
    </w:p>
    <w:p>
      <w:r>
        <w:t>Genom-weites pQTL-Mapping (Protein-Quantitative-Trait-Loci) von 65 zirkulierenden Entzündungsproteinen bei Monat 13 post-BCG-Impfung in dänischen Kindern zur Identifikation genetischer Varianten, die die Immunantwort beeinflussen.</w:t>
      </w:r>
    </w:p>
    <w:p>
      <w:r>
        <w:rPr>
          <w:b/>
        </w:rPr>
        <w:t xml:space="preserve">Ergebnis: </w:t>
      </w:r>
      <w:r>
        <w:t>11 unabhängige genomweit signifikante Loci identifiziert. Vier pQTL zeigten Evidenz für Genotyp-by-BCG-Interaktionen (rs10217747: CXCL11, rs13187850: CD6, rs56283092: LAP-TGF-β1, rs11708321: CDCP1) mit größeren Effektschätzungen in BCG-Gruppe. Diese Varianten wurden zuvor mit Entzündungs- und Autoimmun-Traits assoziiert. Befunde sind explorativ und hypothesengenerierend, erfordern weitere Validierung.</w:t>
      </w:r>
    </w:p>
    <w:p>
      <w:r>
        <w:rPr>
          <w:b/>
          <w:sz w:val="19"/>
        </w:rPr>
        <w:t xml:space="preserve">Übertragbarkeit: </w:t>
      </w:r>
      <w:r>
        <w:rPr>
          <w:sz w:val="19"/>
        </w:rPr>
        <w:t>Dänemark, Gesundheitssystem vergleichbar; nationale BCG-Impfquoten-Registry vorhanden</w:t>
      </w:r>
    </w:p>
    <w:p>
      <w:r>
        <w:rPr>
          <w:color w:val="5A7D3A"/>
          <w:sz w:val="18"/>
        </w:rPr>
        <w:t>https://pubmed.ncbi.nlm.nih.gov/42594746/</w:t>
      </w:r>
    </w:p>
    <w:p>
      <w:pPr>
        <w:pStyle w:val="Heading1"/>
      </w:pPr>
      <w:r>
        <w:t>Aufgenommen am 19.09.2026</w:t>
      </w:r>
    </w:p>
    <w:p>
      <w:pPr>
        <w:pStyle w:val="Heading2"/>
      </w:pPr>
      <w:r>
        <w:t>Maschinenlernen identifiziert Null-Dosis-Kinder in Subsahara-Afrika</w:t>
      </w:r>
    </w:p>
    <w:p>
      <w:r>
        <w:rPr>
          <w:i/>
          <w:color w:val="666666"/>
          <w:sz w:val="18"/>
        </w:rPr>
        <w:t>Endehabtu BF et al.  ·  BMJ Health Care Inform  ·  18.09.2026  ·  PMID 42759970</w:t>
      </w:r>
    </w:p>
    <w:p>
      <w:r>
        <w:t>Prädiktives Modellentwicklungs-Projekt mit Daten von 27 subsaharischen Ländern (Demographic Health Survey 2016–2024) zur Risikoidentifikation von Kindern ohne Impfung.</w:t>
      </w:r>
    </w:p>
    <w:p>
      <w:r>
        <w:rPr>
          <w:b/>
        </w:rPr>
        <w:t xml:space="preserve">Ergebnis: </w:t>
      </w:r>
      <w:r>
        <w:t>LightGBM-Modell zeigte beste Gesamtleistung: 80 % Genauigkeit, 91 % Sensitivität, AUROC 0,78. Wichtigste Prädiktoren: Entbindungsort, Geburtsvorkontakten, Mutter-Tetanus-Impfung, Haushaltsvermögen, mütterliche Bildung. Ermöglicht frühe Risikoidentifikation.</w:t>
      </w:r>
    </w:p>
    <w:p>
      <w:r>
        <w:rPr>
          <w:b/>
          <w:sz w:val="19"/>
        </w:rPr>
        <w:t xml:space="preserve">Übertragbarkeit: </w:t>
      </w:r>
      <w:r>
        <w:rPr>
          <w:sz w:val="19"/>
        </w:rPr>
        <w:t>Subsahara-Afrika, digitales Tooldesign auf Länder mit WHO DHSatz übertragbar.</w:t>
      </w:r>
    </w:p>
    <w:p>
      <w:r>
        <w:rPr>
          <w:color w:val="5A7D3A"/>
          <w:sz w:val="18"/>
        </w:rPr>
        <w:t>https://pubmed.ncbi.nlm.nih.gov/42759970/</w:t>
      </w:r>
    </w:p>
    <w:p>
      <w:pPr>
        <w:pStyle w:val="Heading2"/>
      </w:pPr>
      <w:r>
        <w:t>RSV-Impfeffektivität bei älteren Erwachsenen in den USA zeigt hohe Wirksamkeit</w:t>
      </w:r>
    </w:p>
    <w:p>
      <w:r>
        <w:rPr>
          <w:i/>
          <w:color w:val="666666"/>
          <w:sz w:val="18"/>
        </w:rPr>
        <w:t>Lu Y et al.  ·  JAMA Netw Open  ·  01.09.2026  ·  PMID 42758507</w:t>
      </w:r>
    </w:p>
    <w:p>
      <w:r>
        <w:t>Nationale Kohortenstudie zur klinischen Wirksamkeit zweier RSV-Impfstoffe bei Medicare-Patienten ab 65 Jahren in der ersten Saison nach Zulassung (August 2023 bis März 2024).</w:t>
      </w:r>
    </w:p>
    <w:p>
      <w:r>
        <w:rPr>
          <w:b/>
        </w:rPr>
        <w:t xml:space="preserve">Ergebnis: </w:t>
      </w:r>
      <w:r>
        <w:t>RSVPreF3+AS01 und RSVpreF hatten eine Effektivität von 81,8 % (95-%-KI 80,0–83,4 %) gegen RSV-bedingte Hospitalisierungen und 85,0 % gegen RSV-bedingte Todesfälle. Brand-spezifisch: RSVPreF3+AS01 79,9 %, RSVpreF 85,1 %. Bei immungeschwächten Personen 72,2 %. Wirksam über alle Altersgruppen ab 65 Jahren.</w:t>
      </w:r>
    </w:p>
    <w:p>
      <w:r>
        <w:rPr>
          <w:b/>
          <w:sz w:val="19"/>
        </w:rPr>
        <w:t xml:space="preserve">Übertragbarkeit: </w:t>
      </w:r>
      <w:r>
        <w:rPr>
          <w:sz w:val="19"/>
        </w:rPr>
        <w:t>Medicare-Daten, vergleichbare Dokumentationspflichten wie Deutschland.</w:t>
      </w:r>
    </w:p>
    <w:p>
      <w:r>
        <w:rPr>
          <w:color w:val="5A7D3A"/>
          <w:sz w:val="18"/>
        </w:rPr>
        <w:t>https://pubmed.ncbi.nlm.nih.gov/42758507/</w:t>
      </w:r>
    </w:p>
    <w:p>
      <w:pPr>
        <w:pStyle w:val="Heading2"/>
      </w:pPr>
      <w:r>
        <w:t>Impfbefürwortung durch Fachpersonal: Trainingseffekt bei Hebammen und Pflegekräften</w:t>
      </w:r>
    </w:p>
    <w:p>
      <w:r>
        <w:rPr>
          <w:i/>
          <w:color w:val="666666"/>
          <w:sz w:val="18"/>
        </w:rPr>
        <w:t>Tiryaki Ö  ·  Biomedica  ·  20.08.2026  ·  PMID 42757794</w:t>
      </w:r>
    </w:p>
    <w:p>
      <w:r>
        <w:t>Quasi-experimentelle Studie mit Vorher-Nachher-Messung zur Wirkung eines Impfaufklärungstrainings auf die Impfbefürwortung bei 249 Hebammen und Pflegekräften.</w:t>
      </w:r>
    </w:p>
    <w:p>
      <w:r>
        <w:rPr>
          <w:b/>
        </w:rPr>
        <w:t xml:space="preserve">Ergebnis: </w:t>
      </w:r>
      <w:r>
        <w:t>Vaccine Advocacy Scale für Kinderimpfungen stieg signifikant von 45,19 ± 2,85 vor auf 46,95 ± 1,99 Punkte nach dem Training (Wilcoxon p = 0,000). Effekt niedrig, aber statistisch robust; Ausgangsniveau bereits hoch.</w:t>
      </w:r>
    </w:p>
    <w:p>
      <w:r>
        <w:rPr>
          <w:b/>
          <w:sz w:val="19"/>
        </w:rPr>
        <w:t xml:space="preserve">Übertragbarkeit: </w:t>
      </w:r>
      <w:r>
        <w:rPr>
          <w:sz w:val="19"/>
        </w:rPr>
        <w:t>Türkisches Setting, Pflegekräfte-Schulung auf Deutschland übertragbar.</w:t>
      </w:r>
    </w:p>
    <w:p>
      <w:r>
        <w:rPr>
          <w:color w:val="5A7D3A"/>
          <w:sz w:val="18"/>
        </w:rPr>
        <w:t>https://pubmed.ncbi.nlm.nih.gov/42757794/</w:t>
      </w:r>
    </w:p>
    <w:p>
      <w:pPr>
        <w:pStyle w:val="Heading2"/>
      </w:pPr>
      <w:r>
        <w:t>RSVPreF3-Impfstoff bei älteren Chinesen immunogenetisch gleichwertig zu globaler Population</w:t>
      </w:r>
    </w:p>
    <w:p>
      <w:r>
        <w:rPr>
          <w:i/>
          <w:color w:val="666666"/>
          <w:sz w:val="18"/>
        </w:rPr>
        <w:t>Guo X et al.  ·  Front Immunol  ·  03.09.2026  ·  PMID 42756146</w:t>
      </w:r>
    </w:p>
    <w:p>
      <w:r>
        <w:t>Phase-3-Immunbrückungs-Studie zur Nichtunterlegenheit von RSVPreF3 bei ≥60-jährigen chinesischen Erwachsenen gegenüber internationaler Vergleichsgruppe (6 Länder).</w:t>
      </w:r>
    </w:p>
    <w:p>
      <w:r>
        <w:rPr>
          <w:b/>
        </w:rPr>
        <w:t xml:space="preserve">Ergebnis: </w:t>
      </w:r>
      <w:r>
        <w:t>Nichtunterlegenheitskriterien erfüllt: GMT-Verhältnisse für RSV-A/B 1,20/1,10 (akzeptabel ≤1,5), Seroresponse-Unterschiede 3,40 %/4,89 % (akzeptabel ≤10 %). RSV-A/B-Neutralisationstiter 5523/8073 ED60 (China), 6605/8286 (Ausland). Lokale Nebenwirkungen meist mild-moderat, Ernsthaftigkeit niedrig (0,2–0,3 % immune-vermittelt).</w:t>
      </w:r>
    </w:p>
    <w:p>
      <w:r>
        <w:rPr>
          <w:b/>
          <w:sz w:val="19"/>
        </w:rPr>
        <w:t xml:space="preserve">Übertragbarkeit: </w:t>
      </w:r>
      <w:r>
        <w:rPr>
          <w:sz w:val="19"/>
        </w:rPr>
        <w:t>China, aber Immunogenität-Ergebnis zur Globalität des Impfstoffs übertra gbar.</w:t>
      </w:r>
    </w:p>
    <w:p>
      <w:r>
        <w:rPr>
          <w:color w:val="5A7D3A"/>
          <w:sz w:val="18"/>
        </w:rPr>
        <w:t>https://pubmed.ncbi.nlm.nih.gov/42756146/</w:t>
      </w:r>
    </w:p>
    <w:p>
      <w:pPr>
        <w:pStyle w:val="Heading2"/>
      </w:pPr>
      <w:r>
        <w:t>Impfgerechtigkeit als Planungsprinzip: Lehren aus der COVID-19-Pandemie</w:t>
      </w:r>
    </w:p>
    <w:p>
      <w:r>
        <w:rPr>
          <w:i/>
          <w:color w:val="666666"/>
          <w:sz w:val="18"/>
        </w:rPr>
        <w:t>Ghafari M et al.  ·  Expert Rev Vaccines  ·  16.09.2026  ·  PMID 42750274</w:t>
      </w:r>
    </w:p>
    <w:p>
      <w:r>
        <w:t>Synthesearbeit von Literatur und Politikberichten zu globalen Impfstoff-Rollouts, insbesondere über Verteilungsszenarien, Beschaffung und dezentralisierte Herstellung.</w:t>
      </w:r>
    </w:p>
    <w:p>
      <w:r>
        <w:rPr>
          <w:b/>
        </w:rPr>
        <w:t xml:space="preserve">Ergebnis: </w:t>
      </w:r>
      <w:r>
        <w:t>COVID-19 zeigte: Schnelle Entwicklung ohne Gerechtigkeitsplanung schuf vermeidbare Schäden. Lösungen sind geografisch verteilte Herstellung, vorab vereinbarte epidemiologisch gesteuerte Zuteilung, transparente Datenaustausch und Neutralisierung kommerzieller Verzerrungen. Empfehlung: Institutionalisierte disaggregierte Berichterstattung und standardisierte Daten-Sharing.</w:t>
      </w:r>
    </w:p>
    <w:p>
      <w:r>
        <w:rPr>
          <w:b/>
          <w:sz w:val="19"/>
        </w:rPr>
        <w:t xml:space="preserve">Übertragbarkeit: </w:t>
      </w:r>
      <w:r>
        <w:rPr>
          <w:sz w:val="19"/>
        </w:rPr>
        <w:t>Europäisches und Schweizer System, Prinzipien auf DACH übertragbar.</w:t>
      </w:r>
    </w:p>
    <w:p>
      <w:r>
        <w:rPr>
          <w:color w:val="5A7D3A"/>
          <w:sz w:val="18"/>
        </w:rPr>
        <w:t>https://pubmed.ncbi.nlm.nih.gov/42750274/</w:t>
      </w:r>
    </w:p>
    <w:p>
      <w:pPr>
        <w:pStyle w:val="Heading2"/>
      </w:pPr>
      <w:r>
        <w:t>Inaktivierter Rotavirus-Impfstoff: Sicherheit und Immunogenität bei Kleinkindern</w:t>
      </w:r>
    </w:p>
    <w:p>
      <w:r>
        <w:rPr>
          <w:i/>
          <w:color w:val="666666"/>
          <w:sz w:val="18"/>
        </w:rPr>
        <w:t>Zhou Y et al.  ·  Nat Commun  ·  14.08.2026  ·  PMID 42733081</w:t>
      </w:r>
    </w:p>
    <w:p>
      <w:r>
        <w:t>Randomisierte, placebokontrollierte Phase-1-Studie zur Dosis-Eskalation von Rotavirus-Impfstoff bei 288 Kindern 2–71 Monate ohne vorherige Rotavirus-Impfung.</w:t>
      </w:r>
    </w:p>
    <w:p>
      <w:r>
        <w:rPr>
          <w:b/>
        </w:rPr>
        <w:t xml:space="preserve">Ergebnis: </w:t>
      </w:r>
      <w:r>
        <w:t>Keine impfstoffbezogenen SAEs; transiente Mild-bis-Mäßig-Fieber nur in Hochdosis-Säuglings-Gruppe (klinisch handhabbar). Neutralisierende Antikörper-GMT dose-abhängig erhöht. 3-Dosis-Säugling-Gruppe (320 EU): GMT 551,98 vs. 36,17 (Placebo), Serokonversionsrate 83,33 % vs. 10 %. 3-Dosis-Schema überlegen 2-Dosis.</w:t>
      </w:r>
    </w:p>
    <w:p>
      <w:r>
        <w:rPr>
          <w:b/>
          <w:sz w:val="19"/>
        </w:rPr>
        <w:t xml:space="preserve">Übertragbarkeit: </w:t>
      </w:r>
      <w:r>
        <w:rPr>
          <w:sz w:val="19"/>
        </w:rPr>
        <w:t>Chinesische Studie, Sicherheits- und Immunogenitätsdaten auf frühe Klinische Phasen übertragbar.</w:t>
      </w:r>
    </w:p>
    <w:p>
      <w:r>
        <w:rPr>
          <w:color w:val="5A7D3A"/>
          <w:sz w:val="18"/>
        </w:rPr>
        <w:t>https://pubmed.ncbi.nlm.nih.gov/42733081/</w:t>
      </w:r>
    </w:p>
    <w:p>
      <w:pPr>
        <w:pStyle w:val="Heading1"/>
      </w:pPr>
      <w:r>
        <w:t>Aufgenommen am 18.09.2026</w:t>
      </w:r>
    </w:p>
    <w:p>
      <w:pPr>
        <w:pStyle w:val="Heading2"/>
      </w:pPr>
      <w:r>
        <w:t>RSV-Hospitalisierungen vor Impfstoffeinführung: Altersgruppen und Datenlücken</w:t>
      </w:r>
    </w:p>
    <w:p>
      <w:r>
        <w:rPr>
          <w:i/>
          <w:color w:val="666666"/>
          <w:sz w:val="18"/>
        </w:rPr>
        <w:t>Imai-Boulter C et al.  ·  Med J Aust  ·  Sept. 2026  ·  PMID 42754405</w:t>
      </w:r>
    </w:p>
    <w:p>
      <w:r>
        <w:t>Retrospektive bevölkerungsbasierte Studie zur RSV-Krankheitslast in Australien vor Immunisierungsstart (2016–2019 Hospitalisierungen, 2023 Labor-Meldungen).</w:t>
      </w:r>
    </w:p>
    <w:p>
      <w:r>
        <w:rPr>
          <w:b/>
        </w:rPr>
        <w:t xml:space="preserve">Ergebnis: </w:t>
      </w:r>
      <w:r>
        <w:t>Hospitalisierungen bei &lt;3 Monaten alt: 4014/100000, bei ≥65 Jahren: 122/100000 (steigende Tendenz); 55 % der Bronchiolitiden mit ungeklärter Ursache; Labor-Meldungen höchst bei 6–11 Monaten (7778/100000). Zeigt Datenlücken bei Fallerfassung und Testfrequenz.</w:t>
      </w:r>
    </w:p>
    <w:p>
      <w:r>
        <w:rPr>
          <w:b/>
          <w:sz w:val="19"/>
        </w:rPr>
        <w:t xml:space="preserve">Übertragbarkeit: </w:t>
      </w:r>
      <w:r>
        <w:rPr>
          <w:sz w:val="19"/>
        </w:rPr>
        <w:t>Australien (Versorgungsdaten verfügbar); ähnliche Datenstrukturen in Deutschland schwächer (kein nationales Impfregister).</w:t>
      </w:r>
    </w:p>
    <w:p>
      <w:r>
        <w:rPr>
          <w:color w:val="5A7D3A"/>
          <w:sz w:val="18"/>
        </w:rPr>
        <w:t>https://pubmed.ncbi.nlm.nih.gov/42754405/</w:t>
      </w:r>
    </w:p>
    <w:p>
      <w:pPr>
        <w:pStyle w:val="Heading2"/>
      </w:pPr>
      <w:r>
        <w:t>MZB1-Spiegel sagen Langzeitschutz nach Hepatitis-B-Impfung voraus</w:t>
      </w:r>
    </w:p>
    <w:p>
      <w:r>
        <w:rPr>
          <w:i/>
          <w:color w:val="666666"/>
          <w:sz w:val="18"/>
        </w:rPr>
        <w:t>Huang ML et al.  ·  Front Immunol  ·  02.09.2026  ·  PMID 42751130</w:t>
      </w:r>
    </w:p>
    <w:p>
      <w:r>
        <w:t>Single-Cell-RNA-Seq plus nested case-control und Interventionsstudie zur Identifikation von B-Zell-Markern für stabilen Anti-HBs-Schutz.</w:t>
      </w:r>
    </w:p>
    <w:p>
      <w:r>
        <w:rPr>
          <w:b/>
        </w:rPr>
        <w:t xml:space="preserve">Ergebnis: </w:t>
      </w:r>
      <w:r>
        <w:t>MZB1 signifikant erhöht in B-Zellen von Langzeitschützer/innen (p=2,1e-12); Serum-MZB1 &gt;1000 mIU/ml nach 30 Jahren: 7,1±2,2 ng/ml vs. Anti-HBs-Negative: 0,96±0,1 ng/ml (p&lt;0,0001); MZB1 korreliert stark mit Anti-HBs-Titer (r=0,892). MZB1 schon nach 1. Dosis erhöht, VE besser bei hohen MZB1-Konzentrationen.</w:t>
      </w:r>
    </w:p>
    <w:p>
      <w:r>
        <w:rPr>
          <w:b/>
          <w:sz w:val="19"/>
        </w:rPr>
        <w:t xml:space="preserve">Übertragbarkeit: </w:t>
      </w:r>
      <w:r>
        <w:rPr>
          <w:sz w:val="19"/>
        </w:rPr>
        <w:t>China (Validierungskohorten mobil), Biomarker universal; kein nationales Vorteil, aber wissenschaftlich relevant.</w:t>
      </w:r>
    </w:p>
    <w:p>
      <w:r>
        <w:rPr>
          <w:color w:val="5A7D3A"/>
          <w:sz w:val="18"/>
        </w:rPr>
        <w:t>https://pubmed.ncbi.nlm.nih.gov/42751130/</w:t>
      </w:r>
    </w:p>
    <w:p>
      <w:pPr>
        <w:pStyle w:val="Heading2"/>
      </w:pPr>
      <w:r>
        <w:t>Wertaffirmation in Impfkampagnen: Small Effects auf Impfbereitschaft</w:t>
      </w:r>
    </w:p>
    <w:p>
      <w:r>
        <w:rPr>
          <w:i/>
          <w:color w:val="666666"/>
          <w:sz w:val="18"/>
        </w:rPr>
        <w:t>Wolsko C et al.  ·  PLoS One  ·  16.09.2026  ·  PMID 42748077</w:t>
      </w:r>
    </w:p>
    <w:p>
      <w:r>
        <w:t>Online-Befragung von 1170 Ungeimpften (USA, Frühjahr 2021) zu COVID-Impfbotschaften, die auf persönliche Werte ausgerichtet sind.</w:t>
      </w:r>
    </w:p>
    <w:p>
      <w:r>
        <w:rPr>
          <w:b/>
        </w:rPr>
        <w:t xml:space="preserve">Ergebnis: </w:t>
      </w:r>
      <w:r>
        <w:t>Botschaften, die Misstrauen in Regierung und Sorgen vor Freiheitsbeschränkung bestätigten, zeigten höhere Impfbereitschaft und mehr Vertrauen als Kontrolle; Effektgrößen klein, aber bedeutsam für Vaccine Hesitancy-Subgruppen.</w:t>
      </w:r>
    </w:p>
    <w:p>
      <w:r>
        <w:rPr>
          <w:b/>
          <w:sz w:val="19"/>
        </w:rPr>
        <w:t xml:space="preserve">Übertragbarkeit: </w:t>
      </w:r>
      <w:r>
        <w:rPr>
          <w:sz w:val="19"/>
        </w:rPr>
        <w:t>USA (Wertbetonung kulturabhängig); Kommunikationsstrategie prinzipiell übertragbar, aber Wertrahmen müssen regional angepasst werden.</w:t>
      </w:r>
    </w:p>
    <w:p>
      <w:r>
        <w:rPr>
          <w:color w:val="5A7D3A"/>
          <w:sz w:val="18"/>
        </w:rPr>
        <w:t>https://pubmed.ncbi.nlm.nih.gov/42748077/</w:t>
      </w:r>
    </w:p>
    <w:p>
      <w:pPr>
        <w:pStyle w:val="Heading2"/>
      </w:pPr>
      <w:r>
        <w:t>Impf-Fachkompetenz in Äthiopien schwach: nur 50 % erfüllen Mindeststandard</w:t>
      </w:r>
    </w:p>
    <w:p>
      <w:r>
        <w:rPr>
          <w:i/>
          <w:color w:val="666666"/>
          <w:sz w:val="18"/>
        </w:rPr>
        <w:t>Olani A et al.  ·  PLoS One  ·  15.09.2026  ·  PMID 42743175</w:t>
      </w:r>
    </w:p>
    <w:p>
      <w:r>
        <w:t>Observationale Studie mit Checklisten zur Impf-Fachkompetenz in 34 äthiopischen Gesundheitseinrichtungen.</w:t>
      </w:r>
    </w:p>
    <w:p>
      <w:r>
        <w:rPr>
          <w:b/>
        </w:rPr>
        <w:t xml:space="preserve">Ergebnis: </w:t>
      </w:r>
      <w:r>
        <w:t>340 Impfungen beobachtet; Gesamtkompetenz 50 % (Schwelle: 80 %); beste Leistung: Verabreichung (71 %), schlechteste: Dokumentation (22 %); Defizite in Infektionskontrolle und Patienten-Kommunikation. Lücke zwischen theoretischem Wissen und praktischer Umsetzung.</w:t>
      </w:r>
    </w:p>
    <w:p>
      <w:r>
        <w:rPr>
          <w:b/>
          <w:sz w:val="19"/>
        </w:rPr>
        <w:t xml:space="preserve">Übertragbarkeit: </w:t>
      </w:r>
      <w:r>
        <w:rPr>
          <w:sz w:val="19"/>
        </w:rPr>
        <w:t>Äthiopien (Niedrig-Ressourcen), begrenzte Übertragbarkeit; zeigt jedoch global relevante Schulungs- und Überwachungsdefizite.</w:t>
      </w:r>
    </w:p>
    <w:p>
      <w:r>
        <w:rPr>
          <w:color w:val="5A7D3A"/>
          <w:sz w:val="18"/>
        </w:rPr>
        <w:t>https://pubmed.ncbi.nlm.nih.gov/42743175/</w:t>
      </w:r>
    </w:p>
    <w:p>
      <w:pPr>
        <w:pStyle w:val="Heading2"/>
      </w:pPr>
      <w:r>
        <w:t>Ökologische Studien zu Impfeffekten könnten Versorgungsdaten für Deutschland liefern</w:t>
      </w:r>
    </w:p>
    <w:p>
      <w:r>
        <w:rPr>
          <w:i/>
          <w:color w:val="666666"/>
          <w:sz w:val="18"/>
        </w:rPr>
        <w:t>Nolting T et al.  ·  BMJ Open  ·  11.09.2026  ·  PMID 42731829</w:t>
      </w:r>
    </w:p>
    <w:p>
      <w:r>
        <w:t>Scoping Review, die ökologische Studien zu Impfeffektivität systematisieren soll, mit Fokus auf Deutschland.</w:t>
      </w:r>
    </w:p>
    <w:p>
      <w:r>
        <w:rPr>
          <w:b/>
        </w:rPr>
        <w:t xml:space="preserve">Ergebnis: </w:t>
      </w:r>
      <w:r>
        <w:t>Studienprotokoll ohne empirische Ergebnisse; zeigt einen Forschungsbedarf für vergleichende Analysen der Impfbeiträge zu Morbidität und Mortalität.</w:t>
      </w:r>
    </w:p>
    <w:p>
      <w:r>
        <w:rPr>
          <w:b/>
          <w:sz w:val="19"/>
        </w:rPr>
        <w:t xml:space="preserve">Übertragbarkeit: </w:t>
      </w:r>
      <w:r>
        <w:rPr>
          <w:sz w:val="19"/>
        </w:rPr>
        <w:t>Deutschland, zukünftige Datenquelle; Übertragbarkeit hängt von Verfügbarkeit von Routinedaten ab.</w:t>
      </w:r>
    </w:p>
    <w:p>
      <w:r>
        <w:rPr>
          <w:color w:val="5A7D3A"/>
          <w:sz w:val="18"/>
        </w:rPr>
        <w:t>https://pubmed.ncbi.nlm.nih.gov/42731829/</w:t>
      </w:r>
    </w:p>
    <w:p>
      <w:pPr>
        <w:pStyle w:val="Heading2"/>
      </w:pPr>
      <w:r>
        <w:t>Impfantwort bei Krebs und Immunsuppression: RESPONSE-Kohortenstudie</w:t>
      </w:r>
    </w:p>
    <w:p>
      <w:r>
        <w:rPr>
          <w:i/>
          <w:color w:val="666666"/>
          <w:sz w:val="18"/>
        </w:rPr>
        <w:t>Felipe Fumero E et al.  ·  JMIR Res Protoc  ·  23.07.2026  ·  PMID 42492070</w:t>
      </w:r>
    </w:p>
    <w:p>
      <w:r>
        <w:t>Prospektive Kohortenstudie zu humoralen und zellulären Reaktionen auf Atemwegs-Impfstoffe bei onkologischen Patienten, Rekrutierung seit März 2025 laufend.</w:t>
      </w:r>
    </w:p>
    <w:p>
      <w:r>
        <w:rPr>
          <w:b/>
        </w:rPr>
        <w:t xml:space="preserve">Ergebnis: </w:t>
      </w:r>
      <w:r>
        <w:t>Protokoll mit laufender Rekrutierung; Fokus auf frühe und späte Booster-Effekte. Finale Analysen ab Q3 2026 geplant; zielt auf T-Zell-Antworten, die bei dieser Gruppe zuverlässiger sind als Antikörper.</w:t>
      </w:r>
    </w:p>
    <w:p>
      <w:r>
        <w:rPr>
          <w:b/>
          <w:sz w:val="19"/>
        </w:rPr>
        <w:t xml:space="preserve">Übertragbarkeit: </w:t>
      </w:r>
      <w:r>
        <w:rPr>
          <w:sz w:val="19"/>
        </w:rPr>
        <w:t>Deutschland (Köln, Universitätsklinik), direkt übertragbar auf Versorgungsfragen bei Immunsuppression.</w:t>
      </w:r>
    </w:p>
    <w:p>
      <w:r>
        <w:rPr>
          <w:color w:val="5A7D3A"/>
          <w:sz w:val="18"/>
        </w:rPr>
        <w:t>https://pubmed.ncbi.nlm.nih.gov/42492070/</w:t>
      </w:r>
    </w:p>
    <w:p>
      <w:pPr>
        <w:pStyle w:val="Heading1"/>
      </w:pPr>
      <w:r>
        <w:t>Aufgenommen am 17.09.2026</w:t>
      </w:r>
    </w:p>
    <w:p>
      <w:pPr>
        <w:pStyle w:val="Heading2"/>
      </w:pPr>
      <w:r>
        <w:t>Gonorrhoe-Impfstoff: Modellierte Prävalenzreduktion in abgelegenem indigenem Australien</w:t>
      </w:r>
    </w:p>
    <w:p>
      <w:r>
        <w:rPr>
          <w:i/>
          <w:color w:val="666666"/>
          <w:sz w:val="18"/>
        </w:rPr>
        <w:t>Padeniya TN et al.  ·  Sex Health  ·  20.10.2026  ·  PMID 42749469</w:t>
      </w:r>
    </w:p>
    <w:p>
      <w:r>
        <w:t>Mathematisches Transmissionsmodell (individual-basiert) zur Analyse der Effektivität einer hypothetischen Gonorrhoe-Impfung in abgelegenen Gemeinden mit hoher Inzidenz bei 16–36-jährigen australischen Ureinwohnern.</w:t>
      </w:r>
    </w:p>
    <w:p>
      <w:r>
        <w:rPr>
          <w:b/>
        </w:rPr>
        <w:t xml:space="preserve">Ergebnis: </w:t>
      </w:r>
      <w:r>
        <w:t>Bei 5-Jahres-Nachverfolgung mit 40 % jährlicher Impfquote und Impfstoff mit 25–50 % Schutzwirksamkeit: relative Prävalenzreduktion 15–28 %. Bei 80 % Impfquote und 75 % Wirksamkeit: 95 % (5 Jahre) bis 98 % (10 Jahre) Reduktion. Auch mit partieller Wirksamkeit substantielle Prävalenzrückgänge möglich.</w:t>
      </w:r>
    </w:p>
    <w:p>
      <w:r>
        <w:rPr>
          <w:b/>
          <w:sz w:val="19"/>
        </w:rPr>
        <w:t xml:space="preserve">Übertragbarkeit: </w:t>
      </w:r>
      <w:r>
        <w:rPr>
          <w:sz w:val="19"/>
        </w:rPr>
        <w:t>Australien mit Registersystem und hoher Datenqualität, aber Bevölkerungszusammensetzung und epidemiologische Lage unterscheiden sich von Deutschland.</w:t>
      </w:r>
    </w:p>
    <w:p>
      <w:r>
        <w:rPr>
          <w:color w:val="5A7D3A"/>
          <w:sz w:val="18"/>
        </w:rPr>
        <w:t>https://pubmed.ncbi.nlm.nih.gov/42749469/</w:t>
      </w:r>
    </w:p>
    <w:p>
      <w:pPr>
        <w:pStyle w:val="Heading2"/>
      </w:pPr>
      <w:r>
        <w:t>Herpes-Zoster-Impfung: Wirksamkeit gegen Zoster, Ophthalmicus und postherpetische Neuralgie</w:t>
      </w:r>
    </w:p>
    <w:p>
      <w:r>
        <w:rPr>
          <w:i/>
          <w:color w:val="666666"/>
          <w:sz w:val="18"/>
        </w:rPr>
        <w:t>Heen E et al.  ·  Rev Med Virol  ·  Sept. 2026  ·  PMID 42748460</w:t>
      </w:r>
    </w:p>
    <w:p>
      <w:r>
        <w:t>Systematische Übersicht mit Metaanalyse von 18 Studien (3 RCT, 15 Beobachtungsstudien) zur Effektivität des Recombinant-Zoster-Impfstoffs (RZV) gegen Herpes zoster und Komplikationen in ≥50-Jährigen.</w:t>
      </w:r>
    </w:p>
    <w:p>
      <w:r>
        <w:rPr>
          <w:b/>
        </w:rPr>
        <w:t xml:space="preserve">Ergebnis: </w:t>
      </w:r>
      <w:r>
        <w:t>RZV zeigte in RCT 95 % Effektivität gegen Herpes zoster (hochgradig), substantielle Reduktion von Herpes-Zoster-Ophthalmicus (hochgradig), wahrscheinlich postherpetische Neuralgia (moderat). Durable Schutzwirkung mind. 11 Jahre nachgewiesen (niedrig bis moderat). Mögliche Assoziation mit reduziertem Demenzrisiko (niedrig, durch healthy-vaccinee-bias-Unsicherheit).</w:t>
      </w:r>
    </w:p>
    <w:p>
      <w:r>
        <w:rPr>
          <w:b/>
          <w:sz w:val="19"/>
        </w:rPr>
        <w:t xml:space="preserve">Übertragbarkeit: </w:t>
      </w:r>
      <w:r>
        <w:rPr>
          <w:sz w:val="19"/>
        </w:rPr>
        <w:t>Norwegen und Schweden, vergleichbare altersstrukturierte Bevölkerungen und Impfregister; Befunde direkt auf deutsches Zoster-Impfprogramm übertragbar.</w:t>
      </w:r>
    </w:p>
    <w:p>
      <w:r>
        <w:rPr>
          <w:color w:val="5A7D3A"/>
          <w:sz w:val="18"/>
        </w:rPr>
        <w:t>https://pubmed.ncbi.nlm.nih.gov/42748460/</w:t>
      </w:r>
    </w:p>
    <w:p>
      <w:pPr>
        <w:pStyle w:val="Heading2"/>
      </w:pPr>
      <w:r>
        <w:t>Kulturell angepasste HPV-Aufklärung und Impfintention in Saudi-Arabien</w:t>
      </w:r>
    </w:p>
    <w:p>
      <w:r>
        <w:rPr>
          <w:i/>
          <w:color w:val="666666"/>
          <w:sz w:val="18"/>
        </w:rPr>
        <w:t>Elsayed EA et al.  ·  JMIR Public Health Surveill  ·  16.09.2026  ·  PMID 42748422</w:t>
      </w:r>
    </w:p>
    <w:p>
      <w:r>
        <w:t>Quasi-experimentelle Studie (Prä-Post mit Kontrollgruppe, n=380) zur Wirkung einer 45-minütigen, an lokale Werte adaptierten Schulungsintervention auf HPV-Wissen, Gesundheitsbewusstsein und Impfbereitschaft.</w:t>
      </w:r>
    </w:p>
    <w:p>
      <w:r>
        <w:rPr>
          <w:b/>
        </w:rPr>
        <w:t xml:space="preserve">Ergebnis: </w:t>
      </w:r>
      <w:r>
        <w:t>In der Interventionsgruppe zeigte sich bei 3-Monats-Nachverfolgung gegenüber Kontrollen: Wissen (β=0,84, p&lt;0,001, d=0,45), Bewusstsein (β=0,88, p&lt;0,001, d=0,44), Einstellung (β=0,70, p&lt;0,001, d=0,38), Impfabsicht (β=0,86, p&lt;0,001, d=0,82, großer Effekt). Effekte über Altersgruppen, Bildung und Gesundheitskompetenz konsistent.</w:t>
      </w:r>
    </w:p>
    <w:p>
      <w:r>
        <w:rPr>
          <w:b/>
          <w:sz w:val="19"/>
        </w:rPr>
        <w:t xml:space="preserve">Übertragbarkeit: </w:t>
      </w:r>
      <w:r>
        <w:rPr>
          <w:sz w:val="19"/>
        </w:rPr>
        <w:t>Saudi-Arabien, begrenzt übertragbar, aber Modell für kulturell sensible Beratung in diversen deutschen Bevölkerungsgruppen.</w:t>
      </w:r>
    </w:p>
    <w:p>
      <w:r>
        <w:rPr>
          <w:color w:val="5A7D3A"/>
          <w:sz w:val="18"/>
        </w:rPr>
        <w:t>https://pubmed.ncbi.nlm.nih.gov/42748422/</w:t>
      </w:r>
    </w:p>
    <w:p>
      <w:pPr>
        <w:pStyle w:val="Heading2"/>
      </w:pPr>
      <w:r>
        <w:t>Personalisierte Neoantigen-Impfstoff-Therapie bei Kopf-Hals-Karzinom vermeidet Rezidive</w:t>
      </w:r>
    </w:p>
    <w:p>
      <w:r>
        <w:rPr>
          <w:i/>
          <w:color w:val="666666"/>
          <w:sz w:val="18"/>
        </w:rPr>
        <w:t>Ottensmeier C et al.  ·  Nat Commun  ·  17.08.2026  ·  PMID 42744798</w:t>
      </w:r>
    </w:p>
    <w:p>
      <w:r>
        <w:t>Randomisierte Phase-I-Studie (n=32) zur Adjuvans-Therapie mit TG4050, einem individualisierten viralen Neoantigen-Impfstoff mit bis zu 30 tumor-spezifischen Neoantigenen, nach Standard-Chemotherapie vs. abwartendem Vorgehen.</w:t>
      </w:r>
    </w:p>
    <w:p>
      <w:r>
        <w:rPr>
          <w:b/>
        </w:rPr>
        <w:t xml:space="preserve">Ergebnis: </w:t>
      </w:r>
      <w:r>
        <w:t>Unmittelbare TG4050-Gruppe: 0 von 16 Rezidive nach 30 Monaten Nachverfolgung; Kontrollgruppe: 3 von 16 Rezidive. T-Zell-Antworten gegen Neoantigen in 73,3 % detektiert (Median 3 Neoantigen pro Responder), persistent über 1 Jahr. Neoantigen-spezifische CD8+ T-Zellen zeigten Effektor- und geweberesidente Marker.</w:t>
      </w:r>
    </w:p>
    <w:p>
      <w:r>
        <w:rPr>
          <w:b/>
          <w:sz w:val="19"/>
        </w:rPr>
        <w:t xml:space="preserve">Übertragbarkeit: </w:t>
      </w:r>
      <w:r>
        <w:rPr>
          <w:sz w:val="19"/>
        </w:rPr>
        <w:t>Multinationale Studie (UK, Frankreich, Niederlande), übertragbar auf deutsches Klinikum mit entsprechender molekularer Tumorcharakterisierung.</w:t>
      </w:r>
    </w:p>
    <w:p>
      <w:r>
        <w:rPr>
          <w:color w:val="5A7D3A"/>
          <w:sz w:val="18"/>
        </w:rPr>
        <w:t>https://pubmed.ncbi.nlm.nih.gov/42744798/</w:t>
      </w:r>
    </w:p>
    <w:p>
      <w:pPr>
        <w:pStyle w:val="Heading2"/>
      </w:pPr>
      <w:r>
        <w:t>HPV-Impfung bei Erwachsenen 27–45 Jahren: Quote und Trends in USA</w:t>
      </w:r>
    </w:p>
    <w:p>
      <w:r>
        <w:rPr>
          <w:i/>
          <w:color w:val="666666"/>
          <w:sz w:val="18"/>
        </w:rPr>
        <w:t>Fisher-Borne M et al.  ·  Hum Vaccin Immunother  ·  10.09.2026  ·  PMID 42723147</w:t>
      </w:r>
    </w:p>
    <w:p>
      <w:r>
        <w:t>Retrospektive Auswertung kommerzieller Claims-Daten 2019–2023 zur HPV-Impfquote bei erwachsenen Frauen und Männern unter shared clinical decision-making.</w:t>
      </w:r>
    </w:p>
    <w:p>
      <w:r>
        <w:rPr>
          <w:b/>
        </w:rPr>
        <w:t xml:space="preserve">Ergebnis: </w:t>
      </w:r>
      <w:r>
        <w:t>Annual HPV-Impfinitiation stieg von 0,21 % (2019) auf 0,54 % (2023); kumulativ über 5 Jahre 0,84 % bei 3–4 Mio. jährlich ungeimpften Personen. Apotheken als Impfort nahmen zu, regionale Variation 0,23–1,56 %.</w:t>
      </w:r>
    </w:p>
    <w:p>
      <w:r>
        <w:rPr>
          <w:b/>
          <w:sz w:val="19"/>
        </w:rPr>
        <w:t xml:space="preserve">Übertragbarkeit: </w:t>
      </w:r>
      <w:r>
        <w:rPr>
          <w:sz w:val="19"/>
        </w:rPr>
        <w:t>USA mit grundlegend anderer Versicherungsstruktur; aber Befunde zur Rolle von Apotheken und regionaler Varianz relevant für Deutschland.</w:t>
      </w:r>
    </w:p>
    <w:p>
      <w:r>
        <w:rPr>
          <w:color w:val="5A7D3A"/>
          <w:sz w:val="18"/>
        </w:rPr>
        <w:t>https://pubmed.ncbi.nlm.nih.gov/42723147/</w:t>
      </w:r>
    </w:p>
    <w:p>
      <w:pPr>
        <w:pStyle w:val="Heading2"/>
      </w:pPr>
      <w:r>
        <w:t>Immunosuppression-Entzug und mRNA-Impfung bei Nierentransplantierten</w:t>
      </w:r>
    </w:p>
    <w:p>
      <w:r>
        <w:rPr>
          <w:i/>
          <w:color w:val="666666"/>
          <w:sz w:val="18"/>
        </w:rPr>
        <w:t>Goerlich N et al.  ·  Front Immunol  ·  17.08.2026  ·  PMID 42676352</w:t>
      </w:r>
    </w:p>
    <w:p>
      <w:r>
        <w:t>Hochdimensionale Analyse der Immunzellkomposition bei Nierentransplantierten unter temporärem Mycophenolsäure-Entzug während mRNA-1273-Impfung.</w:t>
      </w:r>
    </w:p>
    <w:p>
      <w:r>
        <w:rPr>
          <w:b/>
        </w:rPr>
        <w:t xml:space="preserve">Ergebnis: </w:t>
      </w:r>
      <w:r>
        <w:t>Mycophenolsäure-Entzug war assoziiert mit erhöhten CD4+/CD8+ T-Zell-Frequenzen (p=0,039 bzw. p=0,001) und verminderten Monozyten- und B-Zell-Frequenzen (p=0,014 bzw. p=0,023). Effekte variierten je nach Transplantationsdauer und Alter; kein einzelner Marker war prädiktiv für Serokonversion.</w:t>
      </w:r>
    </w:p>
    <w:p>
      <w:r>
        <w:rPr>
          <w:b/>
          <w:sz w:val="19"/>
        </w:rPr>
        <w:t xml:space="preserve">Übertragbarkeit: </w:t>
      </w:r>
      <w:r>
        <w:rPr>
          <w:sz w:val="19"/>
        </w:rPr>
        <w:t>Deutsche Klinikstudie, direkt übertragbar auf deutsches Transplantationssystem mit vergleichbarer Immunsuppression.</w:t>
      </w:r>
    </w:p>
    <w:p>
      <w:r>
        <w:rPr>
          <w:color w:val="5A7D3A"/>
          <w:sz w:val="18"/>
        </w:rPr>
        <w:t>https://pubmed.ncbi.nlm.nih.gov/42676352/</w:t>
      </w:r>
    </w:p>
    <w:p>
      <w:pPr>
        <w:pStyle w:val="Heading2"/>
      </w:pPr>
      <w:r>
        <w:t>IL-33 und sST2 nach Tdap-Booster-Impfung bei finnischen Kindern</w:t>
      </w:r>
    </w:p>
    <w:p>
      <w:r>
        <w:rPr>
          <w:i/>
          <w:color w:val="666666"/>
          <w:sz w:val="18"/>
        </w:rPr>
        <w:t>Anabe D et al.  ·  Cytokine  ·  13.08.2026  ·  PMID 42594457</w:t>
      </w:r>
    </w:p>
    <w:p>
      <w:r>
        <w:t>Longitudinale Untersuchung von Interleukin-33 und löslichem ST2 in Serum vor und nach Tdap-IPV-Booster-Impfung in unterschiedlichen Altersgruppen (7–70 Jahre).</w:t>
      </w:r>
    </w:p>
    <w:p>
      <w:r>
        <w:rPr>
          <w:b/>
        </w:rPr>
        <w:t xml:space="preserve">Ergebnis: </w:t>
      </w:r>
      <w:r>
        <w:t>IL-33 in 70 % der Fälle nicht nachweisbar. Serum-sST2 zeigte signifikanten Anstieg über 365 Tage (p&lt;0,001), mit höherem Ausgangswert bei jüngeren Altersgruppen. Keine Assoziation zwischen IL-33/sST2 und Impfantwort oder Zytokinen.</w:t>
      </w:r>
    </w:p>
    <w:p>
      <w:r>
        <w:rPr>
          <w:b/>
          <w:sz w:val="19"/>
        </w:rPr>
        <w:t xml:space="preserve">Übertragbarkeit: </w:t>
      </w:r>
      <w:r>
        <w:rPr>
          <w:sz w:val="19"/>
        </w:rPr>
        <w:t>Finnland, vergleichbares skandinavisches Gesundheitssystem und Register; etablierte Referenzwerte für präklinische Marker.</w:t>
      </w:r>
    </w:p>
    <w:p>
      <w:r>
        <w:rPr>
          <w:color w:val="5A7D3A"/>
          <w:sz w:val="18"/>
        </w:rPr>
        <w:t>https://pubmed.ncbi.nlm.nih.gov/42594457/</w:t>
      </w:r>
    </w:p>
    <w:p>
      <w:pPr>
        <w:pStyle w:val="Heading1"/>
      </w:pPr>
      <w:r>
        <w:t>Aufgenommen am 16.09.2026</w:t>
      </w:r>
    </w:p>
    <w:p>
      <w:pPr>
        <w:pStyle w:val="Heading2"/>
      </w:pPr>
      <w:r>
        <w:t>Digitale Assistenten für HPV-Impfung und Gebärmutterhalskrebs-Screening – was funktioniert?</w:t>
      </w:r>
    </w:p>
    <w:p>
      <w:r>
        <w:rPr>
          <w:i/>
          <w:color w:val="666666"/>
          <w:sz w:val="18"/>
        </w:rPr>
        <w:t>Umbetzhanova A et al.  ·  Front Public Health  ·  31.08.2026  ·  PMID 42741336</w:t>
      </w:r>
    </w:p>
    <w:p>
      <w:r>
        <w:t>Systematische Übersicht von 14 Studien (2016–2026) zur Frage, ob interaktive digitale Tools (Chatbots, Apps, Serious Games) HPV-Impfung und Gebärmutterhals-Screening erhöhen.</w:t>
      </w:r>
    </w:p>
    <w:p>
      <w:r>
        <w:rPr>
          <w:b/>
        </w:rPr>
        <w:t xml:space="preserve">Ergebnis: </w:t>
      </w:r>
      <w:r>
        <w:t>Chatbots zeigten vielversprechende Kurzzeit-Effekte auf Termin-Buchung (moderate Evidenz), aber hohe Abbruch-Quoten bei Mehrfach-Dosen. Theorie-basierte Apps erhöhten Zytologie-Inanspruchnahme kurzfristig (moderate Evidenz). Ein Serious Game korrelierte mit höheren CIN2+-Erkennungsraten, aber Confounding war schwerwiegend. Insgesamt: moderate Kurzzeit-Effekte, aber unzureichende Evidenz für Dauer.</w:t>
      </w:r>
    </w:p>
    <w:p>
      <w:r>
        <w:rPr>
          <w:b/>
          <w:sz w:val="19"/>
        </w:rPr>
        <w:t xml:space="preserve">Übertragbarkeit: </w:t>
      </w:r>
      <w:r>
        <w:rPr>
          <w:sz w:val="19"/>
        </w:rPr>
        <w:t>Mehrländer-Übersicht, digitale Hürden international ähnlich</w:t>
      </w:r>
    </w:p>
    <w:p>
      <w:r>
        <w:rPr>
          <w:color w:val="5A7D3A"/>
          <w:sz w:val="18"/>
        </w:rPr>
        <w:t>https://pubmed.ncbi.nlm.nih.gov/42741336/</w:t>
      </w:r>
    </w:p>
    <w:p>
      <w:pPr>
        <w:pStyle w:val="Heading2"/>
      </w:pPr>
      <w:r>
        <w:t>Impfen in Schulen: Was Schulkrankenpfleger in Colorado als Barrieren berichten</w:t>
      </w:r>
    </w:p>
    <w:p>
      <w:r>
        <w:rPr>
          <w:i/>
          <w:color w:val="666666"/>
          <w:sz w:val="18"/>
        </w:rPr>
        <w:t>Nienstedt L et al.  ·  J Sch Health  ·  Okt. 2026  ·  PMID 42740714</w:t>
      </w:r>
    </w:p>
    <w:p>
      <w:r>
        <w:t>Querschnittsbefragung von 368 Schulkrankenpflegern in Colorado 2024, ob und wie sie schulgebundene Impfaktionen (SAVEs) umsetzten.</w:t>
      </w:r>
    </w:p>
    <w:p>
      <w:r>
        <w:rPr>
          <w:b/>
        </w:rPr>
        <w:t xml:space="preserve">Ergebnis: </w:t>
      </w:r>
      <w:r>
        <w:t>Schulen ohne SAVEs nannten Mangel an Leitlinien (Top-3-Barriere), fehlende Personalzeit und mangelnde externe Partnerschaften als Haupthindernisse. In ländlichen Schulen rangierte Impf-Politisierung unter Top-Barrieren; in Schulen mit niedrigem Einkommen und Gymnasien war Zeitdruck dominant. Schulen mit SAVEs betont externe Partnerschaften und elterliches Vertrauen als Erfolsfaktoren.</w:t>
      </w:r>
    </w:p>
    <w:p>
      <w:r>
        <w:rPr>
          <w:b/>
          <w:sz w:val="19"/>
        </w:rPr>
        <w:t xml:space="preserve">Übertragbarkeit: </w:t>
      </w:r>
      <w:r>
        <w:rPr>
          <w:sz w:val="19"/>
        </w:rPr>
        <w:t>USA - nur Zugangswegs-Hürden übertragbar, nicht System</w:t>
      </w:r>
    </w:p>
    <w:p>
      <w:r>
        <w:rPr>
          <w:color w:val="5A7D3A"/>
          <w:sz w:val="18"/>
        </w:rPr>
        <w:t>https://pubmed.ncbi.nlm.nih.gov/42740714/</w:t>
      </w:r>
    </w:p>
    <w:p>
      <w:pPr>
        <w:pStyle w:val="Heading2"/>
      </w:pPr>
      <w:r>
        <w:t>Grippeschutz bei Älteren: Bildung und Umgebung beeinflussen Impfquote</w:t>
      </w:r>
    </w:p>
    <w:p>
      <w:r>
        <w:rPr>
          <w:i/>
          <w:color w:val="666666"/>
          <w:sz w:val="18"/>
        </w:rPr>
        <w:t>Zhang C et al.  ·  Zhonghua Yu Fang Yi Xue Za Zhi  ·  06.09.2026  ·  PMID 42736149</w:t>
      </w:r>
    </w:p>
    <w:p>
      <w:r>
        <w:t>Befragung von 700 Personen ≥60 Jahren in Shaanxi (China) 2025 zu Einflussfaktoren auf Grippeimpfung.</w:t>
      </w:r>
    </w:p>
    <w:p>
      <w:r>
        <w:rPr>
          <w:b/>
        </w:rPr>
        <w:t xml:space="preserve">Ergebnis: </w:t>
      </w:r>
      <w:r>
        <w:t>49,7% geimpft, 50,3% ungeimpft. Schutzfaktoren: Hochschulbildung (OR 2,77), Stadtwohnung (OR 1,94), hohes Infektionsrisiko-Bewusstsein (OR 4,89), Glaube an Impfnutzen (OR 10,96), Familie/Freunde mit Impfgeschichte (OR 5,07). Bildung und soziales Umfeld sind stärkste Prädiktoren – nicht Zugang allein.</w:t>
      </w:r>
    </w:p>
    <w:p>
      <w:r>
        <w:rPr>
          <w:b/>
          <w:sz w:val="19"/>
        </w:rPr>
        <w:t xml:space="preserve">Übertragbarkeit: </w:t>
      </w:r>
      <w:r>
        <w:rPr>
          <w:sz w:val="19"/>
        </w:rPr>
        <w:t>China - Befund zu Risiko-Wahrnehmung und Vertrauen transnational relevant</w:t>
      </w:r>
    </w:p>
    <w:p>
      <w:r>
        <w:rPr>
          <w:color w:val="5A7D3A"/>
          <w:sz w:val="18"/>
        </w:rPr>
        <w:t>https://pubmed.ncbi.nlm.nih.gov/42736149/</w:t>
      </w:r>
    </w:p>
    <w:p>
      <w:pPr>
        <w:pStyle w:val="Heading2"/>
      </w:pPr>
      <w:r>
        <w:t>RSV-Impfung in der Schwangerschaft und Frühgeburtsrisiko: Metaanalyse</w:t>
      </w:r>
    </w:p>
    <w:p>
      <w:r>
        <w:rPr>
          <w:i/>
          <w:color w:val="666666"/>
          <w:sz w:val="18"/>
        </w:rPr>
        <w:t>Leskinen N et al.  ·  Immun Inflamm Dis  ·  Sept. 2026  ·  PMID 42712161</w:t>
      </w:r>
    </w:p>
    <w:p>
      <w:r>
        <w:t>Metaanalyse von 7 Studien (3 RCTs, 4 Beobachtungsstudien; insgesamt ~17.000 Geburten) zur Frage, ob mütterliche RSV-PreF-Impfung Frühgeburten oder NICU-Aufnahmen erhöht.</w:t>
      </w:r>
    </w:p>
    <w:p>
      <w:r>
        <w:rPr>
          <w:b/>
        </w:rPr>
        <w:t xml:space="preserve">Ergebnis: </w:t>
      </w:r>
      <w:r>
        <w:t>RCTs zeigten erhöhtes Frühgeburtsrisiko (RR 1,26, 95%-KI 1,08–1,46); Beobachtungsstudien nicht (RR 0,78, 95%-KI 0,46–1,32). Gepoolte Analyse: kein Gesamteffekt (RR 0,96, 95%-KI 0,68–1,38). NICU-Aufnahme nicht erhöht (RR 0,74). Evidenzsicherheit niedrig bis sehr niedrig; Überwachung empfohlen.</w:t>
      </w:r>
    </w:p>
    <w:p>
      <w:r>
        <w:rPr>
          <w:b/>
          <w:sz w:val="19"/>
        </w:rPr>
        <w:t xml:space="preserve">Übertragbarkeit: </w:t>
      </w:r>
      <w:r>
        <w:rPr>
          <w:sz w:val="19"/>
        </w:rPr>
        <w:t>Mehrländer-Studie, übertragbar auf europaähnliche Settings</w:t>
      </w:r>
    </w:p>
    <w:p>
      <w:r>
        <w:rPr>
          <w:color w:val="5A7D3A"/>
          <w:sz w:val="18"/>
        </w:rPr>
        <w:t>https://pubmed.ncbi.nlm.nih.gov/42712161/</w:t>
      </w:r>
    </w:p>
    <w:p>
      <w:pPr>
        <w:pStyle w:val="Heading2"/>
      </w:pPr>
      <w:r>
        <w:t>Auffrischimpfung gegen JN.1-Variante aktiviert neue B-Zell-Subpopulationen</w:t>
      </w:r>
    </w:p>
    <w:p>
      <w:r>
        <w:rPr>
          <w:i/>
          <w:color w:val="666666"/>
          <w:sz w:val="18"/>
        </w:rPr>
        <w:t>Stankov MV et al.  ·  Nat Commun  ·  24.07.2026  ·  PMID 42498786</w:t>
      </w:r>
    </w:p>
    <w:p>
      <w:r>
        <w:t>Deutsche Längsschnittstudie (n=42, überwiegend mehrfach Geimpfte und Infizierte) untersuchte, wie JN.1-adaptierte mRNA-Booster die Antikörper- und B-Zell-Antwort verändern.</w:t>
      </w:r>
    </w:p>
    <w:p>
      <w:r>
        <w:rPr>
          <w:b/>
        </w:rPr>
        <w:t xml:space="preserve">Ergebnis: </w:t>
      </w:r>
      <w:r>
        <w:t>IgG-Bindung und Neutralisierungstiter gegen JN.1 stiegen; Antigen-spezifische Memory-B-Zellen zeigten durch Mutationen (somatic hypermutation) verbesserte JN.1-Bindung, ohne dass neue naive B-Zellen massiv rekrutiert wurden. Effekt: Reifung vorbestehender Memory-B-Zellen statt Neuausrichtung.</w:t>
      </w:r>
    </w:p>
    <w:p>
      <w:r>
        <w:rPr>
          <w:b/>
          <w:sz w:val="19"/>
        </w:rPr>
        <w:t xml:space="preserve">Übertragbarkeit: </w:t>
      </w:r>
      <w:r>
        <w:rPr>
          <w:sz w:val="19"/>
        </w:rPr>
        <w:t>Deutschland, vergleichbare Impfstrategie und Dokumentation</w:t>
      </w:r>
    </w:p>
    <w:p>
      <w:r>
        <w:rPr>
          <w:color w:val="5A7D3A"/>
          <w:sz w:val="18"/>
        </w:rPr>
        <w:t>https://pubmed.ncbi.nlm.nih.gov/42498786/</w:t>
      </w:r>
    </w:p>
    <w:p>
      <w:pPr>
        <w:pStyle w:val="Heading2"/>
      </w:pPr>
      <w:r>
        <w:t>CAR-T-Therapien in Europa: Axicabtagene vs. Tisagenlecleucel bei großzelligem Lymphom</w:t>
      </w:r>
    </w:p>
    <w:p>
      <w:r>
        <w:rPr>
          <w:i/>
          <w:color w:val="666666"/>
          <w:sz w:val="18"/>
        </w:rPr>
        <w:t>Li H et al.  ·  PeerJ  ·  06.07.2026  ·  PMID 42428526</w:t>
      </w:r>
    </w:p>
    <w:p>
      <w:r>
        <w:t>Systematische Übersicht von 8 europäischen Kohortenstudien mit 2.178 Patienten verglich Wirksamkeit und Toxizität zweier CAR-T-Produkte gegen diffuses großzelliges B-Zell-Lymphom.</w:t>
      </w:r>
    </w:p>
    <w:p>
      <w:r>
        <w:rPr>
          <w:b/>
        </w:rPr>
        <w:t xml:space="preserve">Ergebnis: </w:t>
      </w:r>
      <w:r>
        <w:t>Axicabtagene zeigte höhere 3-Monats-Ansprechquoten (signifikant, p nicht genannt), aber niedrigere 12-Monats-progressionsfreie Überlebensraten; höhere Raten für Zytokinfreibsetzungssyndrom und neurotoxisches Syndrom (ICANS) alle Grade sowie Grade ≥3 ICANS, häufigere Tocilizumab-Gabe. Unter europäischen Alltagsbedingungen zeigt sich ein Wirksamkeits-Toxizitäts-Trade-off.</w:t>
      </w:r>
    </w:p>
    <w:p>
      <w:r>
        <w:rPr>
          <w:b/>
          <w:sz w:val="19"/>
        </w:rPr>
        <w:t xml:space="preserve">Übertragbarkeit: </w:t>
      </w:r>
      <w:r>
        <w:rPr>
          <w:sz w:val="19"/>
        </w:rPr>
        <w:t>Europa - acht Kohorten, vergleichbares Versicherungssystem</w:t>
      </w:r>
    </w:p>
    <w:p>
      <w:r>
        <w:rPr>
          <w:color w:val="5A7D3A"/>
          <w:sz w:val="18"/>
        </w:rPr>
        <w:t>https://pubmed.ncbi.nlm.nih.gov/42428526/</w:t>
      </w:r>
    </w:p>
    <w:p>
      <w:pPr>
        <w:pStyle w:val="Heading1"/>
      </w:pPr>
      <w:r>
        <w:t>Aufgenommen am 15.09.2026</w:t>
      </w:r>
    </w:p>
    <w:p>
      <w:pPr>
        <w:pStyle w:val="Heading2"/>
      </w:pPr>
      <w:r>
        <w:t>COVID-19-Pandemie verbesserte Wissen und Einstellung zur Polioimpfung in Pakistan</w:t>
      </w:r>
    </w:p>
    <w:p>
      <w:r>
        <w:rPr>
          <w:i/>
          <w:color w:val="666666"/>
          <w:sz w:val="18"/>
        </w:rPr>
        <w:t>Ullah A et al.  ·  East Mediterr Health J  ·  03.09.2026  ·  PMID 42734198</w:t>
      </w:r>
    </w:p>
    <w:p>
      <w:r>
        <w:t>Querschnittsstudie mit 308 Eltern von Kindern unter fünf Jahren in Nord-Waziristan, Pakistan (Januar bis April 2025) zum Wissensstand über Polioimpfung vor und nach COVID-19.</w:t>
      </w:r>
    </w:p>
    <w:p>
      <w:r>
        <w:rPr>
          <w:b/>
        </w:rPr>
        <w:t xml:space="preserve">Ergebnis: </w:t>
      </w:r>
      <w:r>
        <w:t>Mittlere Wissenspunktzahl stieg von 6,2±2,3 (vor COVID-19) auf 8,3±2,1 (nach COVID-19; p&lt;0,0001). Gutes Wissen (Punktzahl ≥9) nahm von 36,3 % auf 58,7 % zu, Fehlvorstellungen sanken von 64,9 % auf 35,1 %. Empfehlungen von Fachpersonal (85 %), Social-Media-Kampagnen (76 %) und Verfechter religiöser Führer (55 %) trugen zur Verbesserung bei.</w:t>
      </w:r>
    </w:p>
    <w:p>
      <w:r>
        <w:rPr>
          <w:b/>
          <w:sz w:val="19"/>
        </w:rPr>
        <w:t xml:space="preserve">Übertragbarkeit: </w:t>
      </w:r>
      <w:r>
        <w:rPr>
          <w:sz w:val="19"/>
        </w:rPr>
        <w:t>Pakistan – Impfakzeptanz-Befunde, aber anderes Gesundheitssystem</w:t>
      </w:r>
    </w:p>
    <w:p>
      <w:r>
        <w:rPr>
          <w:color w:val="5A7D3A"/>
          <w:sz w:val="18"/>
        </w:rPr>
        <w:t>https://pubmed.ncbi.nlm.nih.gov/42734198/</w:t>
      </w:r>
    </w:p>
    <w:p>
      <w:pPr>
        <w:pStyle w:val="Heading2"/>
      </w:pPr>
      <w:r>
        <w:t>Herpes Zoster-Impfstoff LZ901 schützt 91,6 Prozent der Geimpften vor Erkrankung</w:t>
      </w:r>
    </w:p>
    <w:p>
      <w:r>
        <w:rPr>
          <w:i/>
          <w:color w:val="666666"/>
          <w:sz w:val="18"/>
        </w:rPr>
        <w:t>Jin P et al.  ·  Nat Commun  ·  07.08.2026  ·  PMID 42733065</w:t>
      </w:r>
    </w:p>
    <w:p>
      <w:r>
        <w:t>Randomisierte, placebokontrollierte Phase-3-Studie zur Wirksamkeit und Sicherheit des Herpes-Zoster-Impfstoffs LZ901 (rekombinante gE-Fc-Fusionprotein) bei 26 018 Erwachsenen ab 40 Jahren über 12 Monate.</w:t>
      </w:r>
    </w:p>
    <w:p>
      <w:r>
        <w:rPr>
          <w:b/>
        </w:rPr>
        <w:t xml:space="preserve">Ergebnis: </w:t>
      </w:r>
      <w:r>
        <w:t>Impfeffektivität gegen Herpes Zoster 91,6 % (95%-KI 86,3–95,3; p&lt;0,001); bei 40–69 Jahren 93,9 %, bei ≥70 Jahren 66,9 %. Gegen Post-Zoster-Neuralgie 95,9 % (95%-KI 63,9–99,9). Injektionsstellen- und systemische Reaktionen erhöht, Grad-3-Reaktionen selten (0,3 % vs. 0,4 % Placebo), keine schwerwiegenden unerwünschten Ereignisse.</w:t>
      </w:r>
    </w:p>
    <w:p>
      <w:r>
        <w:rPr>
          <w:b/>
          <w:sz w:val="19"/>
        </w:rPr>
        <w:t xml:space="preserve">Übertragbarkeit: </w:t>
      </w:r>
      <w:r>
        <w:rPr>
          <w:sz w:val="19"/>
        </w:rPr>
        <w:t>China, vergleichbare epidemiologische Zielgruppe und klinische Endpunkte</w:t>
      </w:r>
    </w:p>
    <w:p>
      <w:r>
        <w:rPr>
          <w:color w:val="5A7D3A"/>
          <w:sz w:val="18"/>
        </w:rPr>
        <w:t>https://pubmed.ncbi.nlm.nih.gov/42733065/</w:t>
      </w:r>
    </w:p>
    <w:p>
      <w:pPr>
        <w:pStyle w:val="Heading2"/>
      </w:pPr>
      <w:r>
        <w:t>Mobile-App zur HPV-Impfberatung erhöhte Impfrate bei Kindern auf 48 Prozent</w:t>
      </w:r>
    </w:p>
    <w:p>
      <w:r>
        <w:rPr>
          <w:i/>
          <w:color w:val="666666"/>
          <w:sz w:val="18"/>
        </w:rPr>
        <w:t>Cunningham-Erves J et al.  ·  JMIR Cancer  ·  09.09.2026  ·  PMID 42715554</w:t>
      </w:r>
    </w:p>
    <w:p>
      <w:r>
        <w:t>Pilot-RCT (Juni–September 2023) in zwei Stadtkliniken Tennessee mit 57 Eltern von Kindern 9–17 Jahren. HPVVaxFacts-App vermittelt tailorierte Impfaufklärung vor Klinikbesuch versus Ernährungsedukation (Aufmerksamkeitskontrolle).</w:t>
      </w:r>
    </w:p>
    <w:p>
      <w:r>
        <w:rPr>
          <w:b/>
        </w:rPr>
        <w:t xml:space="preserve">Ergebnis: </w:t>
      </w:r>
      <w:r>
        <w:t>HPV-Impfeinleitung Interventionsgruppe 48 %, Kontrollgruppe 17 % (Differenz 0,24; 95%-KI 0,03–0,46; p=0,01). Wissensgewinne und Besorgnis-Reduktion in der App-Gruppe größer, aber nicht statistisch signifikant (p=0,13 und p=0,14). 81 % der Eltern nutzten die App, Mehrheit fand Protokoll und App akzeptabel.</w:t>
      </w:r>
    </w:p>
    <w:p>
      <w:r>
        <w:rPr>
          <w:b/>
          <w:sz w:val="19"/>
        </w:rPr>
        <w:t xml:space="preserve">Übertragbarkeit: </w:t>
      </w:r>
      <w:r>
        <w:rPr>
          <w:sz w:val="19"/>
        </w:rPr>
        <w:t>USA – Impfakzeptanz-Intervention, transferierbar nur für Designprinzipien</w:t>
      </w:r>
    </w:p>
    <w:p>
      <w:r>
        <w:rPr>
          <w:color w:val="5A7D3A"/>
          <w:sz w:val="18"/>
        </w:rPr>
        <w:t>https://pubmed.ncbi.nlm.nih.gov/42715554/</w:t>
      </w:r>
    </w:p>
    <w:p>
      <w:pPr>
        <w:pStyle w:val="Heading2"/>
      </w:pPr>
      <w:r>
        <w:t>Verständnis der Herpes-Zoster-Erkrankung steigert Impfquote bei älteren Erwachsenen in China</w:t>
      </w:r>
    </w:p>
    <w:p>
      <w:r>
        <w:rPr>
          <w:i/>
          <w:color w:val="666666"/>
          <w:sz w:val="18"/>
        </w:rPr>
        <w:t>Cao H et al.  ·  Hum Vaccin Immunother  ·  08.09.2026  ·  PMID 42708543</w:t>
      </w:r>
    </w:p>
    <w:p>
      <w:r>
        <w:t>Querschnittsstudie mit 1556 Bürgern ab 60 Jahren aus Shenzhen, China (August–Oktober 2024) zu psychosozialen und familiären Faktoren der Herpes-Zoster-Impfakzeptanz.</w:t>
      </w:r>
    </w:p>
    <w:p>
      <w:r>
        <w:rPr>
          <w:b/>
        </w:rPr>
        <w:t xml:space="preserve">Ergebnis: </w:t>
      </w:r>
      <w:r>
        <w:t>8,0 % der Teilnehmer waren geimpft. Besseres Verständnis (Kohärenz) war mit höherer Impfquote assoziiert (AOR 1,15; 95%-KI 1,07–1,24). Impfmüdigkeit korrelierte mit niedrigerer Quote (AOR 0,79; 95%-KI 0,62–0,99). Stark modifizierbare psychosoziale Faktoren identifiziert.</w:t>
      </w:r>
    </w:p>
    <w:p>
      <w:r>
        <w:rPr>
          <w:b/>
          <w:sz w:val="19"/>
        </w:rPr>
        <w:t xml:space="preserve">Übertragbarkeit: </w:t>
      </w:r>
      <w:r>
        <w:rPr>
          <w:sz w:val="19"/>
        </w:rPr>
        <w:t>China – Versorgungskontext anderer, Impfskepsis-Mechanismen aber übertragbar</w:t>
      </w:r>
    </w:p>
    <w:p>
      <w:r>
        <w:rPr>
          <w:color w:val="5A7D3A"/>
          <w:sz w:val="18"/>
        </w:rPr>
        <w:t>https://pubmed.ncbi.nlm.nih.gov/42708543/</w:t>
      </w:r>
    </w:p>
    <w:p>
      <w:pPr>
        <w:pStyle w:val="Heading2"/>
      </w:pPr>
      <w:r>
        <w:t>Altersabhängige Immunabläufe erklären unterschiedliche Influenza-Impfwirksamkeit über Lebensalter</w:t>
      </w:r>
    </w:p>
    <w:p>
      <w:r>
        <w:rPr>
          <w:i/>
          <w:color w:val="666666"/>
          <w:sz w:val="18"/>
        </w:rPr>
        <w:t>Liu J et al.  ·  Front Immunol  ·  24.08.2026  ·  PMID 42707705</w:t>
      </w:r>
    </w:p>
    <w:p>
      <w:r>
        <w:t>Narrativer Review zu Einflussfaktoren des Alters auf Influenza-Impfeffektivität und zu lebensalter-spezifischen Immunmechanismen von der Entwicklung über Reifung bis zur Immunoseneszenz.</w:t>
      </w:r>
    </w:p>
    <w:p>
      <w:r>
        <w:rPr>
          <w:b/>
        </w:rPr>
        <w:t xml:space="preserve">Ergebnis: </w:t>
      </w:r>
      <w:r>
        <w:t>Influenza-Impfeffektivität zeigt erhebliche altersabhängige Heterogenität. Immun-Remodellierung über die Lebensspanne prägt Vakzin-Reaktionen. Review schlägt altersgerechte Impfstoff-Optimierungsstrategie vor: spezifische Formulierungen für Kinder, Erwachsene und ältere Menschen statt ‚one-dose-fits-all'-Modell. Theoretische Grundlage für Präzisions-Impfparadigma gelegt.</w:t>
      </w:r>
    </w:p>
    <w:p>
      <w:r>
        <w:rPr>
          <w:b/>
          <w:sz w:val="19"/>
        </w:rPr>
        <w:t xml:space="preserve">Übertragbarkeit: </w:t>
      </w:r>
      <w:r>
        <w:rPr>
          <w:sz w:val="19"/>
        </w:rPr>
        <w:t>China (Institut), aber Immunologie-Mechanismen universal</w:t>
      </w:r>
    </w:p>
    <w:p>
      <w:r>
        <w:rPr>
          <w:color w:val="5A7D3A"/>
          <w:sz w:val="18"/>
        </w:rPr>
        <w:t>https://pubmed.ncbi.nlm.nih.gov/42707705/</w:t>
      </w:r>
    </w:p>
    <w:p>
      <w:pPr>
        <w:pStyle w:val="Heading2"/>
      </w:pPr>
      <w:r>
        <w:t>23-valente Pneumokokken-Polysaccharidimpfung senkte ambulante Pneumonie um knapp 20 Prozent</w:t>
      </w:r>
    </w:p>
    <w:p>
      <w:r>
        <w:rPr>
          <w:i/>
          <w:color w:val="666666"/>
          <w:sz w:val="18"/>
        </w:rPr>
        <w:t>Vernooij FS et al.  ·  Epidemiol Infect  ·  23.07.2026  ·  PMID 42487216</w:t>
      </w:r>
    </w:p>
    <w:p>
      <w:r>
        <w:t>Regression-Discontinuity-Analyse der Wirkung der PPV23-Impfung auf nicht-invasive Pneumokokken-Pneumonie bei Erwachsenen über 60 Jahren in den Niederlanden zwischen 2016 und 2023.</w:t>
      </w:r>
    </w:p>
    <w:p>
      <w:r>
        <w:rPr>
          <w:b/>
        </w:rPr>
        <w:t xml:space="preserve">Ergebnis: </w:t>
      </w:r>
      <w:r>
        <w:t>Gesamtwirksamkeit 19,7 % (95%-KI 8,5–29,7). Die Schutzwirkung nahm über die Zeit seit Impfberechtigung ab, blieb aber auch nach drei Jahren deutlich vorhanden. Daten aus 14 Laboren mit geschätzter Abdeckung von 34,9 % der niederländischen Bevölkerung.</w:t>
      </w:r>
    </w:p>
    <w:p>
      <w:r>
        <w:rPr>
          <w:b/>
          <w:sz w:val="19"/>
        </w:rPr>
        <w:t xml:space="preserve">Übertragbarkeit: </w:t>
      </w:r>
      <w:r>
        <w:rPr>
          <w:sz w:val="19"/>
        </w:rPr>
        <w:t>Niederlande, vergleichbares Versicherungssystem und Laborregister</w:t>
      </w:r>
    </w:p>
    <w:p>
      <w:r>
        <w:rPr>
          <w:color w:val="5A7D3A"/>
          <w:sz w:val="18"/>
        </w:rPr>
        <w:t>https://pubmed.ncbi.nlm.nih.gov/42487216/</w:t>
      </w:r>
    </w:p>
    <w:p>
      <w:pPr>
        <w:pStyle w:val="Heading1"/>
      </w:pPr>
      <w:r>
        <w:t>Aufgenommen am 14.09.2026</w:t>
      </w:r>
    </w:p>
    <w:p>
      <w:pPr>
        <w:pStyle w:val="Heading2"/>
      </w:pPr>
      <w:r>
        <w:t>Impfkampagnen-Monitoring: Abweichungen zwischen Felderhebungen und Nachbarschafts-Umfragen</w:t>
      </w:r>
    </w:p>
    <w:p>
      <w:r>
        <w:rPr>
          <w:i/>
          <w:color w:val="666666"/>
          <w:sz w:val="18"/>
        </w:rPr>
        <w:t>Thakkar N  ·  Gates Open Res  ·  01.09.2026  ·  PMID 42732098</w:t>
      </w:r>
    </w:p>
    <w:p>
      <w:r>
        <w:t>Analyse von Impfteam-Tallies (tägliche Dokumentation Geimpfter) versus Post-Campaign Coverage Surveys (PCCS) in Kano-Kampagne 2023 (Masern, Nigeria) unter Verwendung von Capture-Recapture-Methoden.</w:t>
      </w:r>
    </w:p>
    <w:p>
      <w:r>
        <w:rPr>
          <w:b/>
        </w:rPr>
        <w:t xml:space="preserve">Ergebnis: </w:t>
      </w:r>
      <w:r>
        <w:t>Erhebliche Diskrepanzen zwischen Tally-basierten Recapture-Schätzungen und PCCS-Daten. Tally-Daten ermöglichen präzise, quasi-zeitgleiche Monitoring und hohe räumliche Auflösung. Verschiedene Verzerrungsmodelle erklären Abweichungen: Doppelzählungen, fehlende Dokumentation, Non-Response in PCCS. Tally-Sheets als unkonventionelle, aber nachvollziehbare Populationsstichprobe zur Echtzeitbewertung von Implementierungsqualität.</w:t>
      </w:r>
    </w:p>
    <w:p>
      <w:r>
        <w:rPr>
          <w:b/>
          <w:sz w:val="19"/>
        </w:rPr>
        <w:t xml:space="preserve">Übertragbarkeit: </w:t>
      </w:r>
      <w:r>
        <w:rPr>
          <w:sz w:val="19"/>
        </w:rPr>
        <w:t>Nigeria/Subsahara-Kontext, Methodik auf deutsche Kampagnen-Evaluation anwendbar, insbes. zur Echtzeit-Qualitätskontrolle.</w:t>
      </w:r>
    </w:p>
    <w:p>
      <w:r>
        <w:rPr>
          <w:color w:val="5A7D3A"/>
          <w:sz w:val="18"/>
        </w:rPr>
        <w:t>https://pubmed.ncbi.nlm.nih.gov/42732098/</w:t>
      </w:r>
    </w:p>
    <w:p>
      <w:pPr>
        <w:pStyle w:val="Heading2"/>
      </w:pPr>
      <w:r>
        <w:t>Verzögerte Impfungen: Globale Systeme erfassen Catch-up-Dosen unzureichend</w:t>
      </w:r>
    </w:p>
    <w:p>
      <w:r>
        <w:rPr>
          <w:i/>
          <w:color w:val="666666"/>
          <w:sz w:val="18"/>
        </w:rPr>
        <w:t>Danovaro-Holliday MC et al.  ·  Gates Open Res  ·  01.09.2026  ·  PMID 42732096</w:t>
      </w:r>
    </w:p>
    <w:p>
      <w:r>
        <w:t>Analyse von WHO/UNICEF-Daten aus 194 Ländern (2016–2022) zur Fähigkeit von Immunisierungssystemen, verzögerte (Catch-up-)Impfdosen zu dokumentieren und zu monitoren.</w:t>
      </w:r>
    </w:p>
    <w:p>
      <w:r>
        <w:rPr>
          <w:b/>
        </w:rPr>
        <w:t xml:space="preserve">Ergebnis: </w:t>
      </w:r>
      <w:r>
        <w:t>Nur 55,5–64,4 % der Länder verfügten über Systeme zur Erfassung verzögerter Dosen; in Amerika (AMR) 77,1–82,9 %. Median-Anteil verzögerter MCV1-Dosen: 4,4 %. Catch-up-Aktivitäten würden gemeldete Impfquoten um ca. 4 Prozentpunkte erhöhen. Erhebliche regionale Unterschiede je nach Einkommensstatus und Gavi-Teilnahme.</w:t>
      </w:r>
    </w:p>
    <w:p>
      <w:r>
        <w:rPr>
          <w:b/>
          <w:sz w:val="19"/>
        </w:rPr>
        <w:t xml:space="preserve">Übertragbarkeit: </w:t>
      </w:r>
      <w:r>
        <w:rPr>
          <w:sz w:val="19"/>
        </w:rPr>
        <w:t>Globale Systemanalyse, zeigt Schwächen in deutscher Impfdokumentation (Deutschland hat kein zentrales Impfregister).</w:t>
      </w:r>
    </w:p>
    <w:p>
      <w:r>
        <w:rPr>
          <w:color w:val="5A7D3A"/>
          <w:sz w:val="18"/>
        </w:rPr>
        <w:t>https://pubmed.ncbi.nlm.nih.gov/42732096/</w:t>
      </w:r>
    </w:p>
    <w:p>
      <w:pPr>
        <w:pStyle w:val="Heading2"/>
      </w:pPr>
      <w:r>
        <w:t>Masern als Messlatte: Warum Eradikation Impfsysteme stärkt</w:t>
      </w:r>
    </w:p>
    <w:p>
      <w:r>
        <w:rPr>
          <w:i/>
          <w:color w:val="666666"/>
          <w:sz w:val="18"/>
        </w:rPr>
        <w:t>Durrheim DN et al.  ·  Hum Vaccin Immunother  ·  12.09.2026  ·  PMID 42730634</w:t>
      </w:r>
    </w:p>
    <w:p>
      <w:r>
        <w:t>Perspektive zur strategischen Bedeutung von Masern-Eradikation als Katalysator für Aufbau stabiler Impfprogramme und Gesundheitssysteme, besonders im Kontext steigender Ausbrüche.</w:t>
      </w:r>
    </w:p>
    <w:p>
      <w:r>
        <w:rPr>
          <w:b/>
        </w:rPr>
        <w:t xml:space="preserve">Ergebnis: </w:t>
      </w:r>
      <w:r>
        <w:t>Masern-Eradikation erfordert und katalysiert Fähigkeiten, die auch grundlegend für resiliente Systeme sind: hohe Routineimpfquoten, sensitive Surveillance, qualitätsgesicherte Labornetzwerke, schnelle Ausbruchreaktion, Gemeinschaftsbeteiligung. Aktuelle Ausbrüche signalisieren Systemfragilitäten und bieten Gelegenheit zur Stärkung von Impfgerechtigkeit.</w:t>
      </w:r>
    </w:p>
    <w:p>
      <w:r>
        <w:rPr>
          <w:b/>
          <w:sz w:val="19"/>
        </w:rPr>
        <w:t xml:space="preserve">Übertragbarkeit: </w:t>
      </w:r>
      <w:r>
        <w:rPr>
          <w:sz w:val="19"/>
        </w:rPr>
        <w:t>Conceptual framework zur Systemstärkung, international anwendbar, besonders relevant für Länder mit Ausbrüchen.</w:t>
      </w:r>
    </w:p>
    <w:p>
      <w:r>
        <w:rPr>
          <w:color w:val="5A7D3A"/>
          <w:sz w:val="18"/>
        </w:rPr>
        <w:t>https://pubmed.ncbi.nlm.nih.gov/42730634/</w:t>
      </w:r>
    </w:p>
    <w:p>
      <w:pPr>
        <w:pStyle w:val="Heading2"/>
      </w:pPr>
      <w:r>
        <w:t>Sierra Leone: Von Impfstoff-Verfügbarkeit zur Bevölkerungsschutzung – Deployment Readiness</w:t>
      </w:r>
    </w:p>
    <w:p>
      <w:r>
        <w:rPr>
          <w:i/>
          <w:color w:val="666666"/>
          <w:sz w:val="18"/>
        </w:rPr>
        <w:t>Ikoona EN et al.  ·  Ann Glob Health  ·  07.09.2026  ·  PMID 42730077</w:t>
      </w:r>
    </w:p>
    <w:p>
      <w:r>
        <w:t>Vergleichende Analyse von Impfkampagnen-Implementierung in Sierra Leone (COVID-19 2021, Ebola 2024, Mpox 2025) zur Identifikation kritischer Faktoren zwischen Zulassung und Vakzinierungsbeginn.</w:t>
      </w:r>
    </w:p>
    <w:p>
      <w:r>
        <w:rPr>
          <w:b/>
        </w:rPr>
        <w:t xml:space="preserve">Ergebnis: </w:t>
      </w:r>
      <w:r>
        <w:t>COVID-19: 45 Tage von EMA-Zulassung bis Impfstart; 73,2–86,7 % Deckung in Zielgruppe. Ebola: 1.851 Tage bis Impfstart trotz globales Stockpile seit 2021. Mpox: 106 Tage nach Ausbruchbestätigung, 186.053 Personen erreicht. &gt;84 % der COVID-Dosen über Surge-Kampagnen. Produktverfügbarkeit allein unzureichend; nationale Aktivierung, Finanzierung und Anbindung an globale Vorgaben entscheidend.</w:t>
      </w:r>
    </w:p>
    <w:p>
      <w:r>
        <w:rPr>
          <w:b/>
          <w:sz w:val="19"/>
        </w:rPr>
        <w:t xml:space="preserve">Übertragbarkeit: </w:t>
      </w:r>
      <w:r>
        <w:rPr>
          <w:sz w:val="19"/>
        </w:rPr>
        <w:t>Niedrig-/mitteleinkommiges Land (WHO-EMRO), Implementierungs-Framework transferierbar auf deutsche Krise-Impf-Vorbereitung.</w:t>
      </w:r>
    </w:p>
    <w:p>
      <w:r>
        <w:rPr>
          <w:color w:val="5A7D3A"/>
          <w:sz w:val="18"/>
        </w:rPr>
        <w:t>https://pubmed.ncbi.nlm.nih.gov/42730077/</w:t>
      </w:r>
    </w:p>
    <w:p>
      <w:pPr>
        <w:pStyle w:val="Heading2"/>
      </w:pPr>
      <w:r>
        <w:t>Norovirus-Impfung in England: Kostenwirksam durch Vermeidung von Nierenschäden</w:t>
      </w:r>
    </w:p>
    <w:p>
      <w:r>
        <w:rPr>
          <w:i/>
          <w:color w:val="666666"/>
          <w:sz w:val="18"/>
        </w:rPr>
        <w:t>Bolt H et al.  ·  Epidemics  ·  28.07.2026  ·  PMID 42537313</w:t>
      </w:r>
    </w:p>
    <w:p>
      <w:r>
        <w:t>Modellierung der gesundheitsökonomischen Effekte einer Norovirus-Impfung in England, die Akutnierenschäden als Spätfolge berücksichtigt.</w:t>
      </w:r>
    </w:p>
    <w:p>
      <w:r>
        <w:rPr>
          <w:b/>
        </w:rPr>
        <w:t xml:space="preserve">Ergebnis: </w:t>
      </w:r>
      <w:r>
        <w:t>Kombinierte Impfstrategie für Kinder und Ältere reduzierte symptomatische Infektionen um 64–66 %. Mit akuten Nierenschäden war eine Impfstoffeffektivität von 35 % noch kosteneffektiv (Schwellenwert: £ 20.000 pro QALY). Ohne Berücksichtigung der Nierenschäden war keine Strategie kosteneffektiv.</w:t>
      </w:r>
    </w:p>
    <w:p>
      <w:r>
        <w:rPr>
          <w:b/>
          <w:sz w:val="19"/>
        </w:rPr>
        <w:t xml:space="preserve">Übertragbarkeit: </w:t>
      </w:r>
      <w:r>
        <w:rPr>
          <w:sz w:val="19"/>
        </w:rPr>
        <w:t>Englisches Versorgungssystem, vergleichbar mit deutschen Health Economics-Evaluationen.</w:t>
      </w:r>
    </w:p>
    <w:p>
      <w:r>
        <w:rPr>
          <w:color w:val="5A7D3A"/>
          <w:sz w:val="18"/>
        </w:rPr>
        <w:t>https://pubmed.ncbi.nlm.nih.gov/42537313/</w:t>
      </w:r>
    </w:p>
    <w:p>
      <w:pPr>
        <w:pStyle w:val="Heading2"/>
      </w:pPr>
      <w:r>
        <w:t>Viruslast-Dynamik und Varianten: Was Frankreichs Routinetests über Impfschutz verraten</w:t>
      </w:r>
    </w:p>
    <w:p>
      <w:r>
        <w:rPr>
          <w:i/>
          <w:color w:val="666666"/>
          <w:sz w:val="18"/>
        </w:rPr>
        <w:t>Beaulieu M et al.  ·  PLoS Comput Biol  ·  27.07.2026  ·  PMID 42507756</w:t>
      </w:r>
    </w:p>
    <w:p>
      <w:r>
        <w:t>Analysen von 322.218 PCR-Tests aus Frankreich 2021–2022 zur Erfassung der Viraldy­namik unter verschiedenen Varianten und Impfstatus bei symptomatic infection.</w:t>
      </w:r>
    </w:p>
    <w:p>
      <w:r>
        <w:rPr>
          <w:b/>
        </w:rPr>
        <w:t xml:space="preserve">Ergebnis: </w:t>
      </w:r>
      <w:r>
        <w:t>Alter ≥ 65 Jahre: längere Clearance-Zeit um 2–6 Tage. Geimpfte Personen: 2–4 Tage kürzere Clearance. Omicron: um 2–3 Ct niedrigere Peakviruslast und um 1–2 Tage kürzere Clearance als Delta. Gemeinschafts-PCR-Testdaten ermöglichen robuste Virusdynamik-Schätzungen.</w:t>
      </w:r>
    </w:p>
    <w:p>
      <w:r>
        <w:rPr>
          <w:b/>
          <w:sz w:val="19"/>
        </w:rPr>
        <w:t xml:space="preserve">Übertragbarkeit: </w:t>
      </w:r>
      <w:r>
        <w:rPr>
          <w:sz w:val="19"/>
        </w:rPr>
        <w:t>Frankreich, ähnliche Surveillance-Infrastruktur wie Deutschland, Methode auf deutsche Testdaten übertragbar.</w:t>
      </w:r>
    </w:p>
    <w:p>
      <w:r>
        <w:rPr>
          <w:color w:val="5A7D3A"/>
          <w:sz w:val="18"/>
        </w:rPr>
        <w:t>https://pubmed.ncbi.nlm.nih.gov/42507756/</w:t>
      </w:r>
    </w:p>
    <w:p>
      <w:pPr>
        <w:pStyle w:val="Heading1"/>
      </w:pPr>
      <w:r>
        <w:t>Aufgenommen am 13.09.2026</w:t>
      </w:r>
    </w:p>
    <w:p>
      <w:pPr>
        <w:pStyle w:val="Heading2"/>
      </w:pPr>
      <w:r>
        <w:t>Impflücken in Peru: Wissen und Angst beeinflussen Impfvollständigkeit bei Kindern</w:t>
      </w:r>
    </w:p>
    <w:p>
      <w:r>
        <w:rPr>
          <w:i/>
          <w:color w:val="666666"/>
          <w:sz w:val="18"/>
        </w:rPr>
        <w:t>Castro-Fuentes MN et al.  ·  Front Public Health  ·  26.08.2026  ·  PMID 42718735</w:t>
      </w:r>
    </w:p>
    <w:p>
      <w:r>
        <w:t>Querschnittsstudie bei 123 Familien in Sunampe, Peru: Assoziationen zwischen Impflücken bei Kindern unter fünf Jahren und mütterlichen Wahrnehmungen, Wissen und Angst.</w:t>
      </w:r>
    </w:p>
    <w:p>
      <w:r>
        <w:rPr>
          <w:b/>
        </w:rPr>
        <w:t xml:space="preserve">Ergebnis: </w:t>
      </w:r>
      <w:r>
        <w:t>Impfverweigerung (≥3 verpasste Schlüsseldosen bis 6 Monate): signifikante Prädiktoren waren Mangel an Wissen über Impfalter (OR: 10,96; p &lt; 0,001) und Nichtbesuch von Impfberatungssitzungen (OR: 3,32; p = 0,026). Angst vor Nebenwirkungen (99,2 % der Mütter berichteten sie) war nicht signifikant (Hinweis auf Antwortverzerrung). Modell: AUC = 0,852. Todesfälle unter 5 Jahren (2017–2022): 10 Fälle, davon 6 pneumokokkal-assoziierten.</w:t>
      </w:r>
    </w:p>
    <w:p>
      <w:r>
        <w:rPr>
          <w:b/>
          <w:sz w:val="19"/>
        </w:rPr>
        <w:t xml:space="preserve">Übertragbarkeit: </w:t>
      </w:r>
      <w:r>
        <w:rPr>
          <w:sz w:val="19"/>
        </w:rPr>
        <w:t>Peru – Befund zu Wissenslücken und Impfpfaden in untermotivierter Bevölkerung auf Deutschland nicht direkt übertragbar, aber qualitativ relevant für Migrationsgruppen</w:t>
      </w:r>
    </w:p>
    <w:p>
      <w:r>
        <w:rPr>
          <w:color w:val="5A7D3A"/>
          <w:sz w:val="18"/>
        </w:rPr>
        <w:t>https://pubmed.ncbi.nlm.nih.gov/42718735/</w:t>
      </w:r>
    </w:p>
    <w:p>
      <w:pPr>
        <w:pStyle w:val="Heading2"/>
      </w:pPr>
      <w:r>
        <w:t>Pneumokokkencolonisierung bei Kindern in Brasilien: Begrenzte Abdeckung durch PCV10</w:t>
      </w:r>
    </w:p>
    <w:p>
      <w:r>
        <w:rPr>
          <w:i/>
          <w:color w:val="666666"/>
          <w:sz w:val="18"/>
        </w:rPr>
        <w:t>Sousa IO et al.  ·  PLoS One  ·  09.09.2026  ·  PMID 42715187</w:t>
      </w:r>
    </w:p>
    <w:p>
      <w:r>
        <w:t>Querschnittstudie bei 400 Kindern (2–5 Jahre) in Salvador, Brasilien: Nasopharyngale Besiedlung mit Streptococcus pneumoniae und Serotypverteilung nach PCV10-GSK-Impfung im brasilianischen Routineprogramm.</w:t>
      </w:r>
    </w:p>
    <w:p>
      <w:r>
        <w:rPr>
          <w:b/>
        </w:rPr>
        <w:t xml:space="preserve">Ergebnis: </w:t>
      </w:r>
      <w:r>
        <w:t>Gesamtbesiedlungsrate: 39,5 %. Häufigste Serotypen: 6C (17,9 %), 19A (13,0 %), 11A (9,3 %). PCV10-GSK deckt nur 3,2 % der Serotypen ab; PCV20 würde 39,5 % abdecken. Penicillinresistenz in 21,8 % der Isolate, am höchsten bei 19A (71,4 %). Befund zeigt Impflücke bei nicht-PCV10-Serotypen trotz Impfung.</w:t>
      </w:r>
    </w:p>
    <w:p>
      <w:r>
        <w:rPr>
          <w:b/>
          <w:sz w:val="19"/>
        </w:rPr>
        <w:t xml:space="preserve">Übertragbarkeit: </w:t>
      </w:r>
      <w:r>
        <w:rPr>
          <w:sz w:val="19"/>
        </w:rPr>
        <w:t>Brasilien – Befund zur Serotyp-Abdeckung und Resistenzentwicklung unter Feldimpfung ist grundlegend übertragbar</w:t>
      </w:r>
    </w:p>
    <w:p>
      <w:r>
        <w:rPr>
          <w:color w:val="5A7D3A"/>
          <w:sz w:val="18"/>
        </w:rPr>
        <w:t>https://pubmed.ncbi.nlm.nih.gov/42715187/</w:t>
      </w:r>
    </w:p>
    <w:p>
      <w:pPr>
        <w:pStyle w:val="Heading2"/>
      </w:pPr>
      <w:r>
        <w:t>Pneumococcale Impfung (PCV21) verhindert invasive Erkrankungen bei Erwachsenen in Spanien</w:t>
      </w:r>
    </w:p>
    <w:p>
      <w:r>
        <w:rPr>
          <w:i/>
          <w:color w:val="666666"/>
          <w:sz w:val="18"/>
        </w:rPr>
        <w:t>Simuzingili M et al.  ·  Vaccine  ·  03.10.2026  ·  PMID 42669238</w:t>
      </w:r>
    </w:p>
    <w:p>
      <w:r>
        <w:t>Gesundheitsökonomische Modellstudie in Spanien: Der 21-valente pneumokokkale Konjugatimpfstoff (PCV21) wurde mit PCV20 verglichen hinsichtlich verhinderte IPD-Fälle und vermiedene Kosten.</w:t>
      </w:r>
    </w:p>
    <w:p>
      <w:r>
        <w:rPr>
          <w:b/>
        </w:rPr>
        <w:t xml:space="preserve">Ergebnis: </w:t>
      </w:r>
      <w:r>
        <w:t>Bei 45–64-jährigen: PCV21 verhindert 178 IPD-Fälle mehr und 20 Todesfälle mehr als PCV20; spart 0,7 Mio. EUR (10% Mehrersparnis). Bei ≥65-Jährigen: 2019 IPD-Fälle und 435 Todesfälle mehr verhindert; spart 257 Mio. EUR (25% Mehrersparnis). Beide Altersgruppen: PCV21 war in allen Szenarien kostenwirksam.</w:t>
      </w:r>
    </w:p>
    <w:p>
      <w:r>
        <w:rPr>
          <w:b/>
          <w:sz w:val="19"/>
        </w:rPr>
        <w:t xml:space="preserve">Übertragbarkeit: </w:t>
      </w:r>
      <w:r>
        <w:rPr>
          <w:sz w:val="19"/>
        </w:rPr>
        <w:t>Spanien, vergleichbares Versicherungssystem und Epidemiologie wie Deutschland</w:t>
      </w:r>
    </w:p>
    <w:p>
      <w:r>
        <w:rPr>
          <w:color w:val="5A7D3A"/>
          <w:sz w:val="18"/>
        </w:rPr>
        <w:t>https://pubmed.ncbi.nlm.nih.gov/42669238/</w:t>
      </w:r>
    </w:p>
    <w:p>
      <w:pPr>
        <w:pStyle w:val="Heading2"/>
      </w:pPr>
      <w:r>
        <w:t>RSV-Impfung für Neugeborene in Japan: Saisonale vs. ganzjährige Strategie</w:t>
      </w:r>
    </w:p>
    <w:p>
      <w:r>
        <w:rPr>
          <w:i/>
          <w:color w:val="666666"/>
          <w:sz w:val="18"/>
        </w:rPr>
        <w:t>Monoi A et al.  ·  Vaccine  ·  03.10.2026  ·  PMID 42648051</w:t>
      </w:r>
    </w:p>
    <w:p>
      <w:r>
        <w:t>Modellstudie: Vergleich saisonaler und ganzjähriger RSV-Immunisierung von Neugeborenen zur Prävention von Krankenhausaufenthalten.</w:t>
      </w:r>
    </w:p>
    <w:p>
      <w:r>
        <w:rPr>
          <w:b/>
        </w:rPr>
        <w:t xml:space="preserve">Ergebnis: </w:t>
      </w:r>
      <w:r>
        <w:t>Ganzjährige RSVpreF-Impfung: 46 % Reduktion der RSV-Hospitalisierungen (95% UR: 31–65%). Ganzjährig Nirsevimab: 58 % Reduktion (95% UR: 39–79%). Saisonale Programme: bei zeitgerechter Durchführung 56–61 % Reduktion. Effekt stark abhängig von Saisonalitätsprädiktion und logistischen Kapazitäten.</w:t>
      </w:r>
    </w:p>
    <w:p>
      <w:r>
        <w:rPr>
          <w:b/>
          <w:sz w:val="19"/>
        </w:rPr>
        <w:t xml:space="preserve">Übertragbarkeit: </w:t>
      </w:r>
      <w:r>
        <w:rPr>
          <w:sz w:val="19"/>
        </w:rPr>
        <w:t>Japan, anderer Kontext – Befund zur Saisonalität und Impfstoffhaltbarkeit aber grundsätzlich übertragbar</w:t>
      </w:r>
    </w:p>
    <w:p>
      <w:r>
        <w:rPr>
          <w:color w:val="5A7D3A"/>
          <w:sz w:val="18"/>
        </w:rPr>
        <w:t>https://pubmed.ncbi.nlm.nih.gov/42648051/</w:t>
      </w:r>
    </w:p>
    <w:p>
      <w:pPr>
        <w:pStyle w:val="Heading2"/>
      </w:pPr>
      <w:r>
        <w:t>Pneumokokken-Impfung bei Erwachsenen mit Diabetes: Verzögerte Aufnahme in Versorgung</w:t>
      </w:r>
    </w:p>
    <w:p>
      <w:r>
        <w:rPr>
          <w:i/>
          <w:color w:val="666666"/>
          <w:sz w:val="18"/>
        </w:rPr>
        <w:t>Lenzi J et al.  ·  Vaccine  ·  03.10.2026  ·  PMID 42612465</w:t>
      </w:r>
    </w:p>
    <w:p>
      <w:r>
        <w:t>Populationsbasierte Kohortenstudie in Romagna (Italien) mit administrativen Daten: Zeitliche Muster und verpasste Impfgelegenheiten der Pneumokokken-Impfung bei Diabetikern über sieben Jahre.</w:t>
      </w:r>
    </w:p>
    <w:p>
      <w:r>
        <w:rPr>
          <w:b/>
        </w:rPr>
        <w:t xml:space="preserve">Ergebnis: </w:t>
      </w:r>
      <w:r>
        <w:t>Durchimpfungsquote stieg von 7,2 % (Jan. 2017) auf 28,0 % (Juni 2024), blieb aber deutlich unter 30 %. In der Inzidenzkohorte: 4,4 % Impfung nach 1 Jahr, 12,6 % nach 3 Jahren, 34,8 % nach 7 Jahren – kein markanter Anstieg unmittelbar nach Diagnose. Fremdländerisches Herkunftsland assoziiiert mit deutlich niedrigerer Aufnahme (OR: 0,52). Muster deutet auf mangelnde Integration in Diabetes-Versorgungspfade hin.</w:t>
      </w:r>
    </w:p>
    <w:p>
      <w:r>
        <w:rPr>
          <w:b/>
          <w:sz w:val="19"/>
        </w:rPr>
        <w:t xml:space="preserve">Übertragbarkeit: </w:t>
      </w:r>
      <w:r>
        <w:rPr>
          <w:sz w:val="19"/>
        </w:rPr>
        <w:t>Italien, ähnliches Versicherungssystem; Befund zu Versorgungsintegration auf Deutschland übertragbar</w:t>
      </w:r>
    </w:p>
    <w:p>
      <w:r>
        <w:rPr>
          <w:color w:val="5A7D3A"/>
          <w:sz w:val="18"/>
        </w:rPr>
        <w:t>https://pubmed.ncbi.nlm.nih.gov/42612465/</w:t>
      </w:r>
    </w:p>
    <w:p>
      <w:pPr>
        <w:pStyle w:val="Heading2"/>
      </w:pPr>
      <w:r>
        <w:t>Sicherheit der Lebendimpfstoff-Influenzaimpfung in England: Acht Jahre Pharmakovigilanz</w:t>
      </w:r>
    </w:p>
    <w:p>
      <w:r>
        <w:rPr>
          <w:i/>
          <w:color w:val="666666"/>
          <w:sz w:val="18"/>
        </w:rPr>
        <w:t>Dhanda S et al.  ·  Vaccine  ·  03.10.2026  ·  PMID 42607627</w:t>
      </w:r>
    </w:p>
    <w:p>
      <w:r>
        <w:t>Verbesserte passive Sicherheitsüberwachung (EPSS) des intranasalen Lebendimpfstoffs Fluenz® Tetra bei Kindern über acht Grippesaisons in England, mit Sicherheitsberichtskarten in 38–49 Praxen und 25–50 Schulen pro Saison.</w:t>
      </w:r>
    </w:p>
    <w:p>
      <w:r>
        <w:rPr>
          <w:b/>
        </w:rPr>
        <w:t xml:space="preserve">Ergebnis: </w:t>
      </w:r>
      <w:r>
        <w:t>8753–17.922 Sicherheitsberichtskarten ausgegeben jährlich. Rücklaufquoten: 2015/2016: 1,9 %, sinkend auf 2022/2023: 0,4 %. Rhinorrhö am häufigsten gemeldet (0,1–0,6 %). Schwerwiegende unerwünschte Ereignisse selten. Befund unterstützt positives Nutzen-Risiko-Profil über alle acht Saisons.</w:t>
      </w:r>
    </w:p>
    <w:p>
      <w:r>
        <w:rPr>
          <w:b/>
          <w:sz w:val="19"/>
        </w:rPr>
        <w:t xml:space="preserve">Übertragbarkeit: </w:t>
      </w:r>
      <w:r>
        <w:rPr>
          <w:sz w:val="19"/>
        </w:rPr>
        <w:t>Großbritannien, vergleichbare Versorgungsinfrastruktur und Pharmakovigilanz-Standards</w:t>
      </w:r>
    </w:p>
    <w:p>
      <w:r>
        <w:rPr>
          <w:color w:val="5A7D3A"/>
          <w:sz w:val="18"/>
        </w:rPr>
        <w:t>https://pubmed.ncbi.nlm.nih.gov/42607627/</w:t>
      </w:r>
    </w:p>
    <w:p>
      <w:pPr>
        <w:pStyle w:val="Heading1"/>
      </w:pPr>
      <w:r>
        <w:t>Aufgenommen am 12.09.2026</w:t>
      </w:r>
    </w:p>
    <w:p>
      <w:pPr>
        <w:pStyle w:val="Heading2"/>
      </w:pPr>
      <w:r>
        <w:t>COVID-19-Sterblichkeit nach Einkommen: Vorbefunde schlagen Impfung um Faktor 3–5</w:t>
      </w:r>
    </w:p>
    <w:p>
      <w:r>
        <w:rPr>
          <w:i/>
          <w:color w:val="666666"/>
          <w:sz w:val="18"/>
        </w:rPr>
        <w:t>Milkovska E et al.  ·  Int J Epidemiol  ·  18.08.2026  ·  PMID 42727089</w:t>
      </w:r>
    </w:p>
    <w:p>
      <w:r>
        <w:t>Analyse niederländischer Administrativdaten (n = 6.619.699) zur Frage, inwieweit unterschiedliche Vorerkrankungen und Impfquoten die Sterblichkeitsungleichheit nach Einkommen im Jahr 2021 erklären.</w:t>
      </w:r>
    </w:p>
    <w:p>
      <w:r>
        <w:rPr>
          <w:b/>
        </w:rPr>
        <w:t xml:space="preserve">Ergebnis: </w:t>
      </w:r>
      <w:r>
        <w:t>Ärmstes Einkommensfünftel starb 3-mal häufiger an COVID-19 als reichstes. Unterschiede in Vorerkrankungen erklärten 46–67 % der Ungleichheit, Unterschiede in Impfquoten nur 14–19 %. Soziale Determinanten der Gesundheit waren das Haupttreiber.</w:t>
      </w:r>
    </w:p>
    <w:p>
      <w:r>
        <w:rPr>
          <w:b/>
          <w:sz w:val="19"/>
        </w:rPr>
        <w:t xml:space="preserve">Übertragbarkeit: </w:t>
      </w:r>
      <w:r>
        <w:rPr>
          <w:sz w:val="19"/>
        </w:rPr>
        <w:t>Niederländische Administrativdaten mit vergleichbarem Versicherungssystem zu Deutschland</w:t>
      </w:r>
    </w:p>
    <w:p>
      <w:r>
        <w:rPr>
          <w:color w:val="5A7D3A"/>
          <w:sz w:val="18"/>
        </w:rPr>
        <w:t>https://pubmed.ncbi.nlm.nih.gov/42727089/</w:t>
      </w:r>
    </w:p>
    <w:p>
      <w:pPr>
        <w:pStyle w:val="Heading2"/>
      </w:pPr>
      <w:r>
        <w:t>Mütterliche RSV-Impfung reduziert Bronchiolitis-Krankenhauseinweisungen bei Säuglingen um 62 %</w:t>
      </w:r>
    </w:p>
    <w:p>
      <w:r>
        <w:rPr>
          <w:i/>
          <w:color w:val="666666"/>
          <w:sz w:val="18"/>
        </w:rPr>
        <w:t>Broad J et al.  ·  Euro Surveill  ·  Sept. 2026  ·  PMID 42725370</w:t>
      </w:r>
    </w:p>
    <w:p>
      <w:r>
        <w:t>Zeitreihenanalyse zu Auswirkungen der mütterlichen RSV-Impfung auf Hospitalisierungen von Säuglingen unter 3 Monaten in England von September 2024 bis März 2026.</w:t>
      </w:r>
    </w:p>
    <w:p>
      <w:r>
        <w:rPr>
          <w:b/>
        </w:rPr>
        <w:t xml:space="preserve">Ergebnis: </w:t>
      </w:r>
      <w:r>
        <w:t>RSV-Bronchiolitis-Krankenhauseinweisungen sanken um 62,6 % (IRR 0,374; 95%-KI: 0,344–0,407), Bronchiolitis insgesamt um 39,3 %. Bei Impfquote von 55,1 % reduzierten sich Aufnahmen auf Intensivstationen um 41,0 %. Ein bedeutender Schutzeffekt unter realen Versorgungsbedingungen.</w:t>
      </w:r>
    </w:p>
    <w:p>
      <w:r>
        <w:rPr>
          <w:b/>
          <w:sz w:val="19"/>
        </w:rPr>
        <w:t xml:space="preserve">Übertragbarkeit: </w:t>
      </w:r>
      <w:r>
        <w:rPr>
          <w:sz w:val="19"/>
        </w:rPr>
        <w:t>England mit Impfregister; Datenverfügbarkeit ähnlich wie in Skandinavien, nicht Deutschland</w:t>
      </w:r>
    </w:p>
    <w:p>
      <w:r>
        <w:rPr>
          <w:color w:val="5A7D3A"/>
          <w:sz w:val="18"/>
        </w:rPr>
        <w:t>https://pubmed.ncbi.nlm.nih.gov/42725370/</w:t>
      </w:r>
    </w:p>
    <w:p>
      <w:pPr>
        <w:pStyle w:val="Heading2"/>
      </w:pPr>
      <w:r>
        <w:t>Impfskepsis in Pakistan: Datenschutzmethoden zeigen Underreporting bei sensiblen Fragen</w:t>
      </w:r>
    </w:p>
    <w:p>
      <w:r>
        <w:rPr>
          <w:i/>
          <w:color w:val="666666"/>
          <w:sz w:val="18"/>
        </w:rPr>
        <w:t>Shahid MI et al.  ·  Front Public Health  ·  27.08.2026  ·  PMID 42723770</w:t>
      </w:r>
    </w:p>
    <w:p>
      <w:r>
        <w:t>Querschnittsstudie mit 1.200 Teilnehmern in Punjab, Pakistan (Juni–August 2021), die Underreporting von COVID-19-Fällen und Impfskepsis mit privacy-wahrenden randomisierten Antworttechniken misst.</w:t>
      </w:r>
    </w:p>
    <w:p>
      <w:r>
        <w:rPr>
          <w:b/>
        </w:rPr>
        <w:t xml:space="preserve">Ergebnis: </w:t>
      </w:r>
      <w:r>
        <w:t>Direkt berichtete COVID-19-Fälle (städtisch 10,5 %, ländlich 13,7 %) lagen unter datenschutzgeschützten Schätzungen (städtisch 15,3–17,4 %, ländlich 16,7–19,5 %). Impfskepsis-Underreporting kleiner (26,3 % vs. 27,2–27,4 %). PRE &gt;100, bessere Effizienz als Benchmark-Modelle. Privacy-Methoden reduzieren Verzerrung bei sensiblen Outcomes.</w:t>
      </w:r>
    </w:p>
    <w:p>
      <w:r>
        <w:rPr>
          <w:b/>
          <w:sz w:val="19"/>
        </w:rPr>
        <w:t xml:space="preserve">Übertragbarkeit: </w:t>
      </w:r>
      <w:r>
        <w:rPr>
          <w:sz w:val="19"/>
        </w:rPr>
        <w:t>Pakistan, Niedrig-Ressourcen-Setting; Methode zur Verbesserung der Surveillancequalität in Ländern mit schwacher Dokumentation</w:t>
      </w:r>
    </w:p>
    <w:p>
      <w:r>
        <w:rPr>
          <w:color w:val="5A7D3A"/>
          <w:sz w:val="18"/>
        </w:rPr>
        <w:t>https://pubmed.ncbi.nlm.nih.gov/42723770/</w:t>
      </w:r>
    </w:p>
    <w:p>
      <w:pPr>
        <w:pStyle w:val="Heading2"/>
      </w:pPr>
      <w:r>
        <w:t>PCV21-Pneumokokken-Impfung für Risikopatienten 18–64 Jahre in der Schweiz kosteneffektiv</w:t>
      </w:r>
    </w:p>
    <w:p>
      <w:r>
        <w:rPr>
          <w:i/>
          <w:color w:val="666666"/>
          <w:sz w:val="18"/>
        </w:rPr>
        <w:t>Simuzingili M et al.  ·  J Med Econ  ·  10.09.2026  ·  PMID 42723339</w:t>
      </w:r>
    </w:p>
    <w:p>
      <w:r>
        <w:t>Markov-Modell zur Kosten-Effektivität einer PCV21-Impfung für Hochrisiko- und Risiko-Patienten (18–64 Jahre) in der Schweiz mit lebenslanger Perspektive.</w:t>
      </w:r>
    </w:p>
    <w:p>
      <w:r>
        <w:rPr>
          <w:b/>
        </w:rPr>
        <w:t xml:space="preserve">Ergebnis: </w:t>
      </w:r>
      <w:r>
        <w:t>Bei 60-prozentiger Impfquote wurden 518 Fälle invasiver Pneumokokkenerkrankung, 224 Todesfälle und 2.578 ambulant behandelte Pneumonien verhindert. Impfkosten (CHF 39,0 Mio.) überwogen Einsparungen (CHF 21,4 Mio.) um Netto-CHF 17,6 Mio. ICER: CHF 7.665/QALY (kosteneffektiv ab CHF 18.000/QALY-Schwelle). In Sensitivitätsanalyse 100 % Wahrscheinlichkeit Kosteneffektivität.</w:t>
      </w:r>
    </w:p>
    <w:p>
      <w:r>
        <w:rPr>
          <w:b/>
          <w:sz w:val="19"/>
        </w:rPr>
        <w:t xml:space="preserve">Übertragbarkeit: </w:t>
      </w:r>
      <w:r>
        <w:rPr>
          <w:sz w:val="19"/>
        </w:rPr>
        <w:t>Schweizer Gesundheitssystem; Kosten- und Nutzenstruktur ähnlich dem deutschen</w:t>
      </w:r>
    </w:p>
    <w:p>
      <w:r>
        <w:rPr>
          <w:color w:val="5A7D3A"/>
          <w:sz w:val="18"/>
        </w:rPr>
        <w:t>https://pubmed.ncbi.nlm.nih.gov/42723339/</w:t>
      </w:r>
    </w:p>
    <w:p>
      <w:pPr>
        <w:pStyle w:val="Heading2"/>
      </w:pPr>
      <w:r>
        <w:t>RSVpreF-Impfung in Frankreich: Empfohlene Strategie verhindert 7.620 Hospitalisierungen, kostengünstig</w:t>
      </w:r>
    </w:p>
    <w:p>
      <w:r>
        <w:rPr>
          <w:i/>
          <w:color w:val="666666"/>
          <w:sz w:val="18"/>
        </w:rPr>
        <w:t>Fahfouhi Y et al.  ·  Vaccine  ·  03.10.2026  ·  PMID 42628195</w:t>
      </w:r>
    </w:p>
    <w:p>
      <w:r>
        <w:t>Markov-Modell zur Gesundheits- und Kostenfolgen von vier nationalen RSVpreF-Impfstrategien für schwangere Frauen in Frankreich unter Verwendung von Daten zu 627.499 Geburten pro Jahr.</w:t>
      </w:r>
    </w:p>
    <w:p>
      <w:r>
        <w:rPr>
          <w:b/>
        </w:rPr>
        <w:t xml:space="preserve">Ergebnis: </w:t>
      </w:r>
      <w:r>
        <w:t>Ohne Impfung: 38.625 RSV-Hospitalisierungen pro Jahr (Kosten €120,0 Mio.). Empfohlene Strategie (Sept.–Jan.) verhinderte 7.620 Hospitalisierungen (−19,7 %), Kosten €126,4 Mio., €844/Hospitalisierung verhindert, NNV 21. Erweiterte Strategie (Mai–Jan.) zusätzlich 4.111 Fälle vermieden (−13,3 % zusätzlich), erhöhte Gesamtkosten auf €134,4 Mio. (+6,3 %).</w:t>
      </w:r>
    </w:p>
    <w:p>
      <w:r>
        <w:rPr>
          <w:b/>
          <w:sz w:val="19"/>
        </w:rPr>
        <w:t xml:space="preserve">Übertragbarkeit: </w:t>
      </w:r>
      <w:r>
        <w:rPr>
          <w:sz w:val="19"/>
        </w:rPr>
        <w:t>Frankreich, europäisches Versicherungssystem; Nationale Impfkalender und Gesundheitsvergütung vergleichbar</w:t>
      </w:r>
    </w:p>
    <w:p>
      <w:r>
        <w:rPr>
          <w:color w:val="5A7D3A"/>
          <w:sz w:val="18"/>
        </w:rPr>
        <w:t>https://pubmed.ncbi.nlm.nih.gov/42628195/</w:t>
      </w:r>
    </w:p>
    <w:p>
      <w:pPr>
        <w:pStyle w:val="Heading2"/>
      </w:pPr>
      <w:r>
        <w:t>HPV-Impfquote in Europa: 55–60 % im Jahr 5, Schulprogramme und Arztdichte entscheidend</w:t>
      </w:r>
    </w:p>
    <w:p>
      <w:r>
        <w:rPr>
          <w:i/>
          <w:color w:val="666666"/>
          <w:sz w:val="18"/>
        </w:rPr>
        <w:t>Pavia G et al.  ·  Vaccine  ·  03.10.2026  ·  PMID 42623713</w:t>
      </w:r>
    </w:p>
    <w:p>
      <w:r>
        <w:t>Längsschnittstudie über Impfquoten bei 15-jährigen Mädchen in 43 europäischen Ländern 2010–2023, mit Analyse von Prädiktoren und Assoziation mit Google-Suchvolumen.</w:t>
      </w:r>
    </w:p>
    <w:p>
      <w:r>
        <w:rPr>
          <w:b/>
        </w:rPr>
        <w:t xml:space="preserve">Ergebnis: </w:t>
      </w:r>
      <w:r>
        <w:t>Impfquote stieg nach Aufnahme ins nationale Programm auf ~40 % im Jahr 2 , stabilisierte sich bei 55–60 % im Jahr 5. Über 60 % in den meisten Ländern erreicht. Schulprogramme boten schnellere Kurven. Ärztedichte und niedrige öffentliche Skepsis waren signifikante Prädiktoren. WHO-Ziel von 90 % verfehlt.</w:t>
      </w:r>
    </w:p>
    <w:p>
      <w:r>
        <w:rPr>
          <w:b/>
          <w:sz w:val="19"/>
        </w:rPr>
        <w:t xml:space="preserve">Übertragbarkeit: </w:t>
      </w:r>
      <w:r>
        <w:rPr>
          <w:sz w:val="19"/>
        </w:rPr>
        <w:t>Europäische Länder, vergleichbare Systeme; Datenqualität variiert stark (kein deutsches Impfregister)</w:t>
      </w:r>
    </w:p>
    <w:p>
      <w:r>
        <w:rPr>
          <w:color w:val="5A7D3A"/>
          <w:sz w:val="18"/>
        </w:rPr>
        <w:t>https://pubmed.ncbi.nlm.nih.gov/42623713/</w:t>
      </w:r>
    </w:p>
    <w:p>
      <w:pPr>
        <w:pStyle w:val="Heading2"/>
      </w:pPr>
      <w:r>
        <w:t>Diphtherie in der Schweiz 1877–2022: Impfprogramme brachen Epidemie-Wellen</w:t>
      </w:r>
    </w:p>
    <w:p>
      <w:r>
        <w:rPr>
          <w:i/>
          <w:color w:val="666666"/>
          <w:sz w:val="18"/>
        </w:rPr>
        <w:t>Tuor SM et al.  ·  Vaccine  ·  03.10.2026  ·  PMID 42623711</w:t>
      </w:r>
    </w:p>
    <w:p>
      <w:r>
        <w:t>Historische Zeitreihenanalyse der Diphtherie-Morbidität und -Mortalität in der Schweiz über 145 Jahre, mit Bayesianischen Modellen zur Quantifizierung des Impfeffekts ab 1933.</w:t>
      </w:r>
    </w:p>
    <w:p>
      <w:r>
        <w:rPr>
          <w:b/>
        </w:rPr>
        <w:t xml:space="preserve">Ergebnis: </w:t>
      </w:r>
      <w:r>
        <w:t>Von 35.271 Diphtherietodesfällen (1877–2022) starben 99,5 % vor flächendeckender Impfung. Nach Einführung zwingender Impfung in Genf (1933) lagen Inzidenz und Mortalität konsistent unter gemodellten Gegenszenarios. Nach landesweiter Empfehlung (1943) sank Diphtherie schnell in allen Kantonen, aber früher und stärker in Kantonen mit Impfpflicht.</w:t>
      </w:r>
    </w:p>
    <w:p>
      <w:r>
        <w:rPr>
          <w:b/>
          <w:sz w:val="19"/>
        </w:rPr>
        <w:t xml:space="preserve">Übertragbarkeit: </w:t>
      </w:r>
      <w:r>
        <w:rPr>
          <w:sz w:val="19"/>
        </w:rPr>
        <w:t>Schweizer Klinik- und Todesursachendaten; DACH-System mit Dokumentationspflicht vergleichbar</w:t>
      </w:r>
    </w:p>
    <w:p>
      <w:r>
        <w:rPr>
          <w:color w:val="5A7D3A"/>
          <w:sz w:val="18"/>
        </w:rPr>
        <w:t>https://pubmed.ncbi.nlm.nih.gov/42623711/</w:t>
      </w:r>
    </w:p>
    <w:p>
      <w:pPr>
        <w:pStyle w:val="Heading1"/>
      </w:pPr>
      <w:r>
        <w:t>Aufgenommen am 11.09.2026</w:t>
      </w:r>
    </w:p>
    <w:p>
      <w:pPr>
        <w:pStyle w:val="Heading2"/>
      </w:pPr>
      <w:r>
        <w:t>Hebammensicht auf Impfskepsis und Impfverweigerung: Faktoren und Strategien</w:t>
      </w:r>
    </w:p>
    <w:p>
      <w:r>
        <w:rPr>
          <w:i/>
          <w:color w:val="666666"/>
          <w:sz w:val="18"/>
        </w:rPr>
        <w:t>Çatalgöl Ş et al.  ·  Rev Esc Enferm USP  ·  07.09.2026  ·  PMID 42721439</w:t>
      </w:r>
    </w:p>
    <w:p>
      <w:r>
        <w:t>Deskriptive Querschnittsstudie mit 81 Hebammen in türkischen Familien-Gesundheitszentren zu Faktoren der Impfskepsis und empfohlenen Lösungsstrategien.</w:t>
      </w:r>
    </w:p>
    <w:p>
      <w:r>
        <w:rPr>
          <w:b/>
        </w:rPr>
        <w:t xml:space="preserve">Ergebnis: </w:t>
      </w:r>
      <w:r>
        <w:t>Meistgenannte Faktoren der Impfskepsis: Anti-Impf-Websites (90,1 %), Sorgen um Impfstoff-Inhaltsstoffe (70,4 %), Einfluss von Gemeinschaftsführern (66,7 %), religiöse Bedenken (65,4 %). Empfohlene Strategien: Fernsehen-Inhalte zur Impfung (70,4 %), öffentliche Ankündigungen (67,9 %), Informationen durch Gesundheitsarbeiter (58,0 %).</w:t>
      </w:r>
    </w:p>
    <w:p>
      <w:r>
        <w:rPr>
          <w:b/>
          <w:sz w:val="19"/>
        </w:rPr>
        <w:t xml:space="preserve">Übertragbarkeit: </w:t>
      </w:r>
      <w:r>
        <w:rPr>
          <w:sz w:val="19"/>
        </w:rPr>
        <w:t>Türkei, ähnliche Herausforderungen wie deutschsprachige Länder; Rolle von Hebammen in Versorgung relevant</w:t>
      </w:r>
    </w:p>
    <w:p>
      <w:r>
        <w:rPr>
          <w:color w:val="5A7D3A"/>
          <w:sz w:val="18"/>
        </w:rPr>
        <w:t>https://pubmed.ncbi.nlm.nih.gov/42721439/</w:t>
      </w:r>
    </w:p>
    <w:p>
      <w:pPr>
        <w:pStyle w:val="Heading2"/>
      </w:pPr>
      <w:r>
        <w:t>Phase-1-COVID-19-Vakzin-Studien: Flüssige Entscheidungsfindung unter wechselndem Pandemikontext</w:t>
      </w:r>
    </w:p>
    <w:p>
      <w:r>
        <w:rPr>
          <w:i/>
          <w:color w:val="666666"/>
          <w:sz w:val="18"/>
        </w:rPr>
        <w:t>Halperin DM et al.  ·  Hum Vaccin Immunother  ·  10.09.2026  ·  PMID 42721118</w:t>
      </w:r>
    </w:p>
    <w:p>
      <w:r>
        <w:t>Qualitative Studie zur Untersuchung von Faktoren, die Einschluss und Verbleib in Phase-1-COVID-19-Vakzin-Studien beeinflussen, mit semi-strukturierten Interviews bei Teilnehmern und Nicht-Teilnehmern.</w:t>
      </w:r>
    </w:p>
    <w:p>
      <w:r>
        <w:rPr>
          <w:b/>
        </w:rPr>
        <w:t xml:space="preserve">Ergebnis: </w:t>
      </w:r>
      <w:r>
        <w:t>Teilnahmeentscheidungen sind flüssig, nicht einmalig; Teilnehmer bewerteten Prioritäten kontinuierlich neu in Abhängigkeit von öffentlich zugelassenen Impfstoffen, Mandaten und COVID-19-Fallzahlen. Protokoll-Anpassung mit Erlaubnis zur PHAV-Gabe unterstützte Verbleib bis Studienende.</w:t>
      </w:r>
    </w:p>
    <w:p>
      <w:r>
        <w:rPr>
          <w:b/>
          <w:sz w:val="19"/>
        </w:rPr>
        <w:t xml:space="preserve">Übertragbarkeit: </w:t>
      </w:r>
      <w:r>
        <w:rPr>
          <w:sz w:val="19"/>
        </w:rPr>
        <w:t>Kanada, ähnliche Versorgungsstrukturen; qualitative Erkenntnisse auf Impfstoff-Vertrauen übertragbar</w:t>
      </w:r>
    </w:p>
    <w:p>
      <w:r>
        <w:rPr>
          <w:color w:val="5A7D3A"/>
          <w:sz w:val="18"/>
        </w:rPr>
        <w:t>https://pubmed.ncbi.nlm.nih.gov/42721118/</w:t>
      </w:r>
    </w:p>
    <w:p>
      <w:pPr>
        <w:pStyle w:val="Heading2"/>
      </w:pPr>
      <w:r>
        <w:t>Erweiterte HPV-Impfung in Polen: Gesundheitsgewinne und Kosteneffizienz</w:t>
      </w:r>
    </w:p>
    <w:p>
      <w:r>
        <w:rPr>
          <w:i/>
          <w:color w:val="666666"/>
          <w:sz w:val="18"/>
        </w:rPr>
        <w:t>Jaworski R et al.  ·  J Med Econ  ·  09.09.2026  ·  PMID 42717549</w:t>
      </w:r>
    </w:p>
    <w:p>
      <w:r>
        <w:t>Kosten-Nutzen-Analyse zur Erweiterung der HPV-Impfung auf Jungen und Mädchen im Alter 9–17 Jahren in Polen.</w:t>
      </w:r>
    </w:p>
    <w:p>
      <w:r>
        <w:rPr>
          <w:b/>
        </w:rPr>
        <w:t xml:space="preserve">Ergebnis: </w:t>
      </w:r>
      <w:r>
        <w:t>Erhöhung der Impfquoten von 20 % auf 60 % reduziert HPV-assoziierte Erkrankungen um 16 % und Todesfälle um 13 %; bei 90 % Abdeckung Reduktion um 33 % bzw. 27 %. Jeder investierte EUR 1,00 erbringt EUR 4,2 (Gesellschaft) bzw. EUR 2,2 (Fiskus) bei 60 % Abdeckung; EUR 4,6 bzw. EUR 2,4 bei 90 %.</w:t>
      </w:r>
    </w:p>
    <w:p>
      <w:r>
        <w:rPr>
          <w:b/>
          <w:sz w:val="19"/>
        </w:rPr>
        <w:t xml:space="preserve">Übertragbarkeit: </w:t>
      </w:r>
      <w:r>
        <w:rPr>
          <w:sz w:val="19"/>
        </w:rPr>
        <w:t>Polen, europäisches Sozialversicherungssystem, Impfkalender-Modellierung</w:t>
      </w:r>
    </w:p>
    <w:p>
      <w:r>
        <w:rPr>
          <w:color w:val="5A7D3A"/>
          <w:sz w:val="18"/>
        </w:rPr>
        <w:t>https://pubmed.ncbi.nlm.nih.gov/42717549/</w:t>
      </w:r>
    </w:p>
    <w:p>
      <w:pPr>
        <w:pStyle w:val="Heading2"/>
      </w:pPr>
      <w:r>
        <w:t>EV-A71-Impfung in Shanghai: 89,9 % Effektivität, Verschiebung zu Nicht-EV-A71-Serotypen</w:t>
      </w:r>
    </w:p>
    <w:p>
      <w:r>
        <w:rPr>
          <w:i/>
          <w:color w:val="666666"/>
          <w:sz w:val="18"/>
        </w:rPr>
        <w:t>Xu Z et al.  ·  Hum Vaccin Immunother  ·  09.09.2026  ·  PMID 42714139</w:t>
      </w:r>
    </w:p>
    <w:p>
      <w:r>
        <w:t>Test-Negative-Design-Studie zur Wirksamkeit der EV-A71-Impfung gegen Hand-Fuß-Mund-Krankheit in Shanghai 2009–2023, mit Vergleich prä- und post-Impfprogramm-Epidemiologie.</w:t>
      </w:r>
    </w:p>
    <w:p>
      <w:r>
        <w:rPr>
          <w:b/>
        </w:rPr>
        <w:t xml:space="preserve">Ergebnis: </w:t>
      </w:r>
      <w:r>
        <w:t>Gesamtwirksamkeit gegen EV-A71-assoziierte HFMD und Herpangina: 89,9 % (95%-KI: 74,5–96,0) für Zwei-Dosen-Serie, 67,9 % (95%-KI: 2,6–89,6) für Einzeldosis. Nach Impfprogramm-Einführung: Inzidenz-Reduktion 56,7 %, Schweregradreduktion 95,2 %, null Todesfälle (von 3 auf 0).</w:t>
      </w:r>
    </w:p>
    <w:p>
      <w:r>
        <w:rPr>
          <w:b/>
          <w:sz w:val="19"/>
        </w:rPr>
        <w:t xml:space="preserve">Übertragbarkeit: </w:t>
      </w:r>
      <w:r>
        <w:rPr>
          <w:sz w:val="19"/>
        </w:rPr>
        <w:t>China-Daten, aber Versorgungseffektivität in realer Welt gut dokumentiert; Serotyp-Shift hat globale Relevanz</w:t>
      </w:r>
    </w:p>
    <w:p>
      <w:r>
        <w:rPr>
          <w:color w:val="5A7D3A"/>
          <w:sz w:val="18"/>
        </w:rPr>
        <w:t>https://pubmed.ncbi.nlm.nih.gov/42714139/</w:t>
      </w:r>
    </w:p>
    <w:p>
      <w:pPr>
        <w:pStyle w:val="Heading2"/>
      </w:pPr>
      <w:r>
        <w:t>mRNA-Impfung verursacht reproduzierbare Transkript-Isoform-Verschiebungen</w:t>
      </w:r>
    </w:p>
    <w:p>
      <w:r>
        <w:rPr>
          <w:i/>
          <w:color w:val="666666"/>
          <w:sz w:val="18"/>
        </w:rPr>
        <w:t>Riemann L et al.  ·  Eur J Immunol  ·  Sept. 2026  ·  PMID 42670157</w:t>
      </w:r>
    </w:p>
    <w:p>
      <w:r>
        <w:t>Analyse longitudinaler RNA-Sequenzierungs-Daten zur Charakterisierung von Veränderungen in der Transkript-Isoform-Nutzung nach mRNA-Impfung.</w:t>
      </w:r>
    </w:p>
    <w:p>
      <w:r>
        <w:rPr>
          <w:b/>
        </w:rPr>
        <w:t xml:space="preserve">Ergebnis: </w:t>
      </w:r>
      <w:r>
        <w:t>mRNA-Impfung induziert schnelle und transiente Welle differentieller Transkript-Nutzung, die 24 h post-Impfung mit 131 veränderten Isoformen über 107 Gene gipfelt, vor Auflösung bis Tag 14. Muster reproduzierbar über mehrere Impfstoff-Kohorten (MVA-basiert, Influenza, Ebola).</w:t>
      </w:r>
    </w:p>
    <w:p>
      <w:r>
        <w:rPr>
          <w:b/>
          <w:sz w:val="19"/>
        </w:rPr>
        <w:t xml:space="preserve">Übertragbarkeit: </w:t>
      </w:r>
      <w:r>
        <w:rPr>
          <w:sz w:val="19"/>
        </w:rPr>
        <w:t>Grundlagenforschung ohne klinischen Endpunkt, nicht geeignet für Versorgungsanalyse</w:t>
      </w:r>
    </w:p>
    <w:p>
      <w:r>
        <w:rPr>
          <w:color w:val="5A7D3A"/>
          <w:sz w:val="18"/>
        </w:rPr>
        <w:t>https://pubmed.ncbi.nlm.nih.gov/42670157/</w:t>
      </w:r>
    </w:p>
    <w:p>
      <w:pPr>
        <w:pStyle w:val="Heading2"/>
      </w:pPr>
      <w:r>
        <w:t>Influenza- und Herpes-Zoster-Impfeffektivität bei Autoimmunerkrankungen: keine Unterschiede zu Gesunden</w:t>
      </w:r>
    </w:p>
    <w:p>
      <w:r>
        <w:rPr>
          <w:i/>
          <w:color w:val="666666"/>
          <w:sz w:val="18"/>
        </w:rPr>
        <w:t>Denz R et al.  ·  J Infect Public Health  ·  02.07.2026  ·  PMID 42398453</w:t>
      </w:r>
    </w:p>
    <w:p>
      <w:r>
        <w:t>Emulierte Zielstudien mit Anspruchsdaten einer großen deutschen Krankenkasse zur Vergleichbarkeit der Impfwirksamkeit zwischen Personen mit und ohne Autoimmunerkrankungen (MS, IBD, CIRD).</w:t>
      </w:r>
    </w:p>
    <w:p>
      <w:r>
        <w:rPr>
          <w:b/>
        </w:rPr>
        <w:t xml:space="preserve">Ergebnis: </w:t>
      </w:r>
      <w:r>
        <w:t>Herpes-Zoster-Wirksamkeit: 68,73 % (95%-KI: 55,75–77,91) bei AID, 60,30 % (55,59–64,52) ohne AID; Wirksamkeitsverhältnis 1,14 (0,93–1,30). Influenza-Wirksamkeit ohne relevante Unterschiede über vier Saisonen; alle Wirksamkeitsverhältnisse nahe 1.</w:t>
      </w:r>
    </w:p>
    <w:p>
      <w:r>
        <w:rPr>
          <w:b/>
          <w:sz w:val="19"/>
        </w:rPr>
        <w:t xml:space="preserve">Übertragbarkeit: </w:t>
      </w:r>
      <w:r>
        <w:rPr>
          <w:sz w:val="19"/>
        </w:rPr>
        <w:t>Deutsche Anspruchsdaten, vergleichbar mit Routine-Versorgung; MS, IBD, CIRD-Patienten relevant für Versorgung</w:t>
      </w:r>
    </w:p>
    <w:p>
      <w:r>
        <w:rPr>
          <w:color w:val="5A7D3A"/>
          <w:sz w:val="18"/>
        </w:rPr>
        <w:t>https://pubmed.ncbi.nlm.nih.gov/42398453/</w:t>
      </w:r>
    </w:p>
    <w:p>
      <w:pPr>
        <w:pStyle w:val="Heading1"/>
      </w:pPr>
      <w:r>
        <w:t>Aufgenommen am 10.09.2026</w:t>
      </w:r>
    </w:p>
    <w:p>
      <w:pPr>
        <w:pStyle w:val="Heading2"/>
      </w:pPr>
      <w:r>
        <w:t>RSV-Impfskepsis bei chinesischen Eltern: Informationssuche dominiert, nicht Vertrauen</w:t>
      </w:r>
    </w:p>
    <w:p>
      <w:r>
        <w:rPr>
          <w:i/>
          <w:color w:val="666666"/>
          <w:sz w:val="18"/>
        </w:rPr>
        <w:t>Zhu Y et al.  ·  Hum Vaccin Immunother  ·  31.12.2026  ·  PMID 42714313</w:t>
      </w:r>
    </w:p>
    <w:p>
      <w:r>
        <w:t>Querschnittstudie mit 4.422 Paaren (Schwangere und Partner) in acht chinesischen Provinzen zur Analyse psychologischer Vorstufen der Vaccine Hesitancy gegenüber RSV-Impfstoffen und RSV-Antikörpern.</w:t>
      </w:r>
    </w:p>
    <w:p>
      <w:r>
        <w:rPr>
          <w:b/>
        </w:rPr>
        <w:t xml:space="preserve">Ergebnis: </w:t>
      </w:r>
      <w:r>
        <w:t>Frauen zeigten marginal niedrigere 5C-Werte als Partner für mütterliche Impfung (45,88 vs. 46,25; Cohen's d = −0,06). Älteres Alter, ländlicher Wohnort und niedriges Einkommen waren unabhängig mit höherer Hesitancy assoziiert. 'Calculation' (aktive Informationssuche) scorte bei beiden Gruppen am höchsten.</w:t>
      </w:r>
    </w:p>
    <w:p>
      <w:r>
        <w:rPr>
          <w:b/>
          <w:sz w:val="19"/>
        </w:rPr>
        <w:t xml:space="preserve">Übertragbarkeit: </w:t>
      </w:r>
      <w:r>
        <w:rPr>
          <w:sz w:val="19"/>
        </w:rPr>
        <w:t>China-Studie; Psychologische Grundmuster der Vaccine Hesitancy international relevant.</w:t>
      </w:r>
    </w:p>
    <w:p>
      <w:r>
        <w:rPr>
          <w:color w:val="5A7D3A"/>
          <w:sz w:val="18"/>
        </w:rPr>
        <w:t>https://pubmed.ncbi.nlm.nih.gov/42714313/</w:t>
      </w:r>
    </w:p>
    <w:p>
      <w:pPr>
        <w:pStyle w:val="Heading2"/>
      </w:pPr>
      <w:r>
        <w:t>Gesundheitskommunikation gegen Impfskepsis bei Kinderimpfungen in Nigeria – Systematische Übersicht</w:t>
      </w:r>
    </w:p>
    <w:p>
      <w:r>
        <w:rPr>
          <w:i/>
          <w:color w:val="666666"/>
          <w:sz w:val="18"/>
        </w:rPr>
        <w:t>Ike TJ et al.  ·  Front Public Health  ·  25.08.2026  ·  PMID 42713528</w:t>
      </w:r>
    </w:p>
    <w:p>
      <w:r>
        <w:t>Systematische Übersicht mit thematischer Synthese von 12 Studien (2017–2026) zu Kommunikationsstrategien gegen elterliche Vaccine Hesitancy bei Kinderimpfungen in Nigeria.</w:t>
      </w:r>
    </w:p>
    <w:p>
      <w:r>
        <w:rPr>
          <w:b/>
        </w:rPr>
        <w:t xml:space="preserve">Ergebnis: </w:t>
      </w:r>
      <w:r>
        <w:t>Vier Strategietypen identifiziert: Medienkampagnen, staatlich gesponserte Kommunikation, Gemeinde-zentrierte Ansätze und telefonische Interventionen. Kulturelle Anpassung, Einbindung vertrauter Führungspersonen (religiöse/traditionelle Leader), Multi-Kanal-Ansatz und Responsivität auf strukturelle Barrieren und Informationsbedarf waren erfolgskritisch.</w:t>
      </w:r>
    </w:p>
    <w:p>
      <w:r>
        <w:rPr>
          <w:b/>
          <w:sz w:val="19"/>
        </w:rPr>
        <w:t xml:space="preserve">Übertragbarkeit: </w:t>
      </w:r>
      <w:r>
        <w:rPr>
          <w:sz w:val="19"/>
        </w:rPr>
        <w:t>Nigeria, niedriges Einkommen; Kommunikationsprinzipien zu Vaccine Hesitancy aber universal relevant.</w:t>
      </w:r>
    </w:p>
    <w:p>
      <w:r>
        <w:rPr>
          <w:color w:val="5A7D3A"/>
          <w:sz w:val="18"/>
        </w:rPr>
        <w:t>https://pubmed.ncbi.nlm.nih.gov/42713528/</w:t>
      </w:r>
    </w:p>
    <w:p>
      <w:pPr>
        <w:pStyle w:val="Heading2"/>
      </w:pPr>
      <w:r>
        <w:t>HPV-Impfquote 70% in Shenzhen: Psychologische Modelle verlieren Erklärungskraft, Kosten bleiben Barriere</w:t>
      </w:r>
    </w:p>
    <w:p>
      <w:r>
        <w:rPr>
          <w:i/>
          <w:color w:val="666666"/>
          <w:sz w:val="18"/>
        </w:rPr>
        <w:t>Liu Y et al.  ·  Front Public Health  ·  25.08.2026  ·  PMID 42712616</w:t>
      </w:r>
    </w:p>
    <w:p>
      <w:r>
        <w:t>Querschnittstudie mit 1.257 Frauen in Shenzhen zur Diskriminanzvalidität von Health Belief Model und 3C-Modell bei Restimpfverweigerung nach bereits 70% HPV-Impfquote.</w:t>
      </w:r>
    </w:p>
    <w:p>
      <w:r>
        <w:rPr>
          <w:b/>
        </w:rPr>
        <w:t xml:space="preserve">Ergebnis: </w:t>
      </w:r>
      <w:r>
        <w:t>Bei 70% Durchimpfung zeigten HBM und 3C-Skalen begrenzte Diskriminanzvalidität zwischen Geimpften und Ungeimpften (nur 2 von 10 Konstrukten signifikant, triviale Effektgrößen d=0,13). Hauptgründe für Nicht-Impfung: hohe Kosten (42,3%) und Sicherheitsbedenken (33,8%). Hukou moderierte wahrgenommene Barrieren suggestiv (nicht signifikant).</w:t>
      </w:r>
    </w:p>
    <w:p>
      <w:r>
        <w:rPr>
          <w:b/>
          <w:sz w:val="19"/>
        </w:rPr>
        <w:t xml:space="preserve">Übertragbarkeit: </w:t>
      </w:r>
      <w:r>
        <w:rPr>
          <w:sz w:val="19"/>
        </w:rPr>
        <w:t>China, hochquoten-Setting; zeigt, dass psychologische Standardmodelle bei Hochquoten an Grenzen stoßen.</w:t>
      </w:r>
    </w:p>
    <w:p>
      <w:r>
        <w:rPr>
          <w:color w:val="5A7D3A"/>
          <w:sz w:val="18"/>
        </w:rPr>
        <w:t>https://pubmed.ncbi.nlm.nih.gov/42712616/</w:t>
      </w:r>
    </w:p>
    <w:p>
      <w:pPr>
        <w:pStyle w:val="Heading2"/>
      </w:pPr>
      <w:r>
        <w:t>COVID-19-Impfung in Irland: Barrieren und Förderfaktoren im Implementierungsprozess</w:t>
      </w:r>
    </w:p>
    <w:p>
      <w:r>
        <w:rPr>
          <w:i/>
          <w:color w:val="666666"/>
          <w:sz w:val="18"/>
        </w:rPr>
        <w:t>Kandulu CC et al.  ·  Vaccine  ·  30.08.2026  ·  PMID 42407300</w:t>
      </w:r>
    </w:p>
    <w:p>
      <w:r>
        <w:t>Qualitative Studie mit 16 Stakeholdern zur Identifikation von Faktoren, die die Umsetzung des COVID-19-Impfprogramms in Irland auf nationaler, regionaler und lokaler Ebene beeinflussten.</w:t>
      </w:r>
    </w:p>
    <w:p>
      <w:r>
        <w:rPr>
          <w:b/>
        </w:rPr>
        <w:t xml:space="preserve">Ergebnis: </w:t>
      </w:r>
      <w:r>
        <w:t>Verzögerte oder sich ändernde Evidenz, Komplexität der Impfstoffe und Anpassung der Bereitstellungskonzepte (Skalierung auf Massenimpfzentren) waren kritische Faktoren. Ressourcenverfügbarkeit, organisatorische Infrastruktur, Policy-Rahmen, Kommunikation und Fachkompetenz waren entscheidend für die Umsetzung.</w:t>
      </w:r>
    </w:p>
    <w:p>
      <w:r>
        <w:rPr>
          <w:b/>
          <w:sz w:val="19"/>
        </w:rPr>
        <w:t xml:space="preserve">Übertragbarkeit: </w:t>
      </w:r>
      <w:r>
        <w:rPr>
          <w:sz w:val="19"/>
        </w:rPr>
        <w:t>Irland, vergleichbares europäisches Gesundheitssystem mit dezentraler Struktur.</w:t>
      </w:r>
    </w:p>
    <w:p>
      <w:r>
        <w:rPr>
          <w:color w:val="5A7D3A"/>
          <w:sz w:val="18"/>
        </w:rPr>
        <w:t>https://pubmed.ncbi.nlm.nih.gov/42407300/</w:t>
      </w:r>
    </w:p>
    <w:p>
      <w:pPr>
        <w:pStyle w:val="Heading2"/>
      </w:pPr>
      <w:r>
        <w:t>SARS-CoV-2-Auffrischimpfungen schützen Menschen mit Autoimmunerkrankungen vor schwerer COVID-19</w:t>
      </w:r>
    </w:p>
    <w:p>
      <w:r>
        <w:rPr>
          <w:i/>
          <w:color w:val="666666"/>
          <w:sz w:val="18"/>
        </w:rPr>
        <w:t>Kukreja NS et al.  ·  RMD Open  ·  03.07.2026  ·  PMID 42399080</w:t>
      </w:r>
    </w:p>
    <w:p>
      <w:r>
        <w:t>Nested Case-Control-Studie mit englischen Primärversorgungs- und Krankenhausdaten zu Schutzwirkung von COVID-19-Auffrischimpfungen bei erwachsenen Patienten mit immunmediierter Entzündungserkrankung (IMID).</w:t>
      </w:r>
    </w:p>
    <w:p>
      <w:r>
        <w:rPr>
          <w:b/>
        </w:rPr>
        <w:t xml:space="preserve">Ergebnis: </w:t>
      </w:r>
      <w:r>
        <w:t>Drei Auffrischimpfungen reduzierten Hospitalisierung/Tod um 80% (aOR 0,20; 95%-KI 0,15–0,28), zwei Dosen um 71% (aOR 0,29; 95%-KI 0,23–0,36), eine Dosis um 44% (aOR 0,56; 95%-KI 0,48–0,65). Schutz bestand innerhalb 365 Tage nach Impfung; Impfungen &gt;365 Tage alt zeigten keinen signifikanten Schutz.</w:t>
      </w:r>
    </w:p>
    <w:p>
      <w:r>
        <w:rPr>
          <w:b/>
          <w:sz w:val="19"/>
        </w:rPr>
        <w:t xml:space="preserve">Übertragbarkeit: </w:t>
      </w:r>
      <w:r>
        <w:rPr>
          <w:sz w:val="19"/>
        </w:rPr>
        <w:t>Englische primärärztliche Flächendaten mit Impfquoten und Krankenhausdokumentation, auf deutsches System übertragbar.</w:t>
      </w:r>
    </w:p>
    <w:p>
      <w:r>
        <w:rPr>
          <w:color w:val="5A7D3A"/>
          <w:sz w:val="18"/>
        </w:rPr>
        <w:t>https://pubmed.ncbi.nlm.nih.gov/42399080/</w:t>
      </w:r>
    </w:p>
    <w:p>
      <w:pPr>
        <w:pStyle w:val="Heading1"/>
      </w:pPr>
      <w:r>
        <w:t>Aufgenommen am 09.09.2026</w:t>
      </w:r>
    </w:p>
    <w:p>
      <w:pPr>
        <w:pStyle w:val="Heading2"/>
      </w:pPr>
      <w:r>
        <w:t>Eltern akzeptieren Meningokokken-B-Impfung für Säuglinge unter fachlicher Empfehlung</w:t>
      </w:r>
    </w:p>
    <w:p>
      <w:r>
        <w:rPr>
          <w:i/>
          <w:color w:val="666666"/>
          <w:sz w:val="18"/>
        </w:rPr>
        <w:t>Herrera-Restrepo O et al.  ·  Hum Vaccin Immunother  ·  08.09.2026  ·  PMID 42709765</w:t>
      </w:r>
    </w:p>
    <w:p>
      <w:r>
        <w:t>US-Online-Befragung von 1.051 Eltern mit Kindern ≤18 Monaten zu Impfbereitschaft gegen Meningokokken B.</w:t>
      </w:r>
    </w:p>
    <w:p>
      <w:r>
        <w:rPr>
          <w:b/>
        </w:rPr>
        <w:t xml:space="preserve">Ergebnis: </w:t>
      </w:r>
      <w:r>
        <w:t>73,4% Kinder vollständig geimpft. Von 266 mit unvollständiger Impfung: 59,8% besorgt um Nebenwirkungen. Ohne Fachempfehlung: 66,3% würden MenB-Impfung akzeptieren, mit Krankheitsinformation: 72,1%. Fachperson-Kommunikation war Schlüsselfaktor.</w:t>
      </w:r>
    </w:p>
    <w:p>
      <w:r>
        <w:rPr>
          <w:b/>
          <w:sz w:val="19"/>
        </w:rPr>
        <w:t xml:space="preserve">Übertragbarkeit: </w:t>
      </w:r>
      <w:r>
        <w:rPr>
          <w:sz w:val="19"/>
        </w:rPr>
        <w:t>USA-System, aber Bedeutung der Fachperson-Kommunikation universal anwendbar, nicht auf Registerdaten übertragbar.</w:t>
      </w:r>
    </w:p>
    <w:p>
      <w:r>
        <w:rPr>
          <w:color w:val="5A7D3A"/>
          <w:sz w:val="18"/>
        </w:rPr>
        <w:t>https://pubmed.ncbi.nlm.nih.gov/42709765/</w:t>
      </w:r>
    </w:p>
    <w:p>
      <w:pPr>
        <w:pStyle w:val="Heading2"/>
      </w:pPr>
      <w:r>
        <w:t>Pneumokokken-Impfung ab 50 Jahren hätte 520.000 Erkrankungsfälle verhindern können</w:t>
      </w:r>
    </w:p>
    <w:p>
      <w:r>
        <w:rPr>
          <w:i/>
          <w:color w:val="666666"/>
          <w:sz w:val="18"/>
        </w:rPr>
        <w:t>Sharomi O et al.  ·  Hum Vaccin Immunother  ·  08.09.2026  ·  PMID 42708971</w:t>
      </w:r>
    </w:p>
    <w:p>
      <w:r>
        <w:t>Modellrechnung zu epidemiologischen Effekten einer Senkung der Impfaltersgrenze für Erwachsene von 60 auf 50 Jahre in Deutschland mit V116 oder PCV20.</w:t>
      </w:r>
    </w:p>
    <w:p>
      <w:r>
        <w:rPr>
          <w:b/>
        </w:rPr>
        <w:t xml:space="preserve">Ergebnis: </w:t>
      </w:r>
      <w:r>
        <w:t>Bei Impfquote von 30%: V116 ab 50 Jahren führte zu 520.128 weniger Pneumokokkus-Erkrankungsfällen, PCV20 zu 325.694 weniger. IPD-Inzidenz im Jahr 10 mit V116 ab 50 Jahren: 20,5 pro 100.000 (vs. 22,1 ab 60 Jahren).</w:t>
      </w:r>
    </w:p>
    <w:p>
      <w:r>
        <w:rPr>
          <w:b/>
          <w:sz w:val="19"/>
        </w:rPr>
        <w:t xml:space="preserve">Übertragbarkeit: </w:t>
      </w:r>
      <w:r>
        <w:rPr>
          <w:sz w:val="19"/>
        </w:rPr>
        <w:t>Deutschland, Modellierung mit deutschen Serotyphaten und Epidemiologie, aber keine empirische Versorgungsdatenbasis.</w:t>
      </w:r>
    </w:p>
    <w:p>
      <w:r>
        <w:rPr>
          <w:color w:val="5A7D3A"/>
          <w:sz w:val="18"/>
        </w:rPr>
        <w:t>https://pubmed.ncbi.nlm.nih.gov/42708971/</w:t>
      </w:r>
    </w:p>
    <w:p>
      <w:pPr>
        <w:pStyle w:val="Heading2"/>
      </w:pPr>
      <w:r>
        <w:t>Mütter wählen Impfungen nach Sicherheit – Information und Vertrauen entscheidend</w:t>
      </w:r>
    </w:p>
    <w:p>
      <w:r>
        <w:rPr>
          <w:i/>
          <w:color w:val="666666"/>
          <w:sz w:val="18"/>
        </w:rPr>
        <w:t>Xing R et al.  ·  Front Public Health  ·  24.08.2026  ·  PMID 42707176</w:t>
      </w:r>
    </w:p>
    <w:p>
      <w:r>
        <w:t>Qualitative Studie mit 16 Müttern in China zu Entscheidungsfaktoren bei selbstgezahlten Kinderimpfungen.</w:t>
      </w:r>
    </w:p>
    <w:p>
      <w:r>
        <w:rPr>
          <w:b/>
        </w:rPr>
        <w:t xml:space="preserve">Ergebnis: </w:t>
      </w:r>
      <w:r>
        <w:t>Sicherheit war Voraussetzung vor Nutzenabwägung. Mütter navigierten asymmetrische Informationen, balancierten Vertrauen in Fachpersonen mit unabhängiger Verifikation. Kosten wirkten als Filter oder Priorisierungsmechanismus. Kommunikationsqualität mit Anbieter:innen prägte Vertrauensaufbau; unzureichende Beratung erhöhte Unsicherheit.</w:t>
      </w:r>
    </w:p>
    <w:p>
      <w:r>
        <w:rPr>
          <w:b/>
          <w:sz w:val="19"/>
        </w:rPr>
        <w:t xml:space="preserve">Übertragbarkeit: </w:t>
      </w:r>
      <w:r>
        <w:rPr>
          <w:sz w:val="19"/>
        </w:rPr>
        <w:t>China, aber Entscheidungsprozesse universal; Qualitätskriterien für Beratung auf deutsches System übertragbar.</w:t>
      </w:r>
    </w:p>
    <w:p>
      <w:r>
        <w:rPr>
          <w:color w:val="5A7D3A"/>
          <w:sz w:val="18"/>
        </w:rPr>
        <w:t>https://pubmed.ncbi.nlm.nih.gov/42707176/</w:t>
      </w:r>
    </w:p>
    <w:p>
      <w:pPr>
        <w:pStyle w:val="Heading2"/>
      </w:pPr>
      <w:r>
        <w:t>Impfkampagne in Onkologie erhöht Impfquoten deutlich</w:t>
      </w:r>
    </w:p>
    <w:p>
      <w:r>
        <w:rPr>
          <w:i/>
          <w:color w:val="666666"/>
          <w:sz w:val="18"/>
        </w:rPr>
        <w:t>Markus T et al.  ·  BMC Public Health  ·  07.09.2026  ·  PMID 42706520</w:t>
      </w:r>
    </w:p>
    <w:p>
      <w:r>
        <w:t>Kölner Universitätsklinik testete eine Interventionsstudie mit Patientenaufklärung, Personalschulung und vor-Ort-Impfung über 1,5 Jahre.</w:t>
      </w:r>
    </w:p>
    <w:p>
      <w:r>
        <w:rPr>
          <w:b/>
        </w:rPr>
        <w:t xml:space="preserve">Ergebnis: </w:t>
      </w:r>
      <w:r>
        <w:t>Gesamtimpfquote stieg von 43% auf 49%, Influenza von 37% auf 48%, Pneumokokken von 16% auf 36%, Herpes zoster von 22% auf 33%. Anteil vollständig geimpfter Patienten: 6% auf 16%.</w:t>
      </w:r>
    </w:p>
    <w:p>
      <w:r>
        <w:rPr>
          <w:b/>
          <w:sz w:val="19"/>
        </w:rPr>
        <w:t xml:space="preserve">Übertragbarkeit: </w:t>
      </w:r>
      <w:r>
        <w:rPr>
          <w:sz w:val="19"/>
        </w:rPr>
        <w:t>Deutschland, Universitätsklinik mit vergleichbarem Dokumentationssystem, Patient:innen mit Malignomen.</w:t>
      </w:r>
    </w:p>
    <w:p>
      <w:r>
        <w:rPr>
          <w:color w:val="5A7D3A"/>
          <w:sz w:val="18"/>
        </w:rPr>
        <w:t>https://pubmed.ncbi.nlm.nih.gov/42706520/</w:t>
      </w:r>
    </w:p>
    <w:p>
      <w:pPr>
        <w:pStyle w:val="Heading2"/>
      </w:pPr>
      <w:r>
        <w:t>COVID-19-Impfstoffsicherheit: Präklinische und klinische Pharmakovigilanz verglichen</w:t>
      </w:r>
    </w:p>
    <w:p>
      <w:r>
        <w:rPr>
          <w:i/>
          <w:color w:val="666666"/>
          <w:sz w:val="18"/>
        </w:rPr>
        <w:t>Gonin C et al.  ·  Regul Toxicol Pharmacol  ·  11.07.2026  ·  PMID 42435835</w:t>
      </w:r>
    </w:p>
    <w:p>
      <w:r>
        <w:t>Französische Behörde (ANSM) verglich Sicherheitsdaten aus Laborstudien und Arzneimittelüberwachung für fünf COVID-19-Impfstoffe auf Reaktogenität, Myokarditis und Thrombose.</w:t>
      </w:r>
    </w:p>
    <w:p>
      <w:r>
        <w:rPr>
          <w:b/>
        </w:rPr>
        <w:t xml:space="preserve">Ergebnis: </w:t>
      </w:r>
      <w:r>
        <w:t>Virale Vektorimpfstoffe zeigten höhere Reaktogenität. Myokarditis und Thrombose-Thrombozytopenie wurden nicht in präklinischen Studien vorhergesagt. Biomarker wie Troponin waren klinisch aussagekräftig; keine Korrelation zwischen präklinischen Parametern und klinischen Ergebnissen.</w:t>
      </w:r>
    </w:p>
    <w:p>
      <w:r>
        <w:rPr>
          <w:b/>
          <w:sz w:val="19"/>
        </w:rPr>
        <w:t xml:space="preserve">Übertragbarkeit: </w:t>
      </w:r>
      <w:r>
        <w:rPr>
          <w:sz w:val="19"/>
        </w:rPr>
        <w:t>Frankreich, nationale Pharmakovigilanz mit europäischem Zulassungskontext, auf Deutschland übertragbar.</w:t>
      </w:r>
    </w:p>
    <w:p>
      <w:r>
        <w:rPr>
          <w:color w:val="5A7D3A"/>
          <w:sz w:val="18"/>
        </w:rPr>
        <w:t>https://pubmed.ncbi.nlm.nih.gov/42435835/</w:t>
      </w:r>
    </w:p>
    <w:p>
      <w:pPr>
        <w:pStyle w:val="Heading2"/>
      </w:pPr>
      <w:r>
        <w:t>COVID-19- und Influenza-Impfung sequenziell in Dialyse-Patienten: Immunogenität stabil</w:t>
      </w:r>
    </w:p>
    <w:p>
      <w:r>
        <w:rPr>
          <w:i/>
          <w:color w:val="666666"/>
          <w:sz w:val="18"/>
        </w:rPr>
        <w:t>Bronder S et al.  ·  Sci Rep  ·  06.07.2026  ·  PMID 42410167</w:t>
      </w:r>
    </w:p>
    <w:p>
      <w:r>
        <w:t>Beobachtungsstudie mit 113 dialysepflichtigen Patienten zu sequenzieller Gabe von XBB.1.5-COVID-19-Impfung und Influenza-Impfung im Abstand von 14 Tagen.</w:t>
      </w:r>
    </w:p>
    <w:p>
      <w:r>
        <w:rPr>
          <w:b/>
        </w:rPr>
        <w:t xml:space="preserve">Ergebnis: </w:t>
      </w:r>
      <w:r>
        <w:t>Nach beiden Impfungen: robuste Steigerung humoraler und zellulärer Antworten. Influenza-Impfung beeinträchtigte Spike-spezifische Antikörper oder T-Zell-Antworten nicht. Spike-Reaktionen blieben 6 Monate stabil und über Niveau ungeimpfter Kontrollen.</w:t>
      </w:r>
    </w:p>
    <w:p>
      <w:r>
        <w:rPr>
          <w:b/>
          <w:sz w:val="19"/>
        </w:rPr>
        <w:t xml:space="preserve">Übertragbarkeit: </w:t>
      </w:r>
      <w:r>
        <w:rPr>
          <w:sz w:val="19"/>
        </w:rPr>
        <w:t>Deutschland, vergleichbares Dialyse-System, aber kleine Kohorte; Transfer auf Hochrisiko-Populationen möglich.</w:t>
      </w:r>
    </w:p>
    <w:p>
      <w:r>
        <w:rPr>
          <w:color w:val="5A7D3A"/>
          <w:sz w:val="18"/>
        </w:rPr>
        <w:t>https://pubmed.ncbi.nlm.nih.gov/42410167/</w:t>
      </w:r>
    </w:p>
    <w:p>
      <w:pPr>
        <w:pStyle w:val="Heading1"/>
      </w:pPr>
      <w:r>
        <w:t>Aufgenommen am 08.09.2026</w:t>
      </w:r>
    </w:p>
    <w:p>
      <w:pPr>
        <w:pStyle w:val="Heading2"/>
      </w:pPr>
      <w:r>
        <w:t>Influenzaimpfung in der Schwangerschaft: Wahrnehmungen, Barrieren und Einflussfaktoren im Iran</w:t>
      </w:r>
    </w:p>
    <w:p>
      <w:r>
        <w:rPr>
          <w:i/>
          <w:color w:val="666666"/>
          <w:sz w:val="18"/>
        </w:rPr>
        <w:t>Yousefi M et al.  ·  Hum Vaccin Immunother  ·  07.09.2026  ·  PMID 42704733</w:t>
      </w:r>
    </w:p>
    <w:p>
      <w:r>
        <w:t>Querschnittsbefragung von 630 schwangeren Frauen zu Determinanten der Influenzaimpfakzeptanz mittels kombiniertem Health Belief Model und Theory of Planned Behavior.</w:t>
      </w:r>
    </w:p>
    <w:p>
      <w:r>
        <w:rPr>
          <w:b/>
        </w:rPr>
        <w:t xml:space="preserve">Ergebnis: </w:t>
      </w:r>
      <w:r>
        <w:t>73% wurden während Schwangerschaft geimpft. Wahrgenommene Anfälligkeit und positive Einstellung waren Prädiktoren für Impfintention (β=0,18 bzw. 0,13), wahrgenommene Barrieren wirkten negativ (β=-0,15). Häufigste Barrieren: Nebenwirkungsangst (49,4%), eingeschränkter Zugang (28,2%), fehlende Ärztempfehlung (27,1%), unzureichende Information (34,1%).</w:t>
      </w:r>
    </w:p>
    <w:p>
      <w:r>
        <w:rPr>
          <w:b/>
          <w:sz w:val="19"/>
        </w:rPr>
        <w:t xml:space="preserve">Übertragbarkeit: </w:t>
      </w:r>
      <w:r>
        <w:rPr>
          <w:sz w:val="19"/>
        </w:rPr>
        <w:t>Iran; Erkenntnisse zu Kommunikationsbarrieren in Ländern mit schwächerer Gesundheitsinfrastruktur teilweise übertragbar</w:t>
      </w:r>
    </w:p>
    <w:p>
      <w:r>
        <w:rPr>
          <w:color w:val="5A7D3A"/>
          <w:sz w:val="18"/>
        </w:rPr>
        <w:t>https://pubmed.ncbi.nlm.nih.gov/42704733/</w:t>
      </w:r>
    </w:p>
    <w:p>
      <w:pPr>
        <w:pStyle w:val="Heading2"/>
      </w:pPr>
      <w:r>
        <w:t>Schulisches Engagement für HPV-Impfbewusstsein steigert Akzeptanz bei Mädchen in Malawi</w:t>
      </w:r>
    </w:p>
    <w:p>
      <w:r>
        <w:rPr>
          <w:i/>
          <w:color w:val="666666"/>
          <w:sz w:val="18"/>
        </w:rPr>
        <w:t>Lubanga AF et al.  ·  Hum Vaccin Immunother  ·  07.09.2026  ·  PMID 42703762</w:t>
      </w:r>
    </w:p>
    <w:p>
      <w:r>
        <w:t>Implementierungsfallstudie einer zweitägigen Schulen- und Gemeinde-Engagementinitiative zur HPV-Impfförderung in Lilongwe, Malawi (2025–2026).</w:t>
      </w:r>
    </w:p>
    <w:p>
      <w:r>
        <w:rPr>
          <w:b/>
        </w:rPr>
        <w:t xml:space="preserve">Ergebnis: </w:t>
      </w:r>
      <w:r>
        <w:t>Über 500 Mädchen (9–14 Jahre) wurden durch schulische Aufklärung erreicht, 45 Gemeindeakteure eingebunden, 100 berechtigte Mädchen geimpft. Zentrale Erfolgsfaktoren: Vertrauen zu Impfpersonal, Schulbeteiligung, Dialogformate, Unterstützung von Gemeindeleitern. Identifizierte Bedenken: Fertilitätsangst, Impfstoffsicherheit, Geschlechtszielung.</w:t>
      </w:r>
    </w:p>
    <w:p>
      <w:r>
        <w:rPr>
          <w:b/>
          <w:sz w:val="19"/>
        </w:rPr>
        <w:t xml:space="preserve">Übertragbarkeit: </w:t>
      </w:r>
      <w:r>
        <w:rPr>
          <w:sz w:val="19"/>
        </w:rPr>
        <w:t>Subsahara-Afrika; Strategien für vertrauensbasierte Gemeindemobilisierung teilweise auf Deutschland übertragbar</w:t>
      </w:r>
    </w:p>
    <w:p>
      <w:r>
        <w:rPr>
          <w:color w:val="5A7D3A"/>
          <w:sz w:val="18"/>
        </w:rPr>
        <w:t>https://pubmed.ncbi.nlm.nih.gov/42703762/</w:t>
      </w:r>
    </w:p>
    <w:p>
      <w:pPr>
        <w:pStyle w:val="Heading2"/>
      </w:pPr>
      <w:r>
        <w:t>COVID-19-Auffrischungsimpfung: Ländliche und städtische Disparitäten in Südbangladesh</w:t>
      </w:r>
    </w:p>
    <w:p>
      <w:r>
        <w:rPr>
          <w:i/>
          <w:color w:val="666666"/>
          <w:sz w:val="18"/>
        </w:rPr>
        <w:t>Nath Roy D et al.  ·  Risk Anal  ·  Sept. 2026  ·  PMID 42702940</w:t>
      </w:r>
    </w:p>
    <w:p>
      <w:r>
        <w:t>Querschnittsbeobachtungsstudie (Dezember 2023–März 2024) zu Akzeptanz und Prädiktoren der Auffrischungsimpfung in ländlichen (n=379) und städtischen (n=328) Populationen in Südbangladesh.</w:t>
      </w:r>
    </w:p>
    <w:p>
      <w:r>
        <w:rPr>
          <w:b/>
        </w:rPr>
        <w:t xml:space="preserve">Ergebnis: </w:t>
      </w:r>
      <w:r>
        <w:t>Akzeptanzquote 69,9% insgesamt, ländlich 62,5% (95%-KI: 60,6–64,8) vs. urban 78,4% (95%-KI: 76,2–80,6; p&lt;0,001). Nebenwirkungsangst negativ assoziiert in beiden Settings. Ländlich: Kommunikation, Vertrauen, sozialer Einfluss positiv assoziiert. Urban: Gemeinschaftsschutz und Risiko-Nutzen-Verhältnis signifikant; Unabhängigkeit von Nicht-Pharmaka negativ assoziiert.</w:t>
      </w:r>
    </w:p>
    <w:p>
      <w:r>
        <w:rPr>
          <w:b/>
          <w:sz w:val="19"/>
        </w:rPr>
        <w:t xml:space="preserve">Übertragbarkeit: </w:t>
      </w:r>
      <w:r>
        <w:rPr>
          <w:sz w:val="19"/>
        </w:rPr>
        <w:t>Bangladesch; Erkenntnisse zu Vertrauenslücken und Kommunikationshindernissen in Ländern mit niedriger Impfquote</w:t>
      </w:r>
    </w:p>
    <w:p>
      <w:r>
        <w:rPr>
          <w:color w:val="5A7D3A"/>
          <w:sz w:val="18"/>
        </w:rPr>
        <w:t>https://pubmed.ncbi.nlm.nih.gov/42702940/</w:t>
      </w:r>
    </w:p>
    <w:p>
      <w:pPr>
        <w:pStyle w:val="Heading2"/>
      </w:pPr>
      <w:r>
        <w:t>COVID-19-Impfquote bei Psychiatriepatienten in Bayern deutlich höher als in der Bevölkerung</w:t>
      </w:r>
    </w:p>
    <w:p>
      <w:r>
        <w:rPr>
          <w:i/>
          <w:color w:val="666666"/>
          <w:sz w:val="18"/>
        </w:rPr>
        <w:t>Aksar A et al.  ·  J Psychiatr Res  ·  12.08.2026  ·  PMID 42603342</w:t>
      </w:r>
    </w:p>
    <w:p>
      <w:r>
        <w:t>Retrospektive Analyse der COVID-19-Impfquoten bei psychiatrischen Patienten in stationärer und ambulanter Behandlung in Südostbayern (2022–2023) im Vergleich zur Allgemeinbevölkerung.</w:t>
      </w:r>
    </w:p>
    <w:p>
      <w:r>
        <w:rPr>
          <w:b/>
        </w:rPr>
        <w:t xml:space="preserve">Ergebnis: </w:t>
      </w:r>
      <w:r>
        <w:t>Ungeimpftenquote in der Studiengruppe (n=3.734 Fälle) 13,6% vs. Bayerndurchschnitt 15–20%; höhere Quoten bei älteren und weiblichen Patienten, niedrigere bei Alkohol- und Substanzabhängigen. Ergebnis deuted auf positive Effekte von stationären Impfangeboten hin, bedarf aber weiterer Erforschung.</w:t>
      </w:r>
    </w:p>
    <w:p>
      <w:r>
        <w:rPr>
          <w:b/>
          <w:sz w:val="19"/>
        </w:rPr>
        <w:t xml:space="preserve">Übertragbarkeit: </w:t>
      </w:r>
      <w:r>
        <w:rPr>
          <w:sz w:val="19"/>
        </w:rPr>
        <w:t>Deutsche Klinikdaten, eigene Impfdokumentation ohne Registeranbindung</w:t>
      </w:r>
    </w:p>
    <w:p>
      <w:r>
        <w:rPr>
          <w:color w:val="5A7D3A"/>
          <w:sz w:val="18"/>
        </w:rPr>
        <w:t>https://pubmed.ncbi.nlm.nih.gov/42603342/</w:t>
      </w:r>
    </w:p>
    <w:p>
      <w:pPr>
        <w:pStyle w:val="Heading2"/>
      </w:pPr>
      <w:r>
        <w:t>Neustart in der RSV-Prävention: Nirsevimab und mütterliche Vakzination reduzieren Hospitalisierungen</w:t>
      </w:r>
    </w:p>
    <w:p>
      <w:r>
        <w:rPr>
          <w:i/>
          <w:color w:val="666666"/>
          <w:sz w:val="18"/>
        </w:rPr>
        <w:t>Marchetti F  ·  Recenti Prog Med  ·  Juli 2026  ·  PMID 42459097</w:t>
      </w:r>
    </w:p>
    <w:p>
      <w:r>
        <w:t>Narrativer Übersichtsartikel zur neuen Ärade der RSV-Prävention in früher Kindheit durch langwirksames monoklonales Antikörper Nirsevimab und mütterliche RSVpreF-Impfung basierend auf Real-World Evidence.</w:t>
      </w:r>
    </w:p>
    <w:p>
      <w:r>
        <w:rPr>
          <w:b/>
        </w:rPr>
        <w:t xml:space="preserve">Ergebnis: </w:t>
      </w:r>
      <w:r>
        <w:t>Großangelegte bevölkerungsbasierte Studien (z.B. französische Studie mit &gt;160.000 Säuglingen) belegen wesentliche Reduktion von RSV-bedingten Hospitalisierungen, intensivmedizinischer Aufnahmen und Beatmungsbedarf bei Nirsevimab-geimpften Säuglingen. Mütterliche Impfung schützt transplazentar bei optimaler Timing; Nirsevimab bietet unabhängige Vorhersagbarkeit.</w:t>
      </w:r>
    </w:p>
    <w:p>
      <w:r>
        <w:rPr>
          <w:b/>
          <w:sz w:val="19"/>
        </w:rPr>
        <w:t xml:space="preserve">Übertragbarkeit: </w:t>
      </w:r>
      <w:r>
        <w:rPr>
          <w:sz w:val="19"/>
        </w:rPr>
        <w:t>Frankreich und europäische Daten zur Implementierungserfahrung; nationales Impfprogramm für Deutschland noch zu entwickeln</w:t>
      </w:r>
    </w:p>
    <w:p>
      <w:r>
        <w:rPr>
          <w:color w:val="5A7D3A"/>
          <w:sz w:val="18"/>
        </w:rPr>
        <w:t>https://pubmed.ncbi.nlm.nih.gov/42459097/</w:t>
      </w:r>
    </w:p>
    <w:p>
      <w:pPr>
        <w:pStyle w:val="Heading2"/>
      </w:pPr>
      <w:r>
        <w:t>Immunitätslücken bei Diphtherie, Tetanus und Keuchhusten in Norwegen</w:t>
      </w:r>
    </w:p>
    <w:p>
      <w:r>
        <w:rPr>
          <w:i/>
          <w:color w:val="666666"/>
          <w:sz w:val="18"/>
        </w:rPr>
        <w:t>Aase A et al.  ·  Vaccine  ·  30.08.2026  ·  PMID 42413320</w:t>
      </w:r>
    </w:p>
    <w:p>
      <w:r>
        <w:t>Serologische Querschnittsstudie an repräsentativer norwegischer Bevölkerung (n=3.051, Alter 2–95 Jahre) zur Antikörperprävalenz gegen sieben Impfkrankheiten.</w:t>
      </w:r>
    </w:p>
    <w:p>
      <w:r>
        <w:rPr>
          <w:b/>
        </w:rPr>
        <w:t xml:space="preserve">Ergebnis: </w:t>
      </w:r>
      <w:r>
        <w:t>39,8% der Frauen und 25,0% der Männer ≥60 Jahre unter Schutzwert Diphtherie; 76,5% bzw. 41,7% unter Schutzwert Tetanus. Bei 6-Jährigen: 20,7% unter Diphtherie-, 25,0% unter Tetanus-Schutzwert vor Auffrischung. Masern und Röteln ausreichend protektiv in allen Altersgruppen.</w:t>
      </w:r>
    </w:p>
    <w:p>
      <w:r>
        <w:rPr>
          <w:b/>
          <w:sz w:val="19"/>
        </w:rPr>
        <w:t xml:space="preserve">Übertragbarkeit: </w:t>
      </w:r>
      <w:r>
        <w:rPr>
          <w:sz w:val="19"/>
        </w:rPr>
        <w:t>Nordeuropäisches Impfregister ermöglicht präzise Kohortenabfrage; Empfehlungskalender und Auffrischungsintervalle nicht direkt auf Deutschland übertragbar</w:t>
      </w:r>
    </w:p>
    <w:p>
      <w:r>
        <w:rPr>
          <w:color w:val="5A7D3A"/>
          <w:sz w:val="18"/>
        </w:rPr>
        <w:t>https://pubmed.ncbi.nlm.nih.gov/42413320/</w:t>
      </w:r>
    </w:p>
    <w:p>
      <w:pPr>
        <w:pStyle w:val="Heading1"/>
      </w:pPr>
      <w:r>
        <w:t>Aufgenommen am 07.09.2026</w:t>
      </w:r>
    </w:p>
    <w:p>
      <w:pPr>
        <w:pStyle w:val="Heading2"/>
      </w:pPr>
      <w:r>
        <w:t>HPV-Impfbereitschaft männlicher Studierender: Krankheitserkennung stärker als Dienstleistungsbewusstsein</w:t>
      </w:r>
    </w:p>
    <w:p>
      <w:r>
        <w:rPr>
          <w:i/>
          <w:color w:val="666666"/>
          <w:sz w:val="18"/>
        </w:rPr>
        <w:t>Zhang Y et al.  ·  Front Public Health  ·  21.08.2026  ·  PMID 42698614</w:t>
      </w:r>
    </w:p>
    <w:p>
      <w:r>
        <w:t>Querschnittsumfrage mit 4.260 männlichen Studierenden in China (Festland, Hongkong, Macau, Ausland) zur Bereitschaft für Grenzüberschreitungs-HPV-Impfung (2025–2026).</w:t>
      </w:r>
    </w:p>
    <w:p>
      <w:r>
        <w:rPr>
          <w:b/>
        </w:rPr>
        <w:t xml:space="preserve">Ergebnis: </w:t>
      </w:r>
      <w:r>
        <w:t>74,7% (3.182/4.260) zeigten Bereitschaft für Grenzüberschreitung. Krankheitserkennung war dominantester Faktor: Teilnehmer ohne Erkennung ≥1 HPV-assoziierter Erkrankung hatten deutlich niedrigere Quote (aOR=0,041, 95%-KI 0,017–0,095, p&lt;0,001). Bewusstsein für Grenzüberschreitungsangebot schwach positiv (aOR=1,233, p=0,008). Schulische HPV-Aufklärung (aOR=1,203, p=0,044) und höheres Klassenniveau (aOR=1,111 pro Stufe, p=0,012) assoziiert.</w:t>
      </w:r>
    </w:p>
    <w:p>
      <w:r>
        <w:rPr>
          <w:b/>
          <w:sz w:val="19"/>
        </w:rPr>
        <w:t xml:space="preserve">Übertragbarkeit: </w:t>
      </w:r>
      <w:r>
        <w:rPr>
          <w:sz w:val="19"/>
        </w:rPr>
        <w:t>China – kulturell/system-spezifisch, Erkenntnisse zu Edukationsbedarf und männlicher Impfskepsis aber verallgemeinerbar</w:t>
      </w:r>
    </w:p>
    <w:p>
      <w:r>
        <w:rPr>
          <w:color w:val="5A7D3A"/>
          <w:sz w:val="18"/>
        </w:rPr>
        <w:t>https://pubmed.ncbi.nlm.nih.gov/42698614/</w:t>
      </w:r>
    </w:p>
    <w:p>
      <w:pPr>
        <w:pStyle w:val="Heading2"/>
      </w:pPr>
      <w:r>
        <w:t>Neutralisierende Antikörper senken Risiko für schwere COVID-19 um durchschnittlich 43 %</w:t>
      </w:r>
    </w:p>
    <w:p>
      <w:r>
        <w:rPr>
          <w:i/>
          <w:color w:val="666666"/>
          <w:sz w:val="18"/>
        </w:rPr>
        <w:t>Elias KM et al.  ·  PLoS Med  ·  02.09.2026  ·  PMID 42685247</w:t>
      </w:r>
    </w:p>
    <w:p>
      <w:r>
        <w:t>Meta-Analyse von 25 klinischen Studien zur Wirksamkeit vakzininduzierten Neutralisierungstitern gegen Progression zu schwerem COVID-19 bei Infizierten.</w:t>
      </w:r>
    </w:p>
    <w:p>
      <w:r>
        <w:rPr>
          <w:b/>
        </w:rPr>
        <w:t xml:space="preserve">Ergebnis: </w:t>
      </w:r>
      <w:r>
        <w:t>Zehnfacher Anstieg der Neutralisierungstiter senkt relatives Progressionsrisiko zu schwerer Erkrankung um 43% (RR 0,57, 95%-KI [0,51–0,64], p&lt;0,001). Schutz durch Impfung übertrifft passiv verabreichte Antikörper, deutet aber auch auf zusätzliche T-Zell-Mechanismen hin.</w:t>
      </w:r>
    </w:p>
    <w:p>
      <w:r>
        <w:rPr>
          <w:b/>
          <w:sz w:val="19"/>
        </w:rPr>
        <w:t xml:space="preserve">Übertragbarkeit: </w:t>
      </w:r>
      <w:r>
        <w:rPr>
          <w:sz w:val="19"/>
        </w:rPr>
        <w:t>Australien/international – laborbasierte Korrelate, mechanistischer Befund übertragbar auf deutsche Population</w:t>
      </w:r>
    </w:p>
    <w:p>
      <w:r>
        <w:rPr>
          <w:color w:val="5A7D3A"/>
          <w:sz w:val="18"/>
        </w:rPr>
        <w:t>https://pubmed.ncbi.nlm.nih.gov/42685247/</w:t>
      </w:r>
    </w:p>
    <w:p>
      <w:pPr>
        <w:pStyle w:val="Heading2"/>
      </w:pPr>
      <w:r>
        <w:t>Pneumokokken-Impfquote bei immunsupprimierten Personen in England deutlich unter Zielwert</w:t>
      </w:r>
    </w:p>
    <w:p>
      <w:r>
        <w:rPr>
          <w:i/>
          <w:color w:val="666666"/>
          <w:sz w:val="18"/>
        </w:rPr>
        <w:t>Meza B et al.  ·  JMIR Res Protoc  ·  09.07.2026  ·  PMID 42424613</w:t>
      </w:r>
    </w:p>
    <w:p>
      <w:r>
        <w:t>Retrospektive Kohortenstudie mit Registerdaten von 2025 bis 2026 zur Impfquote bei Erwachsenen mit Immunsuppression in primärärztlicher Versorgung (Oxford-RCGP-Netzwerk).</w:t>
      </w:r>
    </w:p>
    <w:p>
      <w:r>
        <w:rPr>
          <w:b/>
        </w:rPr>
        <w:t xml:space="preserve">Ergebnis: </w:t>
      </w:r>
      <w:r>
        <w:t>Pneumokokken-Impfquote in der immunsupprimierten Population bleibt eine Unbekannte, die Studie befindet sich noch in Analyse (Ergebnisse für 2026 erwartet). Ziel: Disaggregierte Berichte über Impfquoten nach Immunsuppression-Grund, sozioökonomischem Gradienten und ethnischer Gruppe. Erkenntes Problem: Breite Lücke bei hochrisikogruppenspezifischen Impfquoten-Daten.</w:t>
      </w:r>
    </w:p>
    <w:p>
      <w:r>
        <w:rPr>
          <w:b/>
          <w:sz w:val="19"/>
        </w:rPr>
        <w:t xml:space="preserve">Übertragbarkeit: </w:t>
      </w:r>
      <w:r>
        <w:rPr>
          <w:sz w:val="19"/>
        </w:rPr>
        <w:t>Großbritannien – vergleichbares NHS-System, aber kein deutsches Impfregister; Qualität hängt von Registerdatenverfügbarkeit ab</w:t>
      </w:r>
    </w:p>
    <w:p>
      <w:r>
        <w:rPr>
          <w:color w:val="5A7D3A"/>
          <w:sz w:val="18"/>
        </w:rPr>
        <w:t>https://pubmed.ncbi.nlm.nih.gov/42424613/</w:t>
      </w:r>
    </w:p>
    <w:p>
      <w:pPr>
        <w:pStyle w:val="Heading2"/>
      </w:pPr>
      <w:r>
        <w:t>COVID-Impfmandates als Anreiz-Instrumente: 7S-Rahmen für Mandatspolitik</w:t>
      </w:r>
    </w:p>
    <w:p>
      <w:r>
        <w:rPr>
          <w:i/>
          <w:color w:val="666666"/>
          <w:sz w:val="18"/>
        </w:rPr>
        <w:t>Duong H et al.  ·  Glob Public Health  ·  31.12.2026  ·  PMID 42421423</w:t>
      </w:r>
    </w:p>
    <w:p>
      <w:r>
        <w:t>Qualitative Analyse von Impfmandaten in sechs Ländern (Australien, Frankreich, Israel, Malaysia, Singapur, Vietnam) zur Unterscheidung zwischen Zwang und Anreizen.</w:t>
      </w:r>
    </w:p>
    <w:p>
      <w:r>
        <w:rPr>
          <w:b/>
        </w:rPr>
        <w:t xml:space="preserve">Ergebnis: </w:t>
      </w:r>
      <w:r>
        <w:t>Mandate funktionierten überwiegend als Anreize zur Wiederherstellung von Grundrechten (Arbeit, Reisen, öffentliche Räume), die durch Lockdowns entzogen wurden. Theoretischer Rahmen zeigt: Konzeptionelle Definition muss zwischen «Entziehung-Wiederherstellung» und echtem Zwang unterscheiden. Kernaussage für Mandatsforschung: Kontext von Pandemie-Restriktionen prägt Wahrnehmung und Effektivität erheblich.</w:t>
      </w:r>
    </w:p>
    <w:p>
      <w:r>
        <w:rPr>
          <w:b/>
          <w:sz w:val="19"/>
        </w:rPr>
        <w:t xml:space="preserve">Übertragbarkeit: </w:t>
      </w:r>
      <w:r>
        <w:rPr>
          <w:sz w:val="19"/>
        </w:rPr>
        <w:t>Internationale Perspektive – Policyanalyse, weniger direkt auf deutsches System übertragbar, aber konzeptuell relevant für Impfpflicht-Debatten</w:t>
      </w:r>
    </w:p>
    <w:p>
      <w:r>
        <w:rPr>
          <w:color w:val="5A7D3A"/>
          <w:sz w:val="18"/>
        </w:rPr>
        <w:t>https://pubmed.ncbi.nlm.nih.gov/42421423/</w:t>
      </w:r>
    </w:p>
    <w:p>
      <w:pPr>
        <w:pStyle w:val="Heading2"/>
      </w:pPr>
      <w:r>
        <w:t>Video-Intervention steigert Impfbewusstsein bei psychischen Erkrankungen, nicht Impfbereitschaft</w:t>
      </w:r>
    </w:p>
    <w:p>
      <w:r>
        <w:rPr>
          <w:i/>
          <w:color w:val="666666"/>
          <w:sz w:val="18"/>
        </w:rPr>
        <w:t>Huth D et al.  ·  Front Public Health  ·  23.06.2026  ·  PMID 42415765</w:t>
      </w:r>
    </w:p>
    <w:p>
      <w:r>
        <w:t>Randomisierte Online-Studie mit 639 deutschsprachigen Teilnehmern (24,4% mit selbstberichteter psychischer Störung) zur Wirkung eines Aufklärungsvideos auf COVID-19-Impfakzeptanz bei vulnerablen Gruppen.</w:t>
      </w:r>
    </w:p>
    <w:p>
      <w:r>
        <w:rPr>
          <w:b/>
        </w:rPr>
        <w:t xml:space="preserve">Ergebnis: </w:t>
      </w:r>
      <w:r>
        <w:t>Video erhöhte Risikobewusstsein signifikant (p=0,010, d=0,21) und Verständnis für Impfung bei psychischen Erkrankungen (p=0,033, d=0,17), steigerte aber nicht die Impfbereitschaft. Versorgungslücke bleibt offen: Psychisch kranke Menschen zeigen höhere wahrgenommene Anfälligkeit (p=0,032, d=0,36), aber Aufklärung allein führt zu keinem Verhaltenswechsel.</w:t>
      </w:r>
    </w:p>
    <w:p>
      <w:r>
        <w:rPr>
          <w:b/>
          <w:sz w:val="19"/>
        </w:rPr>
        <w:t xml:space="preserve">Übertragbarkeit: </w:t>
      </w:r>
      <w:r>
        <w:rPr>
          <w:sz w:val="19"/>
        </w:rPr>
        <w:t>Deutschland – Teilnehmer aus deutscher Bevölkerung, lokale Vulnerabilitätsgruppen</w:t>
      </w:r>
    </w:p>
    <w:p>
      <w:r>
        <w:rPr>
          <w:color w:val="5A7D3A"/>
          <w:sz w:val="18"/>
        </w:rPr>
        <w:t>https://pubmed.ncbi.nlm.nih.gov/42415765/</w:t>
      </w:r>
    </w:p>
    <w:p>
      <w:pPr>
        <w:pStyle w:val="Heading1"/>
      </w:pPr>
      <w:r>
        <w:t>Aufgenommen am 06.09.2026</w:t>
      </w:r>
    </w:p>
    <w:p>
      <w:pPr>
        <w:pStyle w:val="Heading2"/>
      </w:pPr>
      <w:r>
        <w:t>Tetanus-Schutzimpfungen bei Frauen in Afghanistan: massive Deckungslücken</w:t>
      </w:r>
    </w:p>
    <w:p>
      <w:r>
        <w:rPr>
          <w:i/>
          <w:color w:val="666666"/>
          <w:sz w:val="18"/>
        </w:rPr>
        <w:t>Stanikzai MH et al.  ·  Hum Vaccin Immunother  ·  02.09.2026  ·  PMID 42683523</w:t>
      </w:r>
    </w:p>
    <w:p>
      <w:r>
        <w:t>Nationale Survey mit 12450 verheirateten Frauen in Afghanistan untersuchte Tetanus-Impfquoten und deren Assoziationen.</w:t>
      </w:r>
    </w:p>
    <w:p>
      <w:r>
        <w:rPr>
          <w:b/>
        </w:rPr>
        <w:t xml:space="preserve">Ergebnis: </w:t>
      </w:r>
      <w:r>
        <w:t>Nur 49,9% mit adäquater TT-Immunisierung. Höhere Quote bei sekundärer/höherer Bildung (AOR=1,57), bei ≥4 Antenatal-Care-Besuchen (AOR=4,67), in Regionen mit besserer Infrastruktur. Geringere Quote bei Frauen ≥40 Jahren (AOR=0,76) und in Ost- und Westregionen. Zeigt massive Ungleichheit.</w:t>
      </w:r>
    </w:p>
    <w:p>
      <w:r>
        <w:rPr>
          <w:b/>
          <w:sz w:val="19"/>
        </w:rPr>
        <w:t xml:space="preserve">Übertragbarkeit: </w:t>
      </w:r>
      <w:r>
        <w:rPr>
          <w:sz w:val="19"/>
        </w:rPr>
        <w:t>Afghanistan-spezifisch, aber Methode zur Identifikation von Zugangsbarrieren übertragbar</w:t>
      </w:r>
    </w:p>
    <w:p>
      <w:r>
        <w:rPr>
          <w:color w:val="5A7D3A"/>
          <w:sz w:val="18"/>
        </w:rPr>
        <w:t>https://pubmed.ncbi.nlm.nih.gov/42683523/</w:t>
      </w:r>
    </w:p>
    <w:p>
      <w:pPr>
        <w:pStyle w:val="Heading2"/>
      </w:pPr>
      <w:r>
        <w:t>Masern-Antikörperwaning gefährdet Herdenimmunität trotz hoher Impfquoten</w:t>
      </w:r>
    </w:p>
    <w:p>
      <w:r>
        <w:rPr>
          <w:i/>
          <w:color w:val="666666"/>
          <w:sz w:val="18"/>
        </w:rPr>
        <w:t>Wang W et al.  ·  Front Immunol  ·  18.08.2026  ·  PMID 42682682</w:t>
      </w:r>
    </w:p>
    <w:p>
      <w:r>
        <w:t>Chinesische Serologie-Studie mit 2083 Teilnehmern untersuchte Masern-Antikörper-Persistenz und Immunitätslücken nach Elimination des Wildvirus.</w:t>
      </w:r>
    </w:p>
    <w:p>
      <w:r>
        <w:rPr>
          <w:b/>
        </w:rPr>
        <w:t xml:space="preserve">Ergebnis: </w:t>
      </w:r>
      <w:r>
        <w:t>Gesamte Seropositiv-Quote 84,59%, aber Antikörper-Spiegel zeigten nicht-linearen Rückgang mit Zeit. Kinder 8–17 Monate: nur 28,13% Seropositiv. Jedes Jahr seit letzter Impfung erhöhte Seronegativi-Risiko um 11% (AOR=1,11). Dies zeigt erhebliche Immunitätslücken trotz hoher MCV-Abdeckung.</w:t>
      </w:r>
    </w:p>
    <w:p>
      <w:r>
        <w:rPr>
          <w:b/>
          <w:sz w:val="19"/>
        </w:rPr>
        <w:t xml:space="preserve">Übertragbarkeit: </w:t>
      </w:r>
      <w:r>
        <w:rPr>
          <w:sz w:val="19"/>
        </w:rPr>
        <w:t>Epidemiologische Erkenntnisse übertragbar auf systematische Surveillance-Überwachung</w:t>
      </w:r>
    </w:p>
    <w:p>
      <w:r>
        <w:rPr>
          <w:color w:val="5A7D3A"/>
          <w:sz w:val="18"/>
        </w:rPr>
        <w:t>https://pubmed.ncbi.nlm.nih.gov/42682682/</w:t>
      </w:r>
    </w:p>
    <w:p>
      <w:pPr>
        <w:pStyle w:val="Heading2"/>
      </w:pPr>
      <w:r>
        <w:t>HPV-Impfschutz bestätigt trotz hoher Prävalenz nicht-geimpfter Typen</w:t>
      </w:r>
    </w:p>
    <w:p>
      <w:r>
        <w:rPr>
          <w:i/>
          <w:color w:val="666666"/>
          <w:sz w:val="18"/>
        </w:rPr>
        <w:t>Gross S et al.  ·  Arch Virol  ·  28.08.2026  ·  PMID 42663706</w:t>
      </w:r>
    </w:p>
    <w:p>
      <w:r>
        <w:t>Französische Studie untersuchte HPV-Genotypen bei 464 geimpften Frauen zur Bewertung der Impfeffektivität unter Alltagsbedingungen.</w:t>
      </w:r>
    </w:p>
    <w:p>
      <w:r>
        <w:rPr>
          <w:b/>
        </w:rPr>
        <w:t xml:space="preserve">Ergebnis: </w:t>
      </w:r>
      <w:r>
        <w:t>HPV16/18-Prävalenz lag bei nur 4,3%, was die Impfeffektivität bestätigt. Allerdings wurden hochrisiko-HPV-Typen (52, 51, 56) in 8,2–5,8% nachgewiesen, die nicht in Bivalent- oder Quadrivalent-Impfstoffen enthalten sind. Dies unterstreicht die Überlegenheit nonavalenter Impfstoffe.</w:t>
      </w:r>
    </w:p>
    <w:p>
      <w:r>
        <w:rPr>
          <w:b/>
          <w:sz w:val="19"/>
        </w:rPr>
        <w:t xml:space="preserve">Übertragbarkeit: </w:t>
      </w:r>
      <w:r>
        <w:rPr>
          <w:sz w:val="19"/>
        </w:rPr>
        <w:t>Frankreich, vergleichbares Versicherungssystem, Screening-Daten verfügbar</w:t>
      </w:r>
    </w:p>
    <w:p>
      <w:r>
        <w:rPr>
          <w:color w:val="5A7D3A"/>
          <w:sz w:val="18"/>
        </w:rPr>
        <w:t>https://pubmed.ncbi.nlm.nih.gov/42663706/</w:t>
      </w:r>
    </w:p>
    <w:p>
      <w:pPr>
        <w:pStyle w:val="Heading2"/>
      </w:pPr>
      <w:r>
        <w:t>HBV-Therapeutische Impfung zeigt Immunantwort, aber keine funktionale Heilung</w:t>
      </w:r>
    </w:p>
    <w:p>
      <w:r>
        <w:rPr>
          <w:i/>
          <w:color w:val="666666"/>
          <w:sz w:val="18"/>
        </w:rPr>
        <w:t>Jeng WJ et al.  ·  Hepatol Commun  ·  01.09.2026  ·  PMID 42623526</w:t>
      </w:r>
    </w:p>
    <w:p>
      <w:r>
        <w:t>Phase-1/2-RCT mit 134 Patienten mit chronischer Hepatitis B unter Nukleos(t)id-Analoga testete heterologe prime-boost Impfstrategie.</w:t>
      </w:r>
    </w:p>
    <w:p>
      <w:r>
        <w:rPr>
          <w:b/>
        </w:rPr>
        <w:t xml:space="preserve">Ergebnis: </w:t>
      </w:r>
      <w:r>
        <w:t>Kein HBsAg-Verlust oder ≥1-log-Reduktion bei allen 134 Patienten (primärer Endpunkt verfehlt). Co-Gabe induzierte stärkste Anti-HBs-Antwort (73,7% ≥10 mIU/mL vs. 40% sequential). Grade-3-AE häufiger bei Co-Gabe (59,3% systemisch). CD4+/CD8+ T-Zell-Antworten nachgewiesen, aber begrenzte klinische Wirksamkeit.</w:t>
      </w:r>
    </w:p>
    <w:p>
      <w:r>
        <w:rPr>
          <w:b/>
          <w:sz w:val="19"/>
        </w:rPr>
        <w:t xml:space="preserve">Übertragbarkeit: </w:t>
      </w:r>
      <w:r>
        <w:rPr>
          <w:sz w:val="19"/>
        </w:rPr>
        <w:t>Europäische und internationale Zentren, vergleichbar mit deutschem Versicherungssystem</w:t>
      </w:r>
    </w:p>
    <w:p>
      <w:r>
        <w:rPr>
          <w:color w:val="5A7D3A"/>
          <w:sz w:val="18"/>
        </w:rPr>
        <w:t>https://pubmed.ncbi.nlm.nih.gov/42623526/</w:t>
      </w:r>
    </w:p>
    <w:p>
      <w:pPr>
        <w:pStyle w:val="Heading2"/>
      </w:pPr>
      <w:r>
        <w:t>Computergestützte Prognosen in Schwedens COVID-Impfphase: Forschung ohne Politikbezug</w:t>
      </w:r>
    </w:p>
    <w:p>
      <w:r>
        <w:rPr>
          <w:i/>
          <w:color w:val="666666"/>
          <w:sz w:val="18"/>
        </w:rPr>
        <w:t>Jöud AS et al.  ·  BMC Health Serv Res  ·  10.07.2026  ·  PMID 42432642</w:t>
      </w:r>
    </w:p>
    <w:p>
      <w:r>
        <w:t>Systematische Literaturübersicht bewertete 6 peer-reviewte Computerprognosestudien mit Schwedendaten zur COVID-19-Impfphase 2020–2023.</w:t>
      </w:r>
    </w:p>
    <w:p>
      <w:r>
        <w:rPr>
          <w:b/>
        </w:rPr>
        <w:t xml:space="preserve">Ergebnis: </w:t>
      </w:r>
      <w:r>
        <w:t>Alle 6 Studien zeigten Bayesianische Kalibrierung als Methode, aber keine externe Modellvalidation. Kein einziger Artikel bezog sich auf Politikentscheidungen als primären Forschungskontext. Schluss: Computergestützte Forschung diente Modellentwicklung, nicht Politikunterstützung – Kluft zwischen Forschung und Versorgungsbedarf.</w:t>
      </w:r>
    </w:p>
    <w:p>
      <w:r>
        <w:rPr>
          <w:b/>
          <w:sz w:val="19"/>
        </w:rPr>
        <w:t xml:space="preserve">Übertragbarkeit: </w:t>
      </w:r>
      <w:r>
        <w:rPr>
          <w:sz w:val="19"/>
        </w:rPr>
        <w:t>Schweden, zeigte methodische Lücke bei Verankerung von Forschung in Versorgungspraxis</w:t>
      </w:r>
    </w:p>
    <w:p>
      <w:r>
        <w:rPr>
          <w:color w:val="5A7D3A"/>
          <w:sz w:val="18"/>
        </w:rPr>
        <w:t>https://pubmed.ncbi.nlm.nih.gov/42432642/</w:t>
      </w:r>
    </w:p>
    <w:p>
      <w:pPr>
        <w:pStyle w:val="Heading2"/>
      </w:pPr>
      <w:r>
        <w:t>PCV21 kosteneffektiver als PCV20 in Dänemarks Pneumokokken-Impfprogramm</w:t>
      </w:r>
    </w:p>
    <w:p>
      <w:r>
        <w:rPr>
          <w:i/>
          <w:color w:val="666666"/>
          <w:sz w:val="18"/>
        </w:rPr>
        <w:t>Sharomi O et al.  ·  Expert Rev Pharmacoecon Outcomes Res  ·  10.07.2026  ·  PMID 42421526</w:t>
      </w:r>
    </w:p>
    <w:p>
      <w:r>
        <w:t>Dänemark: Modellanalyse verglich 100-Jahres-Gesundheitsfolgen von PCV21- vs. PCV20-Programm für Erwachsene ≥65 Jahre.</w:t>
      </w:r>
    </w:p>
    <w:p>
      <w:r>
        <w:rPr>
          <w:b/>
        </w:rPr>
        <w:t xml:space="preserve">Ergebnis: </w:t>
      </w:r>
      <w:r>
        <w:t>PCV21 gegenüber PCV20: 29309 NBPP-Fälle, 627 IPD-Fälle und 1312 Todesfälle vermieden über 100 Jahre. 835,2 Mio. dänische Kronen Kosteneinsparung, 759 QALY-Gewinn. ICER-Wert zeigt kostenspannung dominante Strategie (dominant = Einsparungen + bessere Outcomes).</w:t>
      </w:r>
    </w:p>
    <w:p>
      <w:r>
        <w:rPr>
          <w:b/>
          <w:sz w:val="19"/>
        </w:rPr>
        <w:t xml:space="preserve">Übertragbarkeit: </w:t>
      </w:r>
      <w:r>
        <w:rPr>
          <w:sz w:val="19"/>
        </w:rPr>
        <w:t>Dänemark, vergleichbares nordeuropäisches Versicherungssystem und Impfkalender</w:t>
      </w:r>
    </w:p>
    <w:p>
      <w:r>
        <w:rPr>
          <w:color w:val="5A7D3A"/>
          <w:sz w:val="18"/>
        </w:rPr>
        <w:t>https://pubmed.ncbi.nlm.nih.gov/42421526/</w:t>
      </w:r>
    </w:p>
    <w:p>
      <w:pPr>
        <w:pStyle w:val="Heading1"/>
      </w:pPr>
      <w:r>
        <w:t>Aufgenommen am 05.09.2026</w:t>
      </w:r>
    </w:p>
    <w:p>
      <w:pPr>
        <w:pStyle w:val="Heading2"/>
      </w:pPr>
      <w:r>
        <w:t>Influenza-Impfeffektivität gegen Hospitalisierung bei Erwachsenen mit chronischen Erkrankungen</w:t>
      </w:r>
    </w:p>
    <w:p>
      <w:r>
        <w:rPr>
          <w:i/>
          <w:color w:val="666666"/>
          <w:sz w:val="18"/>
        </w:rPr>
        <w:t>Toledo D et al.  ·  Influenza Other Respir Viruses  ·  Sept. 2026  ·  PMID 42693773</w:t>
      </w:r>
    </w:p>
    <w:p>
      <w:r>
        <w:t>Multizentrisches Fall-Kontroll-Verfahren aus 17 spanischen Krankenhäusern zur Bestimmung der klinischen Effektivität der saisonalen Influenzaimpfung bei hospitalisiert behandelten Erwachsenen (15–64 Jahre) mit vorbestehenden medizinischen Erkrankungen über drei Influenzajahreszeiten.</w:t>
      </w:r>
    </w:p>
    <w:p>
      <w:r>
        <w:rPr>
          <w:b/>
        </w:rPr>
        <w:t xml:space="preserve">Ergebnis: </w:t>
      </w:r>
      <w:r>
        <w:t>Von 1.220 hospitalisierten Erwachsenen waren 25,2 % geimpft. Die Impfeffektivität variierte nach Saison, Altersgruppe und Virus-Subtyp; statistisch signifikanter Schutz wurde für alle Jahreszeiten gemeinsam gegen A(H3N2) beobachtet, einzelne Jahreszeiten zeigten keine signifikanten Unterschiede. Die Studie unterstreicht geringe saisonale Influenzaimpfquoten in dieser Bevölkerungsgruppe und die Notwendigkeit verbesserter Impfstrategien.</w:t>
      </w:r>
    </w:p>
    <w:p>
      <w:r>
        <w:rPr>
          <w:b/>
          <w:sz w:val="19"/>
        </w:rPr>
        <w:t xml:space="preserve">Übertragbarkeit: </w:t>
      </w:r>
      <w:r>
        <w:rPr>
          <w:sz w:val="19"/>
        </w:rPr>
        <w:t>Spanien, vergleichbares Gesundheitssystem; Hospitalisierungsdaten messbar</w:t>
      </w:r>
    </w:p>
    <w:p>
      <w:r>
        <w:rPr>
          <w:color w:val="5A7D3A"/>
          <w:sz w:val="18"/>
        </w:rPr>
        <w:t>https://pubmed.ncbi.nlm.nih.gov/42693773/</w:t>
      </w:r>
    </w:p>
    <w:p>
      <w:pPr>
        <w:pStyle w:val="Heading2"/>
      </w:pPr>
      <w:r>
        <w:t>Klima und Impfung als Determinanten für Durchfall-Morbidität in afrikanischen Ländern</w:t>
      </w:r>
    </w:p>
    <w:p>
      <w:r>
        <w:rPr>
          <w:i/>
          <w:color w:val="666666"/>
          <w:sz w:val="18"/>
        </w:rPr>
        <w:t>Kowalcyk M et al.  ·  Nat Commun  ·  06.08.2026  ·  PMID 42693103</w:t>
      </w:r>
    </w:p>
    <w:p>
      <w:r>
        <w:t>Sekundäranalyse der Global Enteric Multicenter Study (GEMS) und VIDA-Studie zur Rolle von Klima und sozioökonomischen Vulnerabilitätsfaktoren bei der Vorhersage pathogenspezifischer Durchfall-Erkrankungen bei Kindern in Gambia, Kenia und Mali.</w:t>
      </w:r>
    </w:p>
    <w:p>
      <w:r>
        <w:rPr>
          <w:b/>
        </w:rPr>
        <w:t xml:space="preserve">Ergebnis: </w:t>
      </w:r>
      <w:r>
        <w:t>Soziodemografische Vulnerabilität (Transport-, Fernseh-, Stromzugang) und Rotavirus-Impfeinführung modifizierten die Assoziation zwischen Wetter und moderatem-schwerem Durchfall. Diese Modifikationen waren standort- und pathogenspezifisch. Bevölkerungszahl war stärkster Prädiktor (SHAP mean absolute 0,167 für Inzidenz). Die Studie zeigt, dass Vulnerabilitätsfaktoren mit variable pathogenspezifischen Erkrankungsrisiken korreliert sind.</w:t>
      </w:r>
    </w:p>
    <w:p>
      <w:r>
        <w:rPr>
          <w:b/>
          <w:sz w:val="19"/>
        </w:rPr>
        <w:t xml:space="preserve">Übertragbarkeit: </w:t>
      </w:r>
      <w:r>
        <w:rPr>
          <w:sz w:val="19"/>
        </w:rPr>
        <w:t>Afrika; Vulnerabilität und Impfprogramme, Versorgungsforschung in ressourcenlimitierten Settings</w:t>
      </w:r>
    </w:p>
    <w:p>
      <w:r>
        <w:rPr>
          <w:color w:val="5A7D3A"/>
          <w:sz w:val="18"/>
        </w:rPr>
        <w:t>https://pubmed.ncbi.nlm.nih.gov/42693103/</w:t>
      </w:r>
    </w:p>
    <w:p>
      <w:pPr>
        <w:pStyle w:val="Heading2"/>
      </w:pPr>
      <w:r>
        <w:t>Barrieren und Beförderer der HPV-Impfakzeptanz in Pakistan vor Programmstart</w:t>
      </w:r>
    </w:p>
    <w:p>
      <w:r>
        <w:rPr>
          <w:i/>
          <w:color w:val="666666"/>
          <w:sz w:val="18"/>
        </w:rPr>
        <w:t>Noreen K et al.  ·  Hum Vaccin Immunother  ·  03.09.2026  ·  PMID 42692950</w:t>
      </w:r>
    </w:p>
    <w:p>
      <w:r>
        <w:t>Qualitative Studie mit Fokusgruppen und Interviews bei Community Worker, Gesundheitspersonal, Lehrkräften, Mädchen und Eltern zur Erfassung von Hemmnissen und Förderungsfaktoren der HPV-Impfakzeptanz vor dem ersten nationalen HPV-Impfprogramm in Pakistan.</w:t>
      </w:r>
    </w:p>
    <w:p>
      <w:r>
        <w:rPr>
          <w:b/>
        </w:rPr>
        <w:t xml:space="preserve">Ergebnis: </w:t>
      </w:r>
      <w:r>
        <w:t>Barrieren: Furcht vor Nebenwirkungen, Impfskepsis, Fehlinformation über soziale Medien, religiöse Wahrnehmungen, patriarchale Entscheidungsfindung, Wartezeitprobleme, Widerstand in der Gemeinde. Beförderer: Erkenntnis des Impfnutzens, unterstützende Familie und Gemeinschaftsnormen, Gesundheitsfachleute-Beratung, religiöse Argumente, aufsuchende Dienste und Vertrauenspersonen wie Schulleitung. Die Befunde unterstreichen Bedarf für kulturell sensible, vertrauensaufbauende Strategien über klinischen Ansatz hinaus.</w:t>
      </w:r>
    </w:p>
    <w:p>
      <w:r>
        <w:rPr>
          <w:b/>
          <w:sz w:val="19"/>
        </w:rPr>
        <w:t xml:space="preserve">Übertragbarkeit: </w:t>
      </w:r>
      <w:r>
        <w:rPr>
          <w:sz w:val="19"/>
        </w:rPr>
        <w:t>Pakistan; Implementierungsforschung für Programmstart nötig, nicht direkt auf Deutschland übertragbar</w:t>
      </w:r>
    </w:p>
    <w:p>
      <w:r>
        <w:rPr>
          <w:color w:val="5A7D3A"/>
          <w:sz w:val="18"/>
        </w:rPr>
        <w:t>https://pubmed.ncbi.nlm.nih.gov/42692950/</w:t>
      </w:r>
    </w:p>
    <w:p>
      <w:pPr>
        <w:pStyle w:val="Heading2"/>
      </w:pPr>
      <w:r>
        <w:t>Monitoring von Impfabbrüchen: Effekt auf Durchimpfungsquoten im ländlichen Südsudan</w:t>
      </w:r>
    </w:p>
    <w:p>
      <w:r>
        <w:rPr>
          <w:i/>
          <w:color w:val="666666"/>
          <w:sz w:val="18"/>
        </w:rPr>
        <w:t>Igga DOM et al.  ·  PLoS One  ·  03.09.2026  ·  PMID 42691046</w:t>
      </w:r>
    </w:p>
    <w:p>
      <w:r>
        <w:t>Prospektive Kohortenstudie über drei Monate in 14 Gesundheitseinrichtungen im Maridi County (Südsudan) zur Wirksamkeit von Monitoring-Mechanismen zur Reduzierung von Impfausfällen bei Säuglingen und Kleinkindern.</w:t>
      </w:r>
    </w:p>
    <w:p>
      <w:r>
        <w:rPr>
          <w:b/>
        </w:rPr>
        <w:t xml:space="preserve">Ergebnis: </w:t>
      </w:r>
      <w:r>
        <w:t>Einrichtungen mit aktualisierten Monitoring-Charts hatten signifikant niedrigere Ausfallquoten (Spearman r = -0,725, p = 0,003). Boma Health Worker (Community-Helfer zur Verfolgung ausstehender Impfungen) waren in 64 % der Einrichtungen präsent; 91,7 % der Einrichtungen mit niedrigen Ausfallquoten hatten Helfer, gegenüber 37,5 % mit hohen Ausfallquoten. Kombinierte Facility- und Community-basierte Monitoring-Mechanismen zeigten komplementären Effekt. Ausfallquoten über 10 % sanken über drei Monate um 9,6 Prozentpunkte.</w:t>
      </w:r>
    </w:p>
    <w:p>
      <w:r>
        <w:rPr>
          <w:b/>
          <w:sz w:val="19"/>
        </w:rPr>
        <w:t xml:space="preserve">Übertragbarkeit: </w:t>
      </w:r>
      <w:r>
        <w:rPr>
          <w:sz w:val="19"/>
        </w:rPr>
        <w:t>Südsudan; Monitoring-Muster auch für Deutschland relevant, aber Gesundheitssystem-Kontext verschieden</w:t>
      </w:r>
    </w:p>
    <w:p>
      <w:r>
        <w:rPr>
          <w:color w:val="5A7D3A"/>
          <w:sz w:val="18"/>
        </w:rPr>
        <w:t>https://pubmed.ncbi.nlm.nih.gov/42691046/</w:t>
      </w:r>
    </w:p>
    <w:p>
      <w:pPr>
        <w:pStyle w:val="Heading2"/>
      </w:pPr>
      <w:r>
        <w:t>Quoten bei Jugendlichen-Impfung USA 2025: HPV stagniert, Tdap und MenACWY leicht gesunken</w:t>
      </w:r>
    </w:p>
    <w:p>
      <w:r>
        <w:rPr>
          <w:i/>
          <w:color w:val="666666"/>
          <w:sz w:val="18"/>
        </w:rPr>
        <w:t>Pingali C et al.  ·  MMWR Morb Mortal Wkly Rep  ·  03.09.2026  ·  PMID 42691006</w:t>
      </w:r>
    </w:p>
    <w:p>
      <w:r>
        <w:t>Analyse der 2025 National Immunization Survey-Teen für 18.692 Adoleszente (13–17 Jahre) zur Erfassung von Trends bei Tetanus-Diptherie-Pertussis (Tdap), Meningokokken- und HPV-Impfquoten in den USA.</w:t>
      </w:r>
    </w:p>
    <w:p>
      <w:r>
        <w:rPr>
          <w:b/>
        </w:rPr>
        <w:t xml:space="preserve">Ergebnis: </w:t>
      </w:r>
      <w:r>
        <w:t>Tdap und MenACWY 2025 zu ca. 90 %, leicht gesunken gegenüber 2024. HPV-Impfquoten (≥1 Dosis und Serie-Vollständigkeit) stiegen zum vierten Jahr nicht an und blieben deutlich unter Tdap/MenACWY. HPV-Quote in ländlich geprägten Gebieten 12,0 Prozentpunkte niedriger als in städtischen Gegenden. Größte Variation zwischen Bundesländern bei HPV. Geografische und regionale Disparitäten persistent.</w:t>
      </w:r>
    </w:p>
    <w:p>
      <w:r>
        <w:rPr>
          <w:b/>
          <w:sz w:val="19"/>
        </w:rPr>
        <w:t xml:space="preserve">Übertragbarkeit: </w:t>
      </w:r>
      <w:r>
        <w:rPr>
          <w:sz w:val="19"/>
        </w:rPr>
        <w:t>USA; Quoten nicht direkt übertragbar, aber Disparitätsmuster ländlich/urban ähnlich Deutschland</w:t>
      </w:r>
    </w:p>
    <w:p>
      <w:r>
        <w:rPr>
          <w:color w:val="5A7D3A"/>
          <w:sz w:val="18"/>
        </w:rPr>
        <w:t>https://pubmed.ncbi.nlm.nih.gov/42691006/</w:t>
      </w:r>
    </w:p>
    <w:p>
      <w:pPr>
        <w:pStyle w:val="Heading2"/>
      </w:pPr>
      <w:r>
        <w:t>Impfassoziierte Belastung: Implementierung canadischer Leitlinien in Niederländisches Impfprogramm</w:t>
      </w:r>
    </w:p>
    <w:p>
      <w:r>
        <w:rPr>
          <w:i/>
          <w:color w:val="666666"/>
          <w:sz w:val="18"/>
        </w:rPr>
        <w:t>Huijten DCM et al.  ·  Clin J Pain  ·  01.08.2026  ·  PMID 42444177</w:t>
      </w:r>
    </w:p>
    <w:p>
      <w:r>
        <w:t>Erfahrungsbericht zur kulturellen Anpassung des CARD-Systems (Comfort-Ask-Relax-Distract) aus Kanada für das Niederländische Nationale Impfprogramm, um impfassoziierte Stress-Reaktionen (Schmerz, Nadelangst) zu reduzieren und Quote zu erhöhen.</w:t>
      </w:r>
    </w:p>
    <w:p>
      <w:r>
        <w:rPr>
          <w:b/>
        </w:rPr>
        <w:t xml:space="preserve">Ergebnis: </w:t>
      </w:r>
      <w:r>
        <w:t>Der CARD-Multikomponenten-Ansatz kombiniert Edukation mit mehreren Interventionen zur Stressreduktion (prozessual, physisch, pharmakologisch, psychologisch). Systematische Anpassung mittels EPIS-Rahmenwerk (Exploration-Preparation-Implementation-Sustainment) wurde durchgeführt. Das Konzept zeigt, dass Effektivität in einem Kontext (Kanada) nicht automatisch in anderem (Niederlande) funktioniert. Pilotstudie im niederländischen Kontext geplant.</w:t>
      </w:r>
    </w:p>
    <w:p>
      <w:r>
        <w:rPr>
          <w:b/>
          <w:sz w:val="19"/>
        </w:rPr>
        <w:t xml:space="preserve">Übertragbarkeit: </w:t>
      </w:r>
      <w:r>
        <w:rPr>
          <w:sz w:val="19"/>
        </w:rPr>
        <w:t>Niederlande, vergleichbares Impfprogramm; übertragbar auf Deutsche Impfkompetenz-Schulung</w:t>
      </w:r>
    </w:p>
    <w:p>
      <w:r>
        <w:rPr>
          <w:color w:val="5A7D3A"/>
          <w:sz w:val="18"/>
        </w:rPr>
        <w:t>https://pubmed.ncbi.nlm.nih.gov/42444177/</w:t>
      </w:r>
    </w:p>
    <w:p>
      <w:pPr>
        <w:pStyle w:val="Heading1"/>
      </w:pPr>
      <w:r>
        <w:t>Aufgenommen am 04.09.2026</w:t>
      </w:r>
    </w:p>
    <w:p>
      <w:pPr>
        <w:pStyle w:val="Heading2"/>
      </w:pPr>
      <w:r>
        <w:t>HPV-Impfbewusstsein in indigenen Gemeinschaften Kanadas niedrig</w:t>
      </w:r>
    </w:p>
    <w:p>
      <w:r>
        <w:rPr>
          <w:i/>
          <w:color w:val="666666"/>
          <w:sz w:val="18"/>
        </w:rPr>
        <w:t>Omidimorad A et al.  ·  PLoS One  ·  03.09.2026  ·  PMID 42691150</w:t>
      </w:r>
    </w:p>
    <w:p>
      <w:r>
        <w:t>Community-based participatory research in 11 indigenen Gemeinschaften der Northwest Territories (Kanada, n=221 Erwachsene ≥18 Jahre): Quantitative und qualitative Befragung zu HPV- und HPV-Impfbewusstsein; Multiple logistische Regression und thematische Analyse zu Nicht-Impfungs-Gründen.</w:t>
      </w:r>
    </w:p>
    <w:p>
      <w:r>
        <w:rPr>
          <w:b/>
        </w:rPr>
        <w:t xml:space="preserve">Ergebnis: </w:t>
      </w:r>
      <w:r>
        <w:t>Etwa 50% hatten von HPV gehört, &lt;1/3 von HPV-Impfstoff. Bildung signifikant assoziiert: Niedrigere Bildung → niedrigeres HPV-Bewusstsein (p&lt;0,001). Alter, Geschlecht, Bildung prädizieren Impfstoff-Bewusstsein (Frauen, höhere Bildung, jünger: höher). Nur 26,3% der Geimpften ≤26 Jahre. Qualitativ: Mangelndes Wissen und unzureichende Information sind Hauptbarrieren.</w:t>
      </w:r>
    </w:p>
    <w:p>
      <w:r>
        <w:rPr>
          <w:b/>
          <w:sz w:val="19"/>
        </w:rPr>
        <w:t xml:space="preserve">Übertragbarkeit: </w:t>
      </w:r>
      <w:r>
        <w:rPr>
          <w:sz w:val="19"/>
        </w:rPr>
        <w:t>Kanada, indigene Populations-spezifik; Lessons für deutsche Gesundheitsungleichheit relevant.</w:t>
      </w:r>
    </w:p>
    <w:p>
      <w:r>
        <w:rPr>
          <w:color w:val="5A7D3A"/>
          <w:sz w:val="18"/>
        </w:rPr>
        <w:t>https://pubmed.ncbi.nlm.nih.gov/42691150/</w:t>
      </w:r>
    </w:p>
    <w:p>
      <w:pPr>
        <w:pStyle w:val="Heading2"/>
      </w:pPr>
      <w:r>
        <w:t>Peer-Education durch Medizinstudierende steigert HPV-Impfwissen bei japanischen Jugendlichen</w:t>
      </w:r>
    </w:p>
    <w:p>
      <w:r>
        <w:rPr>
          <w:i/>
          <w:color w:val="666666"/>
          <w:sz w:val="18"/>
        </w:rPr>
        <w:t>Nakajima K et al.  ·  Hum Vaccin Immunother  ·  02.09.2026  ·  PMID 42687414</w:t>
      </w:r>
    </w:p>
    <w:p>
      <w:r>
        <w:t>Explorative Interventionsstudie (Feb 2022–März 2024): Medizinstudierende gaben 1-Stunden-Schulungen zu HPV-Transmission, Gebärmutterhalskrebs-Prävention und Impfwirksamkeit in japanischen Schulen; Folgeerhebung 1–2 Wochen später zu Wissen, Haltung und Impfverhalten.</w:t>
      </w:r>
    </w:p>
    <w:p>
      <w:r>
        <w:rPr>
          <w:b/>
        </w:rPr>
        <w:t xml:space="preserve">Ergebnis: </w:t>
      </w:r>
      <w:r>
        <w:t>864 Schüler teilgenommen, 332 gefolgt. Von 248 Ungeimpften vor Session: 10 Mädchen (7,5%) und 1 Junge (0,9%) erhielten HPV-Impfung innerhalb von 2 Wochen. Schüler mit positiver Impfabsicht zeigten höhere Verständnis-Scores. Geimpfte identifizierten HPV-verhinderbare Krebsarten häufiger korrekt.</w:t>
      </w:r>
    </w:p>
    <w:p>
      <w:r>
        <w:rPr>
          <w:b/>
          <w:sz w:val="19"/>
        </w:rPr>
        <w:t xml:space="preserve">Übertragbarkeit: </w:t>
      </w:r>
      <w:r>
        <w:rPr>
          <w:sz w:val="19"/>
        </w:rPr>
        <w:t>Japan-Daten; Near-Peer-Modell könnte für deutsches Schulimpf-Setting adaptierbar sein.</w:t>
      </w:r>
    </w:p>
    <w:p>
      <w:r>
        <w:rPr>
          <w:color w:val="5A7D3A"/>
          <w:sz w:val="18"/>
        </w:rPr>
        <w:t>https://pubmed.ncbi.nlm.nih.gov/42687414/</w:t>
      </w:r>
    </w:p>
    <w:p>
      <w:pPr>
        <w:pStyle w:val="Heading2"/>
      </w:pPr>
      <w:r>
        <w:t>HPV-Impfbereitschaft bei Eltern in ethnischen Autonomie-Bezirken Chinas</w:t>
      </w:r>
    </w:p>
    <w:p>
      <w:r>
        <w:rPr>
          <w:i/>
          <w:color w:val="666666"/>
          <w:sz w:val="18"/>
        </w:rPr>
        <w:t>Li X et al.  ·  Hum Vaccin Immunother  ·  01.09.2026  ·  PMID 42678389</w:t>
      </w:r>
    </w:p>
    <w:p>
      <w:r>
        <w:t>Querschnittsbefragung in Qinghai-Provinz (Dezember 2024–Februar 2025): Erziehungsberechtigte von Schulkindern zu HPV-Impfbereitschaft; Theorien: Health Belief Model und Theory of Planned Behavior (TPB); Hierarchische Regressionsmodelle.</w:t>
      </w:r>
    </w:p>
    <w:p>
      <w:r>
        <w:rPr>
          <w:b/>
        </w:rPr>
        <w:t xml:space="preserve">Ergebnis: </w:t>
      </w:r>
      <w:r>
        <w:t>Hui-Ethnie vs. Han-Ethnie: niedrigere Impfbereitschaft (B=−0,229, p=0,003). Positive Assoziationen mit: Aktionsimpulsen (β=0,121), wahrgenommenen Barrieren (β=0,128), Einstellungen (β=0,203), wahrgenommenem Verhaltenskontrolle (β=0,107), Subjektiven Normen (β=0,323). Bildung und mittleres Einkommen prädizierten höhere Bereitschaft.</w:t>
      </w:r>
    </w:p>
    <w:p>
      <w:r>
        <w:rPr>
          <w:b/>
          <w:sz w:val="19"/>
        </w:rPr>
        <w:t xml:space="preserve">Übertragbarkeit: </w:t>
      </w:r>
      <w:r>
        <w:rPr>
          <w:sz w:val="19"/>
        </w:rPr>
        <w:t>China, kollektive Health-Literacy-Strukturen; Barrieren für deutsche Migrantengruppen vergleichbar.</w:t>
      </w:r>
    </w:p>
    <w:p>
      <w:r>
        <w:rPr>
          <w:color w:val="5A7D3A"/>
          <w:sz w:val="18"/>
        </w:rPr>
        <w:t>https://pubmed.ncbi.nlm.nih.gov/42678389/</w:t>
      </w:r>
    </w:p>
    <w:p>
      <w:pPr>
        <w:pStyle w:val="Heading2"/>
      </w:pPr>
      <w:r>
        <w:t>Geospatial mapping reveals Zero-Dose concentrations in low- und lower-middle-income countries</w:t>
      </w:r>
    </w:p>
    <w:p>
      <w:r>
        <w:rPr>
          <w:i/>
          <w:color w:val="666666"/>
          <w:sz w:val="18"/>
        </w:rPr>
        <w:t>Njogu AM et al.  ·  Vaccine  ·  30.08.2026  ·  PMID 42442083</w:t>
      </w:r>
    </w:p>
    <w:p>
      <w:r>
        <w:t>Scoping Review zu räumlichen Modellierungsmethoden für Impfquoten in Ländern mit niedrigem Einkommen: 102 Artikel analysiert, hauptsächlich zu Routineimpfungen; nur 19,6% zu Zero-Dose-Prävalenz.</w:t>
      </w:r>
    </w:p>
    <w:p>
      <w:r>
        <w:rPr>
          <w:b/>
        </w:rPr>
        <w:t xml:space="preserve">Ergebnis: </w:t>
      </w:r>
      <w:r>
        <w:t>70% der Studien stammen aus 2021-2024. Die meisten nutzen Befragungsdaten statt Routinedaten. Größte Defizite: uneinheitliche Zero-Dose-Definitionen, begrenzte Routinedaten-Nutzung, Unterrepräsentation marginalisierter Gruppen. Geospatiale Kartierung expandiert, aber explorativ statt präzise genug zum gezielten Targeting.</w:t>
      </w:r>
    </w:p>
    <w:p>
      <w:r>
        <w:rPr>
          <w:b/>
          <w:sz w:val="19"/>
        </w:rPr>
        <w:t xml:space="preserve">Übertragbarkeit: </w:t>
      </w:r>
      <w:r>
        <w:rPr>
          <w:sz w:val="19"/>
        </w:rPr>
        <w:t>Entwicklungsländer-Fokus; Erkenntnisse für deutsche Registerentwicklung nicht direkt übertragbar.</w:t>
      </w:r>
    </w:p>
    <w:p>
      <w:r>
        <w:rPr>
          <w:color w:val="5A7D3A"/>
          <w:sz w:val="18"/>
        </w:rPr>
        <w:t>https://pubmed.ncbi.nlm.nih.gov/42442083/</w:t>
      </w:r>
    </w:p>
    <w:p>
      <w:pPr>
        <w:pStyle w:val="Heading2"/>
      </w:pPr>
      <w:r>
        <w:t>Antikörperpersistenz nach Kinderimpfungen mit maternaler Tdap-Exposition</w:t>
      </w:r>
    </w:p>
    <w:p>
      <w:r>
        <w:rPr>
          <w:i/>
          <w:color w:val="666666"/>
          <w:sz w:val="18"/>
        </w:rPr>
        <w:t>De Weerdt L et al.  ·  Vaccine  ·  13.08.2026  ·  PMID 42430876</w:t>
      </w:r>
    </w:p>
    <w:p>
      <w:r>
        <w:t>Längsschnittstudie an belgischen Kindern (Term und Frühgeborene) zu Antikörperpersistenz nach sechsvalenter DTaP-IPV-HB-PRP-Impfung und Antwort auf Auffrischung im Schulalter; Maternale Tdap-Impfung während Schwangerschaft als Exposition.</w:t>
      </w:r>
    </w:p>
    <w:p>
      <w:r>
        <w:rPr>
          <w:b/>
        </w:rPr>
        <w:t xml:space="preserve">Ergebnis: </w:t>
      </w:r>
      <w:r>
        <w:t>128 Kinder bei 3 Jahren, 106 bei 5 Jahren, 94 mit Schulauffrischung. Antikörperspiegel sanken zwischen Jahr 3 und 5, Schutzraten blieben hoch (außer Anti-HB: sinkend). Nach Auffrischung: 100% Seroschutz für Diphtherie/Tetanus/Polio Typ 1, ≥96% für Polio Typ 2+3, ≥93% Pertussis-Serokonversion. Maternale Tdap-Strategie wird gestützt.</w:t>
      </w:r>
    </w:p>
    <w:p>
      <w:r>
        <w:rPr>
          <w:b/>
          <w:sz w:val="19"/>
        </w:rPr>
        <w:t xml:space="preserve">Übertragbarkeit: </w:t>
      </w:r>
      <w:r>
        <w:rPr>
          <w:sz w:val="19"/>
        </w:rPr>
        <w:t>Belgien, vergleichbares Versicherungssystem; Impfkalender-Struktur ähnlich.</w:t>
      </w:r>
    </w:p>
    <w:p>
      <w:r>
        <w:rPr>
          <w:color w:val="5A7D3A"/>
          <w:sz w:val="18"/>
        </w:rPr>
        <w:t>https://pubmed.ncbi.nlm.nih.gov/42430876/</w:t>
      </w:r>
    </w:p>
    <w:p>
      <w:pPr>
        <w:pStyle w:val="Heading2"/>
      </w:pPr>
      <w:r>
        <w:t>COVID-19-Impfakzeptanz variiert nach Herkunftsregion in Schweden</w:t>
      </w:r>
    </w:p>
    <w:p>
      <w:r>
        <w:rPr>
          <w:i/>
          <w:color w:val="666666"/>
          <w:sz w:val="18"/>
        </w:rPr>
        <w:t>Hassan M et al.  ·  Front Public Health  ·  24.06.2026  ·  PMID 42422674</w:t>
      </w:r>
    </w:p>
    <w:p>
      <w:r>
        <w:t>Querschnittsbefragung in Schweden (n=3.281) zur COVID-19-Impfbereitschaft stratifiziert nach Geburtsregion: Schweden, Westländer, Nicht-Westländer. Sechs Domänen (Vertrauensdomänen, Normen, Erreichbarkeit) gemessen.</w:t>
      </w:r>
    </w:p>
    <w:p>
      <w:r>
        <w:rPr>
          <w:b/>
        </w:rPr>
        <w:t xml:space="preserve">Ergebnis: </w:t>
      </w:r>
      <w:r>
        <w:t>Geimpfte aus Schweden und Westländern hatten 9,5 bzw. 8,9 Punkte höhere Akzeptanzscores als Ungeimpfte; bei Nicht-Westländern nur 2,8 Punkte Unterschied. Bei Schweden/Westländern: ‚Deskriptive Normen' und ‚Vertrauen in Impfstoffe' stärkste Prädiktoren (OR 2,5–3,6). Bei Nicht-Westländern nur ‚Vertrauen' und ‚Nutzen-Risiko' relevant (OR 1,6–1,7).</w:t>
      </w:r>
    </w:p>
    <w:p>
      <w:r>
        <w:rPr>
          <w:b/>
          <w:sz w:val="19"/>
        </w:rPr>
        <w:t xml:space="preserve">Übertragbarkeit: </w:t>
      </w:r>
      <w:r>
        <w:rPr>
          <w:sz w:val="19"/>
        </w:rPr>
        <w:t>Skandinavien, Public-Health-System ähnlich; zeigt Defizit bei Migranten-Outreach.</w:t>
      </w:r>
    </w:p>
    <w:p>
      <w:r>
        <w:rPr>
          <w:color w:val="5A7D3A"/>
          <w:sz w:val="18"/>
        </w:rPr>
        <w:t>https://pubmed.ncbi.nlm.nih.gov/42422674/</w:t>
      </w:r>
    </w:p>
    <w:p>
      <w:pPr>
        <w:pStyle w:val="Heading1"/>
      </w:pPr>
      <w:r>
        <w:t>Aufgenommen am 03.09.2026</w:t>
      </w:r>
    </w:p>
    <w:p>
      <w:pPr>
        <w:pStyle w:val="Heading2"/>
      </w:pPr>
      <w:r>
        <w:t>Grippeimpf-Bewusstsein und -Quote bei Frauen im gebärfähigen Alter in Shanghai</w:t>
      </w:r>
    </w:p>
    <w:p>
      <w:r>
        <w:rPr>
          <w:i/>
          <w:color w:val="666666"/>
          <w:sz w:val="18"/>
        </w:rPr>
        <w:t>Liu P et al.  ·  Hum Vaccin Immunother  ·  16.07.2026  ·  PMID 42684141</w:t>
      </w:r>
    </w:p>
    <w:p>
      <w:r>
        <w:t>Bevölkerungsbasierte Querschnittsstudie zur Impfbereitschaft gegen Influenza bei Frauen im Alter von 15–49 Jahren in Shanghai (Pudong), einschließlich Schwangerenszenarien.</w:t>
      </w:r>
    </w:p>
    <w:p>
      <w:r>
        <w:rPr>
          <w:b/>
        </w:rPr>
        <w:t xml:space="preserve">Ergebnis: </w:t>
      </w:r>
      <w:r>
        <w:t>Wissenswert: 60,61 % zu Influenza, 56,46 % zu Grippeimpfstoff. Gesundheitsberufe hatten höchste Kompetenz. Bei hypothetischer Schwangerschaft: Injektionspräferenz fiel von 41,25 % auf 13,31 %, Nasenspray stieg von 10,60 % auf 23,17 %, Ablehnung von 10,19 % auf 35,58 %. Schwangere bevorzugten Nasenspray (41,67 %). 87,63 % würden Empfehlungen von Frauenärzten folgen.</w:t>
      </w:r>
    </w:p>
    <w:p>
      <w:r>
        <w:rPr>
          <w:b/>
          <w:sz w:val="19"/>
        </w:rPr>
        <w:t xml:space="preserve">Übertragbarkeit: </w:t>
      </w:r>
      <w:r>
        <w:rPr>
          <w:sz w:val="19"/>
        </w:rPr>
        <w:t>China, aber zeigt Muster zur Impfentscheidung in Schwangerschaft anwendbar auf deutsche Kommunikation</w:t>
      </w:r>
    </w:p>
    <w:p>
      <w:r>
        <w:rPr>
          <w:color w:val="5A7D3A"/>
          <w:sz w:val="18"/>
        </w:rPr>
        <w:t>https://pubmed.ncbi.nlm.nih.gov/42684141/</w:t>
      </w:r>
    </w:p>
    <w:p>
      <w:pPr>
        <w:pStyle w:val="Heading2"/>
      </w:pPr>
      <w:r>
        <w:t>Influenza-Impfquoten bei Ärztinnen und Pflegekräften: Deutschland und China im Vergleich</w:t>
      </w:r>
    </w:p>
    <w:p>
      <w:r>
        <w:rPr>
          <w:i/>
          <w:color w:val="666666"/>
          <w:sz w:val="18"/>
        </w:rPr>
        <w:t>Sanftenberg L et al.  ·  BMC Public Health  ·  01.09.2026  ·  PMID 42681616</w:t>
      </w:r>
    </w:p>
    <w:p>
      <w:r>
        <w:t>Vergleichende Querschnittsstudie zu psychologischen und strukturellen Barrieren für die Grippeimpfung bei Gesundheitspersonal in Deutschland (8.351 Arbeitskräfte, 72 Krankenhäuser) und China (689 Arbeitskräfte, 9 Krankenhäuser) 2024–2025.</w:t>
      </w:r>
    </w:p>
    <w:p>
      <w:r>
        <w:rPr>
          <w:b/>
        </w:rPr>
        <w:t xml:space="preserve">Ergebnis: </w:t>
      </w:r>
      <w:r>
        <w:t>Deutsche Ärzte: 80,9 % geimpft, deutsche Pflegekräfte 48,7 %; chinesische Ärzte: 28,8 %, chinesische Pflegekräfte 32,2 %. Vertrauen und Eigenverantwortung waren wichtige Treiber in beiden Ländern. Deutsche Profis nannten individuelle Gründe für Ablehnung, chinesische hingegen Hürden in der Einrichtung (Zeitmangel). Effektive Interventionen: kostenlose Impfung, Bildung, organisatorische Maßnahmen.</w:t>
      </w:r>
    </w:p>
    <w:p>
      <w:r>
        <w:rPr>
          <w:b/>
          <w:sz w:val="19"/>
        </w:rPr>
        <w:t xml:space="preserve">Übertragbarkeit: </w:t>
      </w:r>
      <w:r>
        <w:rPr>
          <w:sz w:val="19"/>
        </w:rPr>
        <w:t>Deutsche Klinikdaten, vergleichbares Versicherungssystem und Gesundheitsberuferegeln</w:t>
      </w:r>
    </w:p>
    <w:p>
      <w:r>
        <w:rPr>
          <w:color w:val="5A7D3A"/>
          <w:sz w:val="18"/>
        </w:rPr>
        <w:t>https://pubmed.ncbi.nlm.nih.gov/42681616/</w:t>
      </w:r>
    </w:p>
    <w:p>
      <w:pPr>
        <w:pStyle w:val="Heading2"/>
      </w:pPr>
      <w:r>
        <w:t>COVID-19-Impfung bei fortgeschrittenem Lungenkarzinom und Immuntherapie: Real-World-Daten aus Rumänien</w:t>
      </w:r>
    </w:p>
    <w:p>
      <w:r>
        <w:rPr>
          <w:i/>
          <w:color w:val="666666"/>
          <w:sz w:val="18"/>
        </w:rPr>
        <w:t>Gheorghiță V et al.  ·  Medicina (Kaunas)  ·  18.08.2026  ·  PMID 42654486</w:t>
      </w:r>
    </w:p>
    <w:p>
      <w:r>
        <w:t>Retrospektive Kohortenstudie an 139 Patienten mit Stadium-IV-Nicht-Kleinzellkarzinom, die Immun-Checkpoint-Inhibitoren erhielten, stratifiziert nach COVID-19-Impfstatus (0–1 vs. ≥2 Dosen).</w:t>
      </w:r>
    </w:p>
    <w:p>
      <w:r>
        <w:rPr>
          <w:b/>
        </w:rPr>
        <w:t xml:space="preserve">Ergebnis: </w:t>
      </w:r>
      <w:r>
        <w:t>Geimpfte Patienten: längeres progressionsfreies Überleben (13,0 vs. 11,0 Monate) und Gesamtüberleben (29,0 vs. 24,0 Monate; beide p&lt;0,001). Nach Multivariablenkalibrierung abgeschwächt, aber Grenzwertbereich (OS HR=0,83; PFS HR=0,79). ≥2 Dosen assoziiert mit besseren Ergebnissen (PFS 14,0 vs. 12,0 Monate, OS 30,0 vs. 24,0 Monate). Höhere Odds für Grad-1/2-Toxizität mit ≥2 Dosen (OR=2,47, p=0,037), aber keine Grade-4/5-Ereignisse.</w:t>
      </w:r>
    </w:p>
    <w:p>
      <w:r>
        <w:rPr>
          <w:b/>
          <w:sz w:val="19"/>
        </w:rPr>
        <w:t xml:space="preserve">Übertragbarkeit: </w:t>
      </w:r>
      <w:r>
        <w:rPr>
          <w:sz w:val="19"/>
        </w:rPr>
        <w:t>Rumänien, aber Sicherheit in vulnerabler Patientengruppe mit Immuntherapie untersucht</w:t>
      </w:r>
    </w:p>
    <w:p>
      <w:r>
        <w:rPr>
          <w:color w:val="5A7D3A"/>
          <w:sz w:val="18"/>
        </w:rPr>
        <w:t>https://pubmed.ncbi.nlm.nih.gov/42654486/</w:t>
      </w:r>
    </w:p>
    <w:p>
      <w:pPr>
        <w:pStyle w:val="Heading2"/>
      </w:pPr>
      <w:r>
        <w:t>Jennerian-Vakzination in Europa (1799–1810): Transnational verbreitete Arznei und Wissen</w:t>
      </w:r>
    </w:p>
    <w:p>
      <w:r>
        <w:rPr>
          <w:i/>
          <w:color w:val="666666"/>
          <w:sz w:val="18"/>
        </w:rPr>
        <w:t>Tuells J  ·  Vaccine  ·  17.09.2026  ·  PMID 42600246</w:t>
      </w:r>
    </w:p>
    <w:p>
      <w:r>
        <w:t>Historische Studie zur frühen Verbreitung der Kuhpockenvakzination in Europa durch ein Netzwerk von Ärzten, anhand von Korrespondenz und Materialflüssen zwischen London, Wien und Genf.</w:t>
      </w:r>
    </w:p>
    <w:p>
      <w:r>
        <w:rPr>
          <w:b/>
        </w:rPr>
        <w:t xml:space="preserve">Ergebnis: </w:t>
      </w:r>
      <w:r>
        <w:t>Jean de Carro, ein Genfer Arzt in Wien, fungierte als Vermittler für die Verbreitung von Vakzinationswissen und Impfstoff-Lymphe. Das Netzwerk ermöglichte die rasche Ausbreitung von 1799 bis 1810 in Richtung Ottomanisches Reich und Indien. Vakzination verbreitete sich nicht allein durch staatliche Kampagnen, sondern durch transnationale ärztliche Netzwerke.</w:t>
      </w:r>
    </w:p>
    <w:p>
      <w:r>
        <w:rPr>
          <w:b/>
          <w:sz w:val="19"/>
        </w:rPr>
        <w:t xml:space="preserve">Übertragbarkeit: </w:t>
      </w:r>
      <w:r>
        <w:rPr>
          <w:sz w:val="19"/>
        </w:rPr>
        <w:t>Historische Perspektive auf Vakzinationsverbreitung durch Netzwerke und persönliche Verbindungen</w:t>
      </w:r>
    </w:p>
    <w:p>
      <w:r>
        <w:rPr>
          <w:color w:val="5A7D3A"/>
          <w:sz w:val="18"/>
        </w:rPr>
        <w:t>https://pubmed.ncbi.nlm.nih.gov/42600246/</w:t>
      </w:r>
    </w:p>
    <w:p>
      <w:pPr>
        <w:pStyle w:val="Heading2"/>
      </w:pPr>
      <w:r>
        <w:t>Mütterliche Sechsfach-Streptococcus-B-Impfung: Phase-1/2-Studie bei nicht-schwangeren und schwangeren Frauen</w:t>
      </w:r>
    </w:p>
    <w:p>
      <w:r>
        <w:rPr>
          <w:i/>
          <w:color w:val="666666"/>
          <w:sz w:val="18"/>
        </w:rPr>
        <w:t>Madhi SA et al.  ·  Nat Med  ·  28.07.2026  ·  PMID 42521820</w:t>
      </w:r>
    </w:p>
    <w:p>
      <w:r>
        <w:t>Randomisierte Phase-1/2-Studie zur Sicherheit, Verträglichkeit und Immunogenität einer hexavalenten Polysaccharid-Protein-Konjugat-GBS-Vakzine (GBS6) in nicht-schwangeren Frauen und schwangeren Frauen sowie deren Neugeborenen.</w:t>
      </w:r>
    </w:p>
    <w:p>
      <w:r>
        <w:rPr>
          <w:b/>
        </w:rPr>
        <w:t xml:space="preserve">Ergebnis: </w:t>
      </w:r>
      <w:r>
        <w:t>Stadium 1 (n=66 nicht-schwanger): GBS6, GBS6+AlPO4 oder Placebo. Subgruppe erhielt Booster ~2 Jahre später. Stadium 3 (n=216 schwanger, 209 Neugeborene): GBS6 oder Placebo (Woche 24–36 Schwangerschaft). Fast alle Reaktogenizität-Ereignisse mild oder moderat. SAE/MAE ähnlich zwischen GBS6 und Placebo bei Müttern und Neugeborenen. GBS6 induzierte robuste Immunantworten; serotyp-spezifische Antikörper in Neugeborenen, deren Mütter GBS6 erhielten. Zwei neonatale Sepsis-Todesfälle (je einer in GBS6 und Placebo), keiner als vakzine-bedingt bewertet.</w:t>
      </w:r>
    </w:p>
    <w:p>
      <w:r>
        <w:rPr>
          <w:b/>
          <w:sz w:val="19"/>
        </w:rPr>
        <w:t xml:space="preserve">Übertragbarkeit: </w:t>
      </w:r>
      <w:r>
        <w:rPr>
          <w:sz w:val="19"/>
        </w:rPr>
        <w:t>Südafrika, USA, UK – erste klinische Daten zu maternaler GBS-Vakzination für neonatalen Schutz</w:t>
      </w:r>
    </w:p>
    <w:p>
      <w:r>
        <w:rPr>
          <w:color w:val="5A7D3A"/>
          <w:sz w:val="18"/>
        </w:rPr>
        <w:t>https://pubmed.ncbi.nlm.nih.gov/42521820/</w:t>
      </w:r>
    </w:p>
    <w:p>
      <w:pPr>
        <w:pStyle w:val="Heading2"/>
      </w:pPr>
      <w:r>
        <w:t>Hochdosis-Grippeimpfstoff in Spanien: Einführung, Anwendung und Evidenz</w:t>
      </w:r>
    </w:p>
    <w:p>
      <w:r>
        <w:rPr>
          <w:i/>
          <w:color w:val="666666"/>
          <w:sz w:val="18"/>
        </w:rPr>
        <w:t>Sanz-Muñoz I et al.  ·  Front Immunol  ·  30.06.2026  ·  PMID 42454050</w:t>
      </w:r>
    </w:p>
    <w:p>
      <w:r>
        <w:t>Narrative Synthese der klinischen Evidenz und Analyse von Vakzinierungsstrategien in spanischen autonomen Gemeinschaften seit Einführung von Hochdosis-Grippeimpfstoffen während der COVID-19-Pandemie.</w:t>
      </w:r>
    </w:p>
    <w:p>
      <w:r>
        <w:rPr>
          <w:b/>
        </w:rPr>
        <w:t xml:space="preserve">Ergebnis: </w:t>
      </w:r>
      <w:r>
        <w:t>Hochdosis-Grippeimpfstoffe zeigen überlegene Effektivität gegen schwere Influenza, Lungenentzündung und Mortalität bei Erwachsenen ≥60 Jahren in randomisierten Studien und Real-World-Daten. Heterogene regionale Aufnahme: manche Regionen priorisierten Institutionalisierte, andere erweiterten auf Community-Bewohner ≥60 Jahre. Trend zu breiter Adoption und Senkung des Altersgrenzwerts.</w:t>
      </w:r>
    </w:p>
    <w:p>
      <w:r>
        <w:rPr>
          <w:b/>
          <w:sz w:val="19"/>
        </w:rPr>
        <w:t xml:space="preserve">Übertragbarkeit: </w:t>
      </w:r>
      <w:r>
        <w:rPr>
          <w:sz w:val="19"/>
        </w:rPr>
        <w:t>Spanien, vergleichbare Gesundheitssysteme in Europa und Altersstruktur-Problematik</w:t>
      </w:r>
    </w:p>
    <w:p>
      <w:r>
        <w:rPr>
          <w:color w:val="5A7D3A"/>
          <w:sz w:val="18"/>
        </w:rPr>
        <w:t>https://pubmed.ncbi.nlm.nih.gov/42454050/</w:t>
      </w:r>
    </w:p>
    <w:p>
      <w:pPr>
        <w:pStyle w:val="Heading1"/>
      </w:pPr>
      <w:r>
        <w:t>Aufgenommen am 02.09.2026</w:t>
      </w:r>
    </w:p>
    <w:p>
      <w:pPr>
        <w:pStyle w:val="Heading2"/>
      </w:pPr>
      <w:r>
        <w:t>Grippeimpfstoff-Wirksamkeit gegen mild und schwer verlaufende Infektionen in Portugal</w:t>
      </w:r>
    </w:p>
    <w:p>
      <w:r>
        <w:rPr>
          <w:i/>
          <w:color w:val="666666"/>
          <w:sz w:val="18"/>
        </w:rPr>
        <w:t>Mourao F et al.  ·  Influenza Other Respir Viruses  ·  Sept. 2026  ·  PMID 42675936</w:t>
      </w:r>
    </w:p>
    <w:p>
      <w:r>
        <w:t>Testvergleichsstudie an 3.393 PCR-getesteten Patienten in Portugal (2015/16–2023/24) zur Grippeimpfstoff-Effektivität (IVE) gegen leichte und schwere Erkrankung.</w:t>
      </w:r>
    </w:p>
    <w:p>
      <w:r>
        <w:rPr>
          <w:b/>
        </w:rPr>
        <w:t xml:space="preserve">Ergebnis: </w:t>
      </w:r>
      <w:r>
        <w:t>IVE betrug 40,4 % (KI 22,7–54,0) bei ambulanten Patienten und 38,7 % (KI 17,6–54,5) bei hospitalisierten Fällen; Unterschied von 1,7 % war statistisch nicht signifikant (KI −22,0; 26,8). Keine relevanten Unterschiede in Subgruppen (≥65 Jahre, Komorbiditäten, Influenza-A-Subtypen). Impfstoff schützt über Versorgungssettings hinweg ähnlich gut.</w:t>
      </w:r>
    </w:p>
    <w:p>
      <w:r>
        <w:rPr>
          <w:b/>
          <w:sz w:val="19"/>
        </w:rPr>
        <w:t xml:space="preserve">Übertragbarkeit: </w:t>
      </w:r>
      <w:r>
        <w:rPr>
          <w:sz w:val="19"/>
        </w:rPr>
        <w:t>Portugal, EU-Nachbarland, Gesundheitssystem vergleichbar mit Deutschland</w:t>
      </w:r>
    </w:p>
    <w:p>
      <w:r>
        <w:rPr>
          <w:color w:val="5A7D3A"/>
          <w:sz w:val="18"/>
        </w:rPr>
        <w:t>https://pubmed.ncbi.nlm.nih.gov/42675936/</w:t>
      </w:r>
    </w:p>
    <w:p>
      <w:pPr>
        <w:pStyle w:val="Heading2"/>
      </w:pPr>
      <w:r>
        <w:t>HPV-Impfprogramme weltweit: Schulgebundenes Impfen erzielte höchste Quoten</w:t>
      </w:r>
    </w:p>
    <w:p>
      <w:r>
        <w:rPr>
          <w:i/>
          <w:color w:val="666666"/>
          <w:sz w:val="18"/>
        </w:rPr>
        <w:t>Kyei GK et al.  ·  J Nurs Scholarsh  ·  Sept. 2026  ·  PMID 42670010</w:t>
      </w:r>
    </w:p>
    <w:p>
      <w:r>
        <w:t>Qualitative Vergleichsanalyse von HPV-Impfrichtlinien in acht Ländern (Australien, Brasilien, Japan, Nigeria, Ruanda, Schweden, Großbritannien, USA) zur Identifikation von Einflussfaktoren auf Impfquoten.</w:t>
      </w:r>
    </w:p>
    <w:p>
      <w:r>
        <w:rPr>
          <w:b/>
        </w:rPr>
        <w:t xml:space="preserve">Ergebnis: </w:t>
      </w:r>
      <w:r>
        <w:t>Fünf Programmarchetypen identifiziert. Schulgebundene universelle Programme mit Pflegekräfte-Unterstützung erzielten höchste und gerechteste Abdeckung. Ruanda erreichte trotz Mädchen-fokussiertem, Donor-finanziertem Modell 98 % (Governance und Vertrauen überwogen Programmdesign). Transition zu Ein-Dosis-Impfung erfordert landesspezifische Anpassung.</w:t>
      </w:r>
    </w:p>
    <w:p>
      <w:r>
        <w:rPr>
          <w:b/>
          <w:sz w:val="19"/>
        </w:rPr>
        <w:t xml:space="preserve">Übertragbarkeit: </w:t>
      </w:r>
      <w:r>
        <w:rPr>
          <w:sz w:val="19"/>
        </w:rPr>
        <w:t>Programm-Vergleich, Strukturmerkmale übertragbar, insbesondere schulbasierte Systeme</w:t>
      </w:r>
    </w:p>
    <w:p>
      <w:r>
        <w:rPr>
          <w:color w:val="5A7D3A"/>
          <w:sz w:val="18"/>
        </w:rPr>
        <w:t>https://pubmed.ncbi.nlm.nih.gov/42670010/</w:t>
      </w:r>
    </w:p>
    <w:p>
      <w:pPr>
        <w:pStyle w:val="Heading2"/>
      </w:pPr>
      <w:r>
        <w:t>ChAdOx1 nCoV-19: Langzeitsicherheit bei 4.470 Probanden über 11,77 Monate</w:t>
      </w:r>
    </w:p>
    <w:p>
      <w:r>
        <w:rPr>
          <w:i/>
          <w:color w:val="666666"/>
          <w:sz w:val="18"/>
        </w:rPr>
        <w:t>Ebrahimi N et al.  ·  Vaccine  ·  13.08.2026  ·  PMID 42472497</w:t>
      </w:r>
    </w:p>
    <w:p>
      <w:r>
        <w:t>Prospektive Kohortenstudie von Probanden aus ChAdOx1-nCoV-19-Originalstudien mit follow-up September 2021–April 2022, Erfassung schwerwiegender unerwünschter Ereignisse (SAE) und Ereignisse von besonderem Interesse (AESI) nach Brighton-Collaboration-Definitionen.</w:t>
      </w:r>
    </w:p>
    <w:p>
      <w:r>
        <w:rPr>
          <w:b/>
        </w:rPr>
        <w:t xml:space="preserve">Ergebnis: </w:t>
      </w:r>
      <w:r>
        <w:t>4.470 Teilnehmer, 3.845 (86,0 %) Studienabschluss. Mediane Nachbeobachtung 11,77 Monate, 48.116 Personenmonate Gesamtnachbeobachtung. 174 SAE und 71 AESI (33 als beide registriert) bei 195 Teilnehmern, darunter 5 Todesfälle. Gesamtimmunglobulin-IgG gegen trimeres SARS-CoV-2-Spike-Protein zeigte Anstiegstendenz während Studie. Keine emergenten Sicherheitssignale; kontinuierliche Pharmakovigilanz bleibt essentiell, besonders für neurologische Störungen.</w:t>
      </w:r>
    </w:p>
    <w:p>
      <w:r>
        <w:rPr>
          <w:b/>
          <w:sz w:val="19"/>
        </w:rPr>
        <w:t xml:space="preserve">Übertragbarkeit: </w:t>
      </w:r>
      <w:r>
        <w:rPr>
          <w:sz w:val="19"/>
        </w:rPr>
        <w:t>Großbritannien, Oxford-Studie, NHS-basierte Kohortenverfolgung, vergleichbar mit deutschen Versorgungsdaten</w:t>
      </w:r>
    </w:p>
    <w:p>
      <w:r>
        <w:rPr>
          <w:color w:val="5A7D3A"/>
          <w:sz w:val="18"/>
        </w:rPr>
        <w:t>https://pubmed.ncbi.nlm.nih.gov/42472497/</w:t>
      </w:r>
    </w:p>
    <w:p>
      <w:pPr>
        <w:pStyle w:val="Heading2"/>
      </w:pPr>
      <w:r>
        <w:t>Hochdosis-Grippeimpfung für Senioren in Skandinavien: Kostenwirksamkeit und Nutzen</w:t>
      </w:r>
    </w:p>
    <w:p>
      <w:r>
        <w:rPr>
          <w:i/>
          <w:color w:val="666666"/>
          <w:sz w:val="18"/>
        </w:rPr>
        <w:t>Grootendorst A et al.  ·  Vaccine  ·  13.08.2026  ·  PMID 42468224</w:t>
      </w:r>
    </w:p>
    <w:p>
      <w:r>
        <w:t>Modellrechnung (Entscheidungsbaum-Influenza-Modell) für vier nordische Länder zum Vergleich nationaler Impfpolitik mit ausgeweitertem Hochdosis-Grippeimpfstoff-Programm für Erwachsene ≥65 Jahre.</w:t>
      </w:r>
    </w:p>
    <w:p>
      <w:r>
        <w:rPr>
          <w:b/>
        </w:rPr>
        <w:t xml:space="preserve">Ergebnis: </w:t>
      </w:r>
      <w:r>
        <w:t>Ausweitung auf alle ≥65-Jährigen würde in Schweden 13.929, Finnland 6.411, Norwegen 5.951 und Dänemark 2.438 symptomatische Fälle verhindern; entsprechend 1.615, 804, 762 bzw. 407 gewonnene Lebensjahre. Hospitalisierungen reduziert um 786, 362, 336 bzw. 138; Zusatzkosten €7,7 Mio (Schweden), €2,5 Mio (Finnland), €4,4 Mio (Norwegen), €2,4 Mio (Dänemark) – vertretbar im Verhältnis zur Gesamtausgaben.</w:t>
      </w:r>
    </w:p>
    <w:p>
      <w:r>
        <w:rPr>
          <w:b/>
          <w:sz w:val="19"/>
        </w:rPr>
        <w:t xml:space="preserve">Übertragbarkeit: </w:t>
      </w:r>
      <w:r>
        <w:rPr>
          <w:sz w:val="19"/>
        </w:rPr>
        <w:t>Skandinavien, Sozialversicherungssysteme vergleichbar mit Deutschland</w:t>
      </w:r>
    </w:p>
    <w:p>
      <w:r>
        <w:rPr>
          <w:color w:val="5A7D3A"/>
          <w:sz w:val="18"/>
        </w:rPr>
        <w:t>https://pubmed.ncbi.nlm.nih.gov/42468224/</w:t>
      </w:r>
    </w:p>
    <w:p>
      <w:pPr>
        <w:pStyle w:val="Heading2"/>
      </w:pPr>
      <w:r>
        <w:t>Bereitschaft zur Cholera-Impfung in sechs afrikanischen Ländern: Psychologische Faktoren und Krankheitsrisiko</w:t>
      </w:r>
    </w:p>
    <w:p>
      <w:r>
        <w:rPr>
          <w:i/>
          <w:color w:val="666666"/>
          <w:sz w:val="18"/>
        </w:rPr>
        <w:t>Geiger M et al.  ·  Vaccine  ·  13.08.2026  ·  PMID 42462676</w:t>
      </w:r>
    </w:p>
    <w:p>
      <w:r>
        <w:t>Querschnittsbefragung von 14.132 englischsprachigen Teilnehmern in Ghana, Kenia, Nigeria, Südafrika, Tansania und Uganda zur Impfbereitschaft gegen Cholera anhand des 7C-Modells (Vertrauen, Unachtsamkeit, Zwänge, Berechnung, kollektive Verantwortung, Einhaltung, Verschwörungsdenken).</w:t>
      </w:r>
    </w:p>
    <w:p>
      <w:r>
        <w:rPr>
          <w:b/>
        </w:rPr>
        <w:t xml:space="preserve">Ergebnis: </w:t>
      </w:r>
      <w:r>
        <w:t>Impfbereitschaft korrelierte stark mit selbstberichteter Cholera-Impfstatus (d = 0,32) und allgemeinem Impfstatus (r = 0,35). Persönliche Cholera-Erfahrung assoziiert mit höherer Bereitschaft (d = 0,14). Auf Länderebene: Durchschnittliche Bereitschaft korrelierte stark mit Cholera-Inzidenz letzte drei Jahre (ρ = 0,89) – höhere Bereitschaft in Ländern mit höherer Krankheitslast.</w:t>
      </w:r>
    </w:p>
    <w:p>
      <w:r>
        <w:rPr>
          <w:b/>
          <w:sz w:val="19"/>
        </w:rPr>
        <w:t xml:space="preserve">Übertragbarkeit: </w:t>
      </w:r>
      <w:r>
        <w:rPr>
          <w:sz w:val="19"/>
        </w:rPr>
        <w:t>Afrika, methodologische Erkenntnis zu Vaccine Hesitancy-Messung in Ländern mit niedrigem Impfniveau</w:t>
      </w:r>
    </w:p>
    <w:p>
      <w:r>
        <w:rPr>
          <w:color w:val="5A7D3A"/>
          <w:sz w:val="18"/>
        </w:rPr>
        <w:t>https://pubmed.ncbi.nlm.nih.gov/42462676/</w:t>
      </w:r>
    </w:p>
    <w:p>
      <w:pPr>
        <w:pStyle w:val="Heading2"/>
      </w:pPr>
      <w:r>
        <w:t>SARS-CoV-2-Impfung bei Stammzell-Transplantierten: Antikörperantwort vergleichbar mit Gesunden</w:t>
      </w:r>
    </w:p>
    <w:p>
      <w:r>
        <w:rPr>
          <w:i/>
          <w:color w:val="666666"/>
          <w:sz w:val="18"/>
        </w:rPr>
        <w:t>Maier CP et al.  ·  Front Immunol  ·  01.07.2026  ·  PMID 42459652</w:t>
      </w:r>
    </w:p>
    <w:p>
      <w:r>
        <w:t>Längsschnitt-Studie an 354 allogenen Stammzell-Transplantierten und 647 gesunden Kontrollen zu IgG-, IgM-, IgA-Antikörper-Kinetik gegen SARS-CoV-2-Antigene nach mRNA-, Vektor- und Protein-Impfstoff-Dosen.</w:t>
      </w:r>
    </w:p>
    <w:p>
      <w:r>
        <w:rPr>
          <w:b/>
        </w:rPr>
        <w:t xml:space="preserve">Ergebnis: </w:t>
      </w:r>
      <w:r>
        <w:t>Anti-Spike-IgG-Serokonversion: nach 1. Dosis 27 % (Patienten) vs. 28 % (Kontrollen), nach 2. Dosis 65 % vs. 59 %, nach 3. Dosis 93 % vs. 98 %. Nach drei Dosen keine signifikanten Unterschiede mehr zwischen Gruppen. IgM/IgA selten. Negative Prädiktoren nach 1. Dosis (Diagnose, kürzeres Intervall, niedrige Lymphozyten), nach 3. Dosis keine. Antikörperspiegel ≥6 Monate stabil. Durchbruchinfektionen mild.</w:t>
      </w:r>
    </w:p>
    <w:p>
      <w:r>
        <w:rPr>
          <w:b/>
          <w:sz w:val="19"/>
        </w:rPr>
        <w:t xml:space="preserve">Übertragbarkeit: </w:t>
      </w:r>
      <w:r>
        <w:rPr>
          <w:sz w:val="19"/>
        </w:rPr>
        <w:t>Deutschland, deutschsprachige Autoren (Tübingen), Transplantationszentren vergleichbar</w:t>
      </w:r>
    </w:p>
    <w:p>
      <w:r>
        <w:rPr>
          <w:color w:val="5A7D3A"/>
          <w:sz w:val="18"/>
        </w:rPr>
        <w:t>https://pubmed.ncbi.nlm.nih.gov/42459652/</w:t>
      </w:r>
    </w:p>
    <w:p>
      <w:pPr>
        <w:pStyle w:val="Heading1"/>
      </w:pPr>
      <w:r>
        <w:t>Aufgenommen am 01.09.2026</w:t>
      </w:r>
    </w:p>
    <w:p>
      <w:pPr>
        <w:pStyle w:val="Heading2"/>
      </w:pPr>
      <w:r>
        <w:t>Neue mRNA-Impfstoffe gegen COVID-19 in Phase 2: Sicherheit und Immunogenität</w:t>
      </w:r>
    </w:p>
    <w:p>
      <w:r>
        <w:rPr>
          <w:i/>
          <w:color w:val="666666"/>
          <w:sz w:val="18"/>
        </w:rPr>
        <w:t>Wong R et al.  ·  Hum Vaccin Immunother  ·  26.08.2026  ·  PMID 42647564</w:t>
      </w:r>
    </w:p>
    <w:p>
      <w:r>
        <w:t>Phase-2-Studie mit 425 vorgeimpften Erwachsenen in Australien: Vergleich experimenteller bivalenter und monovalenter mRNA-Impfstoffe mit lizenziertem Wuhan/BA.4-5-Impfstoff.</w:t>
      </w:r>
    </w:p>
    <w:p>
      <w:r>
        <w:rPr>
          <w:b/>
        </w:rPr>
        <w:t xml:space="preserve">Ergebnis: </w:t>
      </w:r>
      <w:r>
        <w:t>Überwiegend milde bis moderate Lokalreaktionen. Keine impfstoffbedingten schwerwiegenden Nebenwirkungen oder Myokarditis/Perikarditis. CV0701-Impfstoff (bivalent) zeigte dosisabhängige Neutralisationsantikörper-Anstiege gegen ancestrales D614G und Omicron BA.4-5. CD4+- und CD8+-T-Zell-Antworten in allen Gruppen außer niedrigster CV0701-Dosis.</w:t>
      </w:r>
    </w:p>
    <w:p>
      <w:r>
        <w:rPr>
          <w:b/>
          <w:sz w:val="19"/>
        </w:rPr>
        <w:t xml:space="preserve">Übertragbarkeit: </w:t>
      </w:r>
      <w:r>
        <w:rPr>
          <w:sz w:val="19"/>
        </w:rPr>
        <w:t>Australisches Studienzentrum, Phase 2; Sicherheitsprofil übertragbar, Immunogenität Laborbiomarker.</w:t>
      </w:r>
    </w:p>
    <w:p>
      <w:r>
        <w:rPr>
          <w:color w:val="5A7D3A"/>
          <w:sz w:val="18"/>
        </w:rPr>
        <w:t>https://pubmed.ncbi.nlm.nih.gov/42647564/</w:t>
      </w:r>
    </w:p>
    <w:p>
      <w:pPr>
        <w:pStyle w:val="Heading2"/>
      </w:pPr>
      <w:r>
        <w:t>Pertussis-Impfschutz in Schweden durch Durchbruchinfektionen gefährdet</w:t>
      </w:r>
    </w:p>
    <w:p>
      <w:r>
        <w:rPr>
          <w:i/>
          <w:color w:val="666666"/>
          <w:sz w:val="18"/>
        </w:rPr>
        <w:t>Brett TS et al.  ·  PLoS Comput Biol  ·  04.08.2026  ·  PMID 42550879</w:t>
      </w:r>
    </w:p>
    <w:p>
      <w:r>
        <w:t>Mathematisches Modell der Pertussis-Dynamik in Schweden mit empirischen Meldedaten: Kombination aus leaky DTaP-Immunität, Impfstoffschutz-Abnahme und erhöhter Datenerfassung seit 2014.</w:t>
      </w:r>
    </w:p>
    <w:p>
      <w:r>
        <w:rPr>
          <w:b/>
        </w:rPr>
        <w:t xml:space="preserve">Ergebnis: </w:t>
      </w:r>
      <w:r>
        <w:t>Die DTaP-Impfung verhindert etwa 50% der Infektionen bei ungeimpften Neugeborenen (indirekter Schutz). Pertussis-Elimination ist mit azellulärem Impfstoff nicht möglich wegen Impfstoff-Durchlässigkeit und Immunitätsverlust. Der Anstieg der Fallmeldungen ab 2014 wird nicht allein durch echte Infektionszunahme erklärt, sondern auch durch verbesserte Labortestung.</w:t>
      </w:r>
    </w:p>
    <w:p>
      <w:r>
        <w:rPr>
          <w:b/>
          <w:sz w:val="19"/>
        </w:rPr>
        <w:t xml:space="preserve">Übertragbarkeit: </w:t>
      </w:r>
      <w:r>
        <w:rPr>
          <w:sz w:val="19"/>
        </w:rPr>
        <w:t>Schweden mit detailliertem Surveillance-System; Befund auf Deutschland übertragbar.</w:t>
      </w:r>
    </w:p>
    <w:p>
      <w:r>
        <w:rPr>
          <w:color w:val="5A7D3A"/>
          <w:sz w:val="18"/>
        </w:rPr>
        <w:t>https://pubmed.ncbi.nlm.nih.gov/42550879/</w:t>
      </w:r>
    </w:p>
    <w:p>
      <w:pPr>
        <w:pStyle w:val="Heading2"/>
      </w:pPr>
      <w:r>
        <w:t>Zoster-Impfstoff während Krebstherapie: Umsetzbarkeit und Sicherheit</w:t>
      </w:r>
    </w:p>
    <w:p>
      <w:r>
        <w:rPr>
          <w:i/>
          <w:color w:val="666666"/>
          <w:sz w:val="18"/>
        </w:rPr>
        <w:t>Ciappina G et al.  ·  Hum Vaccin Immunother  ·  30.07.2026  ·  PMID 42529910</w:t>
      </w:r>
    </w:p>
    <w:p>
      <w:r>
        <w:t>Retrospektive Kohorte von 42 Krebspatienten unter systemischer Therapie, denen rekombinanter Zoster-Impfstoff (RZV) angeboten wurde; zwei Dosen im Standard-Abstand.</w:t>
      </w:r>
    </w:p>
    <w:p>
      <w:r>
        <w:rPr>
          <w:b/>
        </w:rPr>
        <w:t xml:space="preserve">Ergebnis: </w:t>
      </w:r>
      <w:r>
        <w:t>37 von 42 (88,1%) vollendeten beide Dosen. Verträglichkeit günstig: Injektionsstellen-Schmerz am häufigsten, Systembeschwerden mild und vorübergehend. Keine schweren impfbezogenen Ereignisse, keine Behandlungsverzögerungen. Nach Median 11,5 Monaten kein dokumentiertes Herpes zoster (aber kleine Fallzahl).</w:t>
      </w:r>
    </w:p>
    <w:p>
      <w:r>
        <w:rPr>
          <w:b/>
          <w:sz w:val="19"/>
        </w:rPr>
        <w:t xml:space="preserve">Übertragbarkeit: </w:t>
      </w:r>
      <w:r>
        <w:rPr>
          <w:sz w:val="19"/>
        </w:rPr>
        <w:t>Einzelnes italienisches Zentrum; Machbarkeitsbefund für Impfen unter Immunsuppression relevant.</w:t>
      </w:r>
    </w:p>
    <w:p>
      <w:r>
        <w:rPr>
          <w:color w:val="5A7D3A"/>
          <w:sz w:val="18"/>
        </w:rPr>
        <w:t>https://pubmed.ncbi.nlm.nih.gov/42529910/</w:t>
      </w:r>
    </w:p>
    <w:p>
      <w:pPr>
        <w:pStyle w:val="Heading2"/>
      </w:pPr>
      <w:r>
        <w:t>HPV-Impfbereitschaft bei ländlichen Eltern: Barrieren und Anreize in Äthiopien</w:t>
      </w:r>
    </w:p>
    <w:p>
      <w:r>
        <w:rPr>
          <w:i/>
          <w:color w:val="666666"/>
          <w:sz w:val="18"/>
        </w:rPr>
        <w:t>Zenebe S et al.  ·  PLoS One  ·  22.07.2026  ·  PMID 42485289</w:t>
      </w:r>
    </w:p>
    <w:p>
      <w:r>
        <w:t>Qualitative Studie zu Faktoren der HPV-Impf-Akzeptanz bei Eltern von Mädchen im ländlichen Südäthiopien mittels Fokusgruppen und Einzelinterviews.</w:t>
      </w:r>
    </w:p>
    <w:p>
      <w:r>
        <w:rPr>
          <w:b/>
        </w:rPr>
        <w:t xml:space="preserve">Ergebnis: </w:t>
      </w:r>
      <w:r>
        <w:t>Befürworter: Krebsprävention, elterliche Verantwortung, Vertrauen in Fachkräfte-Empfehlungen. Barrieren: Mangelndes Wissen, fehlende zuverlässige Informationsquellen, Impfskepsis, Angst vor Nebenwirkungen, kulturelle und religiöse Faktoren. Hauptempfehlung: Behörden und Institutionen müssen zusammen gegen erkannte Barrieren vorgehen.</w:t>
      </w:r>
    </w:p>
    <w:p>
      <w:r>
        <w:rPr>
          <w:b/>
          <w:sz w:val="19"/>
        </w:rPr>
        <w:t xml:space="preserve">Übertragbarkeit: </w:t>
      </w:r>
      <w:r>
        <w:rPr>
          <w:sz w:val="19"/>
        </w:rPr>
        <w:t>Äthiopien-Setting; Befunde zu Vertrauensfaktoren und Wissensdefiziten weltweit relevant.</w:t>
      </w:r>
    </w:p>
    <w:p>
      <w:r>
        <w:rPr>
          <w:color w:val="5A7D3A"/>
          <w:sz w:val="18"/>
        </w:rPr>
        <w:t>https://pubmed.ncbi.nlm.nih.gov/42485289/</w:t>
      </w:r>
    </w:p>
    <w:p>
      <w:pPr>
        <w:pStyle w:val="Heading2"/>
      </w:pPr>
      <w:r>
        <w:t>CAR-T-Zelltherapie für Autoimmunerkrankungen: Stand und Perspektiven</w:t>
      </w:r>
    </w:p>
    <w:p>
      <w:r>
        <w:rPr>
          <w:i/>
          <w:color w:val="666666"/>
          <w:sz w:val="18"/>
        </w:rPr>
        <w:t>Bachl J et al.  ·  PLoS Med  ·  20.07.2026  ·  PMID 42475287</w:t>
      </w:r>
    </w:p>
    <w:p>
      <w:r>
        <w:t>Überblickartikel zu CAR-T-Zellen (chimäre Antigen-Rezeptoren) in der Behandlung von Autoimmunerkrankungen: bisherige Erfolge und offene Fragen.</w:t>
      </w:r>
    </w:p>
    <w:p>
      <w:r>
        <w:rPr>
          <w:b/>
        </w:rPr>
        <w:t xml:space="preserve">Ergebnis: </w:t>
      </w:r>
      <w:r>
        <w:t>CAR-T-Therapien haben Potenzial, dysfunktionale Immunsysteme zurückzusetzen. Neueste technologische Entwicklungen ermöglichen Hoffnung für Patienten mit therapierefraktären Autoimmunerkrankungen. Zahlreiche Herausforderungen bleiben, insgesamt wird die transformative Wirkung dieser Zelltherapien für künftige Patienten angedeutet.</w:t>
      </w:r>
    </w:p>
    <w:p>
      <w:r>
        <w:rPr>
          <w:b/>
          <w:sz w:val="19"/>
        </w:rPr>
        <w:t xml:space="preserve">Übertragbarkeit: </w:t>
      </w:r>
      <w:r>
        <w:rPr>
          <w:sz w:val="19"/>
        </w:rPr>
        <w:t>Überblick ohne primäre Daten; nicht primär impfpräventiv, sondern therapeutisch.</w:t>
      </w:r>
    </w:p>
    <w:p>
      <w:r>
        <w:rPr>
          <w:color w:val="5A7D3A"/>
          <w:sz w:val="18"/>
        </w:rPr>
        <w:t>https://pubmed.ncbi.nlm.nih.gov/42475287/</w:t>
      </w:r>
    </w:p>
    <w:p>
      <w:pPr>
        <w:pStyle w:val="Heading2"/>
      </w:pPr>
      <w:r>
        <w:t>Pentavalent-Impflücke verursachte Diphtherie-Ausbruch in Nigeria</w:t>
      </w:r>
    </w:p>
    <w:p>
      <w:r>
        <w:rPr>
          <w:i/>
          <w:color w:val="666666"/>
          <w:sz w:val="18"/>
        </w:rPr>
        <w:t>Okhuarobo UJ et al.  ·  Pan Afr Med J  ·  10.03.2026  ·  PMID 42465825</w:t>
      </w:r>
    </w:p>
    <w:p>
      <w:r>
        <w:t>Fall-Kontroll-Studie zu Diphtherie-Ausbruch in Kafanchan, Nigeria (Juli-Oktober 2023): Exposition, Kontakte und Impfstatus.</w:t>
      </w:r>
    </w:p>
    <w:p>
      <w:r>
        <w:rPr>
          <w:b/>
        </w:rPr>
        <w:t xml:space="preserve">Ergebnis: </w:t>
      </w:r>
      <w:r>
        <w:t>91 Fälle, medianes Alter 7 Jahre, Fallsterblichkeit 23%. Pentavalent-Impfung: protektiv (aOR 0,39, 95%-KI 0,20–0,77). Kontakt mit respiratorischen Symptomen: OR 37,2 (KI 16,8–82,6). 25% hatten nie Pentavalent erhalten, Grund: Unwissenheit über Nutzen. Verbesserung durch Risikokommunikation und gestärkte Routine-Impfung.</w:t>
      </w:r>
    </w:p>
    <w:p>
      <w:r>
        <w:rPr>
          <w:b/>
          <w:sz w:val="19"/>
        </w:rPr>
        <w:t xml:space="preserve">Übertragbarkeit: </w:t>
      </w:r>
      <w:r>
        <w:rPr>
          <w:sz w:val="19"/>
        </w:rPr>
        <w:t>Nigeria-Daten; Mechanism-Befund (Lücken-Ausbruch) global übertragbar.</w:t>
      </w:r>
    </w:p>
    <w:p>
      <w:r>
        <w:rPr>
          <w:color w:val="5A7D3A"/>
          <w:sz w:val="18"/>
        </w:rPr>
        <w:t>https://pubmed.ncbi.nlm.nih.gov/42465825/</w:t>
      </w:r>
    </w:p>
    <w:p>
      <w:pPr>
        <w:pStyle w:val="Heading1"/>
      </w:pPr>
      <w:r>
        <w:t>Aufgenommen am 31.08.2026</w:t>
      </w:r>
    </w:p>
    <w:p>
      <w:pPr>
        <w:pStyle w:val="Heading2"/>
      </w:pPr>
      <w:r>
        <w:t>Langzeitimmunität nach Hepatitis-B-Impfung bei Menschen mit HIV: 8,5-Jahr-Verlauf in China</w:t>
      </w:r>
    </w:p>
    <w:p>
      <w:r>
        <w:rPr>
          <w:i/>
          <w:color w:val="666666"/>
          <w:sz w:val="18"/>
        </w:rPr>
        <w:t>Yang H et al.  ·  Front Public Health  ·  14.08.2026  ·  PMID 42666258</w:t>
      </w:r>
    </w:p>
    <w:p>
      <w:r>
        <w:t>Retrospektive Kohortenstudie mit 195 HIV-positiven Personen ohne anti-HBs-Schutz, die Heplisav-B erhielten, mit Langzeitfollow-up 1,5-8,5 Jahre.</w:t>
      </w:r>
    </w:p>
    <w:p>
      <w:r>
        <w:rPr>
          <w:b/>
        </w:rPr>
        <w:t xml:space="preserve">Ergebnis: </w:t>
      </w:r>
      <w:r>
        <w:t>Nach 3-4 Dosen initial 98% und 85% Responserate (vs. 77-79% nach 1-2 Dosen). Nach 8,5 Jahren: 83% (3 Dosen) und 88% (4 Dosen) zeigten anhaltende Antikörper &gt;100 IU/mL. Unabhängige Korrelaten: Dosenzahl und frühes serologisches Ansprechen.</w:t>
      </w:r>
    </w:p>
    <w:p>
      <w:r>
        <w:rPr>
          <w:b/>
          <w:sz w:val="19"/>
        </w:rPr>
        <w:t xml:space="preserve">Übertragbarkeit: </w:t>
      </w:r>
      <w:r>
        <w:rPr>
          <w:sz w:val="19"/>
        </w:rPr>
        <w:t>China, aber Heplisav-B weltweit, zeigt optimale Impfschemata für immungeschwächte Personen</w:t>
      </w:r>
    </w:p>
    <w:p>
      <w:r>
        <w:rPr>
          <w:color w:val="5A7D3A"/>
          <w:sz w:val="18"/>
        </w:rPr>
        <w:t>https://pubmed.ncbi.nlm.nih.gov/42666258/</w:t>
      </w:r>
    </w:p>
    <w:p>
      <w:pPr>
        <w:pStyle w:val="Heading2"/>
      </w:pPr>
      <w:r>
        <w:t>Sozioökonomische Ungleichheiten bei COVID-19-Impfung nigerianischer Frauen</w:t>
      </w:r>
    </w:p>
    <w:p>
      <w:r>
        <w:rPr>
          <w:i/>
          <w:color w:val="666666"/>
          <w:sz w:val="18"/>
        </w:rPr>
        <w:t>Ekholuenetale M  ·  PLoS One  ·  28.08.2026  ·  PMID 42664197</w:t>
      </w:r>
    </w:p>
    <w:p>
      <w:r>
        <w:t>Querschnittsanalyse mit 36.555 Frauen aus Nigeria-Bevölkerungsumfrage 2024 zur Zerlegung sozioökonomischer Disparitäten bei Impfquoten.</w:t>
      </w:r>
    </w:p>
    <w:p>
      <w:r>
        <w:rPr>
          <w:b/>
        </w:rPr>
        <w:t xml:space="preserve">Ergebnis: </w:t>
      </w:r>
      <w:r>
        <w:t>Impfquote bei am wenigsten benachteiligten Frauen 31,6%, bei am stärksten benachteiligten 19,2%. Positive Einflussfaktoren: höhere Bildung, Medienpräsenz, Krankenversicherung, Alter ≥30 Jahre, südliche Regionen. Bildung, Medienexposition und Versicherung trugen am stärksten zu Disparitäten bei.</w:t>
      </w:r>
    </w:p>
    <w:p>
      <w:r>
        <w:rPr>
          <w:b/>
          <w:sz w:val="19"/>
        </w:rPr>
        <w:t xml:space="preserve">Übertragbarkeit: </w:t>
      </w:r>
      <w:r>
        <w:rPr>
          <w:sz w:val="19"/>
        </w:rPr>
        <w:t>Nigeria, aber Ungleichheitsmuster zeigen universelle Zugangsbarrieren</w:t>
      </w:r>
    </w:p>
    <w:p>
      <w:r>
        <w:rPr>
          <w:color w:val="5A7D3A"/>
          <w:sz w:val="18"/>
        </w:rPr>
        <w:t>https://pubmed.ncbi.nlm.nih.gov/42664197/</w:t>
      </w:r>
    </w:p>
    <w:p>
      <w:pPr>
        <w:pStyle w:val="Heading2"/>
      </w:pPr>
      <w:r>
        <w:t>COVID-19-Impfquote bei Gemeindeimpfterminen: Dauer, Wochentag und Partnerschaft steigern Reichweite</w:t>
      </w:r>
    </w:p>
    <w:p>
      <w:r>
        <w:rPr>
          <w:i/>
          <w:color w:val="666666"/>
          <w:sz w:val="18"/>
        </w:rPr>
        <w:t>Shakib SH et al.  ·  Viruses  ·  11.08.2026  ·  PMID 42655698</w:t>
      </w:r>
    </w:p>
    <w:p>
      <w:r>
        <w:t>Retrospektive Analyse von 631 Impfterminen (27.767 Dosen) in Kentucky 2021-2022 zu Assoziationen zwischen Veranstaltungsmerkmalen und verabreichten Dosen pro Termin.</w:t>
      </w:r>
    </w:p>
    <w:p>
      <w:r>
        <w:rPr>
          <w:b/>
        </w:rPr>
        <w:t xml:space="preserve">Ergebnis: </w:t>
      </w:r>
      <w:r>
        <w:t>Jede zusätzliche Stunde Veranstaltungsdauer: +21,6% Dosen pro Termin. Wochenendtermine: +87,8% gegenüber Wochentagen. Nicht-regierungsorganisationen: +44,7%; Unternehmen: +110%; medizinische Anbieter: +57,8% gegenüber Government-Terminen. Nur-LMPHW-Termine (ohne Partner): +198,4%.</w:t>
      </w:r>
    </w:p>
    <w:p>
      <w:r>
        <w:rPr>
          <w:b/>
          <w:sz w:val="19"/>
        </w:rPr>
        <w:t xml:space="preserve">Übertragbarkeit: </w:t>
      </w:r>
      <w:r>
        <w:rPr>
          <w:sz w:val="19"/>
        </w:rPr>
        <w:t>USA, aber Zugangsoptimierungen übertragbar auf deutsche Impfstellen</w:t>
      </w:r>
    </w:p>
    <w:p>
      <w:r>
        <w:rPr>
          <w:color w:val="5A7D3A"/>
          <w:sz w:val="18"/>
        </w:rPr>
        <w:t>https://pubmed.ncbi.nlm.nih.gov/42655698/</w:t>
      </w:r>
    </w:p>
    <w:p>
      <w:pPr>
        <w:pStyle w:val="Heading2"/>
      </w:pPr>
      <w:r>
        <w:t>Mütterlicherve RSV-Impfung: Akzeptanz und Kommunikationspräferenzen schwangerer Frauen in England</w:t>
      </w:r>
    </w:p>
    <w:p>
      <w:r>
        <w:rPr>
          <w:i/>
          <w:color w:val="666666"/>
          <w:sz w:val="18"/>
        </w:rPr>
        <w:t>Bell S et al.  ·  Vaccine  ·  13.08.2026  ·  PMID 42497669</w:t>
      </w:r>
    </w:p>
    <w:p>
      <w:r>
        <w:t>Qualitative Studie mit 30 Müttern in England zu Wahrnehmungen der maternalen RSV-Impfung ab 28 Schwangerschaftswochen.</w:t>
      </w:r>
    </w:p>
    <w:p>
      <w:r>
        <w:rPr>
          <w:b/>
        </w:rPr>
        <w:t xml:space="preserve">Ergebnis: </w:t>
      </w:r>
      <w:r>
        <w:t>Hohe Impfbereitschaft, aber Wissenslücken zu RSV-Schweregrad. Mütter bevorzugen Informationen online, schriftlich und durch Hebammen; 84% wollen Impfung in Antenatalbetreuung (nicht separate Praxistermine).</w:t>
      </w:r>
    </w:p>
    <w:p>
      <w:r>
        <w:rPr>
          <w:b/>
          <w:sz w:val="19"/>
        </w:rPr>
        <w:t xml:space="preserve">Übertragbarkeit: </w:t>
      </w:r>
      <w:r>
        <w:rPr>
          <w:sz w:val="19"/>
        </w:rPr>
        <w:t>Großbritannien, vergleichbares Versorgungssystem, neue Impfempfehlung, übertragbare Zugangsoptimierung</w:t>
      </w:r>
    </w:p>
    <w:p>
      <w:r>
        <w:rPr>
          <w:color w:val="5A7D3A"/>
          <w:sz w:val="18"/>
        </w:rPr>
        <w:t>https://pubmed.ncbi.nlm.nih.gov/42497669/</w:t>
      </w:r>
    </w:p>
    <w:p>
      <w:pPr>
        <w:pStyle w:val="Heading2"/>
      </w:pPr>
      <w:r>
        <w:t>Nutzen-Kosten-Analyse: Atemwegsimpfung bei Erwachsenen ≥65 Jahren in Frankreich</w:t>
      </w:r>
    </w:p>
    <w:p>
      <w:r>
        <w:rPr>
          <w:i/>
          <w:color w:val="666666"/>
          <w:sz w:val="18"/>
        </w:rPr>
        <w:t>Napier M et al.  ·  Expert Rev Vaccines  ·  22.07.2026  ·  PMID 42484014</w:t>
      </w:r>
    </w:p>
    <w:p>
      <w:r>
        <w:t>Ökonomische Analyse zur Rentabilität von Pneumokokken-, RSV-, Influenza- und COVID-19-Impfungen bei älteren Franzosen.</w:t>
      </w:r>
    </w:p>
    <w:p>
      <w:r>
        <w:rPr>
          <w:b/>
        </w:rPr>
        <w:t xml:space="preserve">Ergebnis: </w:t>
      </w:r>
      <w:r>
        <w:t>Nutzen-Kosten-Verhältnis 2,0-8,7€ pro 1€ Ausgaben über Lebenszeit. RSV-Impfung würde Nettonutzen um 6-7% erhöhen. Erreichung ehrgeiziger Impfquoten (z.B. auf 90%) würde Nutzen um 138-175% steigern.</w:t>
      </w:r>
    </w:p>
    <w:p>
      <w:r>
        <w:rPr>
          <w:b/>
          <w:sz w:val="19"/>
        </w:rPr>
        <w:t xml:space="preserve">Übertragbarkeit: </w:t>
      </w:r>
      <w:r>
        <w:rPr>
          <w:sz w:val="19"/>
        </w:rPr>
        <w:t>Frankreich, vergleichbares System, zeigt Wirtschaftlichkeit höherer Quoten</w:t>
      </w:r>
    </w:p>
    <w:p>
      <w:r>
        <w:rPr>
          <w:color w:val="5A7D3A"/>
          <w:sz w:val="18"/>
        </w:rPr>
        <w:t>https://pubmed.ncbi.nlm.nih.gov/42484014/</w:t>
      </w:r>
    </w:p>
    <w:p>
      <w:pPr>
        <w:pStyle w:val="Heading2"/>
      </w:pPr>
      <w:r>
        <w:t>Tdap-Impfzeitpunkt in der Schwangerschaft: Antikörperresponse und Plazentaweitergabe</w:t>
      </w:r>
    </w:p>
    <w:p>
      <w:r>
        <w:rPr>
          <w:i/>
          <w:color w:val="666666"/>
          <w:sz w:val="18"/>
        </w:rPr>
        <w:t>De Weerdt L et al.  ·  Vaccine  ·  13.08.2026  ·  PMID 42472495</w:t>
      </w:r>
    </w:p>
    <w:p>
      <w:r>
        <w:t>Prospektive Studie mit 96 schwangeren Frauen in Belgien zur Charakterisierung der Auswirkung des Impfzeitpunkts (16.-32. Woche) auf maternale und neonatale Antikörperprofile.</w:t>
      </w:r>
    </w:p>
    <w:p>
      <w:r>
        <w:rPr>
          <w:b/>
        </w:rPr>
        <w:t xml:space="preserve">Ergebnis: </w:t>
      </w:r>
      <w:r>
        <w:t>Maternale IgG und IgG1 gegen Pertussis, Diphtherie, Tetanus bei späteren Impfungen höher; neonatale Profile vergleichbar. IgG-Transferquoten sanken mit fortgeschrittenerem Gestationsalter, funktionelle Antikörperübertragung kaum beeinflusst.</w:t>
      </w:r>
    </w:p>
    <w:p>
      <w:r>
        <w:rPr>
          <w:b/>
          <w:sz w:val="19"/>
        </w:rPr>
        <w:t xml:space="preserve">Übertragbarkeit: </w:t>
      </w:r>
      <w:r>
        <w:rPr>
          <w:sz w:val="19"/>
        </w:rPr>
        <w:t>Belgien, vergleichbares Versicherungssystem, bestätigt Empfehlung 16.-32. Wochen</w:t>
      </w:r>
    </w:p>
    <w:p>
      <w:r>
        <w:rPr>
          <w:color w:val="5A7D3A"/>
          <w:sz w:val="18"/>
        </w:rPr>
        <w:t>https://pubmed.ncbi.nlm.nih.gov/42472495/</w:t>
      </w:r>
    </w:p>
    <w:p>
      <w:pPr>
        <w:pStyle w:val="Heading1"/>
      </w:pPr>
      <w:r>
        <w:t>Aufgenommen am 30.08.2026</w:t>
      </w:r>
    </w:p>
    <w:p>
      <w:pPr>
        <w:pStyle w:val="Heading2"/>
      </w:pPr>
      <w:r>
        <w:t>Rapid strain-matched Influenza-Impfung hätte 28.000 Todesfälle in UK-ähnlicher Pandemie verhindert</w:t>
      </w:r>
    </w:p>
    <w:p>
      <w:r>
        <w:rPr>
          <w:i/>
          <w:color w:val="666666"/>
          <w:sz w:val="18"/>
        </w:rPr>
        <w:t>Lovick S et al.  ·  Hum Vaccin Immunother  ·  28.08.2026  ·  PMID 42663142</w:t>
      </w:r>
    </w:p>
    <w:p>
      <w:r>
        <w:t>Dynamisches SEIR-Transmissionsmodell für UK-ähnliche Bevölkerung zur Bewertung Morbidität, Mortalität und Kosten einer frühen zellbasierten vs. eibasierten Pandemie-Impfstoff-Kampagne mit/ohne Maßnahmen.</w:t>
      </w:r>
    </w:p>
    <w:p>
      <w:r>
        <w:rPr>
          <w:b/>
        </w:rPr>
        <w:t xml:space="preserve">Ergebnis: </w:t>
      </w:r>
      <w:r>
        <w:t>16-wöchige Impfkampagne ab 16 Wochen nach Pandemie-Erklärung (ohne Maßnahmen) reduzierte Infektionen um 3,0 Millionen und Todesfälle um 28.000, mit größerem Nutzen in Low-Transmissibility-Szenarien. Zellbasierter Impfstoff reduzierte Todesfälle zusätzlich um 5,0%. Maßnahmen (Durchschnittskosten £208 Mrd.) verbesserten Impfeffektivität, zellbasierter Impfstoff zusätzlich um 0,9%. Verzögerungen erhöhten Mortalität und wirtschaftliche Kosten.</w:t>
      </w:r>
    </w:p>
    <w:p>
      <w:r>
        <w:rPr>
          <w:b/>
          <w:sz w:val="19"/>
        </w:rPr>
        <w:t xml:space="preserve">Übertragbarkeit: </w:t>
      </w:r>
      <w:r>
        <w:rPr>
          <w:sz w:val="19"/>
        </w:rPr>
        <w:t>UK-ähnliche Gesundheitssysteme, Modellierung ohne spezifische nationale Daten.</w:t>
      </w:r>
    </w:p>
    <w:p>
      <w:r>
        <w:rPr>
          <w:color w:val="5A7D3A"/>
          <w:sz w:val="18"/>
        </w:rPr>
        <w:t>https://pubmed.ncbi.nlm.nih.gov/42663142/</w:t>
      </w:r>
    </w:p>
    <w:p>
      <w:pPr>
        <w:pStyle w:val="Heading2"/>
      </w:pPr>
      <w:r>
        <w:t>Vertraute Quellen statt digitale Botschaften: Was COVID-19-Skepsis bei Schwarzen schwangeren Frauen senkt</w:t>
      </w:r>
    </w:p>
    <w:p>
      <w:r>
        <w:rPr>
          <w:i/>
          <w:color w:val="666666"/>
          <w:sz w:val="18"/>
        </w:rPr>
        <w:t>Cox E et al.  ·  Front Public Health  ·  12.08.2026  ·  PMID 42656594</w:t>
      </w:r>
    </w:p>
    <w:p>
      <w:r>
        <w:t>Qualitative Studie mit Interviews und Fokusgruppen bei 30 Schwarzen schwangeren und postpartalen Frauen in den USA zum Einfluss von sozialen Medien-Anzeigen auf Impfbereitschaft.</w:t>
      </w:r>
    </w:p>
    <w:p>
      <w:r>
        <w:rPr>
          <w:b/>
        </w:rPr>
        <w:t xml:space="preserve">Ergebnis: </w:t>
      </w:r>
      <w:r>
        <w:t>Geimpfte, religiöse, politisch konservative und verheiratete Frauen zeigten höhere Bereitschaft nach den Anzeigen. Kein einzelnes Messenger-Format oder Inhaltstyp war überlegen. Qualitativ zentral: Vertrauen in sich selbst, Familie, Doulas und Glaubensführer; Misstrauen gegen Staat und Gesundheitssystem sowie medizinischen Rassismus. Persönliches Zeugnis von vertrauten Quellen könnte Akzeptanz stärken.</w:t>
      </w:r>
    </w:p>
    <w:p>
      <w:r>
        <w:rPr>
          <w:b/>
          <w:sz w:val="19"/>
        </w:rPr>
        <w:t xml:space="preserve">Übertragbarkeit: </w:t>
      </w:r>
      <w:r>
        <w:rPr>
          <w:sz w:val="19"/>
        </w:rPr>
        <w:t>USA, spezifische Herausforderung für Minderheiten-Vertrauen in Gesundheitssystem.</w:t>
      </w:r>
    </w:p>
    <w:p>
      <w:r>
        <w:rPr>
          <w:color w:val="5A7D3A"/>
          <w:sz w:val="18"/>
        </w:rPr>
        <w:t>https://pubmed.ncbi.nlm.nih.gov/42656594/</w:t>
      </w:r>
    </w:p>
    <w:p>
      <w:pPr>
        <w:pStyle w:val="Heading2"/>
      </w:pPr>
      <w:r>
        <w:t>HPV-geimpfte Jugendliche nutzen Kondome häufiger und kennen mehr über Geschlechtskrankheiten</w:t>
      </w:r>
    </w:p>
    <w:p>
      <w:r>
        <w:rPr>
          <w:i/>
          <w:color w:val="666666"/>
          <w:sz w:val="18"/>
        </w:rPr>
        <w:t>Christensen LD et al.  ·  Dan Med J  ·  09.06.2026  ·  PMID 42592763</w:t>
      </w:r>
    </w:p>
    <w:p>
      <w:r>
        <w:t>Querschnittstudie bei 866 von 1.254 neunten Schulklassen-Schülern (69%) in Dänemark 2020–2024 zu HPV-Impfstatus und Wissen über sexuell übertragbare Infektionen.</w:t>
      </w:r>
    </w:p>
    <w:p>
      <w:r>
        <w:rPr>
          <w:b/>
        </w:rPr>
        <w:t xml:space="preserve">Ergebnis: </w:t>
      </w:r>
      <w:r>
        <w:t>20% der Jugendlichen hatten sexuelle Erfahrung mit Medianalter 14 Jahren. Wissen über drei oder mehr STIs war mit HPV-Impfung assoziiert (p=0,001). 62% nutzten bei letztem Sexualkontakt Kondome und/oder orale Kontrazeptiva; Mädchen 70–80%, Jungen 50–55%. HPV-Geimpfte nutzten Kondome signifikant häufiger.</w:t>
      </w:r>
    </w:p>
    <w:p>
      <w:r>
        <w:rPr>
          <w:b/>
          <w:sz w:val="19"/>
        </w:rPr>
        <w:t xml:space="preserve">Übertragbarkeit: </w:t>
      </w:r>
      <w:r>
        <w:rPr>
          <w:sz w:val="19"/>
        </w:rPr>
        <w:t>Dänemark, europäisches Impfprogramm und Bevölkerungsaufbau.</w:t>
      </w:r>
    </w:p>
    <w:p>
      <w:r>
        <w:rPr>
          <w:color w:val="5A7D3A"/>
          <w:sz w:val="18"/>
        </w:rPr>
        <w:t>https://pubmed.ncbi.nlm.nih.gov/42592763/</w:t>
      </w:r>
    </w:p>
    <w:p>
      <w:pPr>
        <w:pStyle w:val="Heading2"/>
      </w:pPr>
      <w:r>
        <w:t>RSV-Impfung bei immungeschwächten Erwachsenen würde Krankheitslast und Kosten in Deutschland senken</w:t>
      </w:r>
    </w:p>
    <w:p>
      <w:r>
        <w:rPr>
          <w:i/>
          <w:color w:val="666666"/>
          <w:sz w:val="18"/>
        </w:rPr>
        <w:t>Quinn E et al.  ·  Expert Rev Vaccines  ·  31.07.2026  ·  PMID 42535735</w:t>
      </w:r>
    </w:p>
    <w:p>
      <w:r>
        <w:t>Kosten-Effektivitätsmodell für RSV-Impfung (RSVpreF) in Deutschland, mit Szenarien für die Erweiterung der STIKO-Empfehlung auf Personen &lt;60 Jahren.</w:t>
      </w:r>
    </w:p>
    <w:p>
      <w:r>
        <w:rPr>
          <w:b/>
        </w:rPr>
        <w:t xml:space="preserve">Ergebnis: </w:t>
      </w:r>
      <w:r>
        <w:t>Gegenwärtig: Empfehlung für 60–74 Jahre und ≥75 Jahre. Erweiterung auf immungeschwächte (IC) Erwachsene 18–59 Jahre würde 6.490 Fälle verhindern, 199 Todesfälle abwenden und 21 Mio. € einsparen. Erweiterung auf IC/chronisch kranke Personen 18–59 Jahre würde 24.545 Fälle und 388 Todesfälle verhindern bei Mehrkosten von 238 Mio. €.</w:t>
      </w:r>
    </w:p>
    <w:p>
      <w:r>
        <w:rPr>
          <w:b/>
          <w:sz w:val="19"/>
        </w:rPr>
        <w:t xml:space="preserve">Übertragbarkeit: </w:t>
      </w:r>
      <w:r>
        <w:rPr>
          <w:sz w:val="19"/>
        </w:rPr>
        <w:t>Deutschland, deutsche Versicherungslogik und STIKO-Struktur.</w:t>
      </w:r>
    </w:p>
    <w:p>
      <w:r>
        <w:rPr>
          <w:color w:val="5A7D3A"/>
          <w:sz w:val="18"/>
        </w:rPr>
        <w:t>https://pubmed.ncbi.nlm.nih.gov/42535735/</w:t>
      </w:r>
    </w:p>
    <w:p>
      <w:pPr>
        <w:pStyle w:val="Heading2"/>
      </w:pPr>
      <w:r>
        <w:t>Schützende Antikörper gegen Röteln bei Katalanischen Medizinstudierenden trotz hoher Impfquoten</w:t>
      </w:r>
    </w:p>
    <w:p>
      <w:r>
        <w:rPr>
          <w:i/>
          <w:color w:val="666666"/>
          <w:sz w:val="18"/>
        </w:rPr>
        <w:t>Benito P et al.  ·  Vaccine  ·  13.08.2026  ·  PMID 42501718</w:t>
      </w:r>
    </w:p>
    <w:p>
      <w:r>
        <w:t>Querschnittsstudie an 235 Medizinstudierenden in vier katalanischen Universitäten zur Röteln-Impfquote und Seroprävalenz von Schutzantikörpern.</w:t>
      </w:r>
    </w:p>
    <w:p>
      <w:r>
        <w:rPr>
          <w:b/>
        </w:rPr>
        <w:t xml:space="preserve">Ergebnis: </w:t>
      </w:r>
      <w:r>
        <w:t>94,5% berichteten vollständige Röteln-Impfung; 84,7% hatten schützende Anti-Röteln-IgG-Antikörper, 6,0% grenzwertig und 9,4% negativ. Vollständig Geimpfte waren signifikant häufiger seropositiv (aOR 4,02; 95% CI 1,14–13,11). Nahezu alle Teilnehmenden bewerteten die MMR-Impfung als sicher und wichtig.</w:t>
      </w:r>
    </w:p>
    <w:p>
      <w:r>
        <w:rPr>
          <w:b/>
          <w:sz w:val="19"/>
        </w:rPr>
        <w:t xml:space="preserve">Übertragbarkeit: </w:t>
      </w:r>
      <w:r>
        <w:rPr>
          <w:sz w:val="19"/>
        </w:rPr>
        <w:t>Spanien, vergleichbares Hochschulsystem und Impfkalender.</w:t>
      </w:r>
    </w:p>
    <w:p>
      <w:r>
        <w:rPr>
          <w:color w:val="5A7D3A"/>
          <w:sz w:val="18"/>
        </w:rPr>
        <w:t>https://pubmed.ncbi.nlm.nih.gov/42501718/</w:t>
      </w:r>
    </w:p>
    <w:p>
      <w:pPr>
        <w:pStyle w:val="Heading2"/>
      </w:pPr>
      <w:r>
        <w:t>Catch-up-Impfquoten nach Beratung bei ukrainischen Kinderflüchtlingen in der Schweiz deutlich verbessert</w:t>
      </w:r>
    </w:p>
    <w:p>
      <w:r>
        <w:rPr>
          <w:i/>
          <w:color w:val="666666"/>
          <w:sz w:val="18"/>
        </w:rPr>
        <w:t>Vaezipour N et al.  ·  Eur J Pediatr  ·  23.07.2026  ·  PMID 42489737</w:t>
      </w:r>
    </w:p>
    <w:p>
      <w:r>
        <w:t>Retrospektive Kohortenstudie bei 517 ukrainischen Kinderflüchtlingen in fünf Schweizer Zentren zur Durchimpfung und Infektionsscreening.</w:t>
      </w:r>
    </w:p>
    <w:p>
      <w:r>
        <w:rPr>
          <w:b/>
        </w:rPr>
        <w:t xml:space="preserve">Ergebnis: </w:t>
      </w:r>
      <w:r>
        <w:t>Bei Ankunft 71–82% altersentsprechend geimpft gegen Masern, Diphtherie-Tetanus-Pertussis, Poliomyelitis und Haemophilus influenzae b; Hauptgrund für Lücken war Impfskepsis. Nach Impfberatung/Catch-up-Programme: 98% (509/517) vollständig geimpft. Infektionsscreening-Positivraten niedrig: HIV 2,7%, Hepatitis B 1,6%, Tuberkulose 1,0%.</w:t>
      </w:r>
    </w:p>
    <w:p>
      <w:r>
        <w:rPr>
          <w:b/>
          <w:sz w:val="19"/>
        </w:rPr>
        <w:t xml:space="preserve">Übertragbarkeit: </w:t>
      </w:r>
      <w:r>
        <w:rPr>
          <w:sz w:val="19"/>
        </w:rPr>
        <w:t>Schweiz, vergleichbares Versicherungssystem und Versorgungsauftrag.</w:t>
      </w:r>
    </w:p>
    <w:p>
      <w:r>
        <w:rPr>
          <w:color w:val="5A7D3A"/>
          <w:sz w:val="18"/>
        </w:rPr>
        <w:t>https://pubmed.ncbi.nlm.nih.gov/42489737/</w:t>
      </w:r>
    </w:p>
    <w:p>
      <w:pPr>
        <w:pStyle w:val="Heading2"/>
      </w:pPr>
      <w:r>
        <w:t>Impfdurchbrüche mit Pneumokokken-Serotyp 3 trotz hoher PCV13-Abdeckung bei Kindern</w:t>
      </w:r>
    </w:p>
    <w:p>
      <w:r>
        <w:rPr>
          <w:i/>
          <w:color w:val="666666"/>
          <w:sz w:val="18"/>
        </w:rPr>
        <w:t>Ciruela P et al.  ·  Vaccine  ·  13.08.2026  ·  PMID 42486053</w:t>
      </w:r>
    </w:p>
    <w:p>
      <w:r>
        <w:t>Retrospektive Beobachtungsstudie zu invasiven Pneumokokken-Erkrankungen bei 206 PCV13-geimpften Kindern in Katalonien 2018–2023 mit Impfquoten &gt;96%.</w:t>
      </w:r>
    </w:p>
    <w:p>
      <w:r>
        <w:rPr>
          <w:b/>
        </w:rPr>
        <w:t xml:space="preserve">Ergebnis: </w:t>
      </w:r>
      <w:r>
        <w:t>48,0% vollständig Geimpfter (n=177) zeigten Impfversagen, vorwiegend durch Serotyp 3 (84,7% der Fälle). Im Vergleich zur Vor-PCV13-Ära war der Schutz länger haltbar, aber der Anteil von Serotyp-3-Durchbrüchen blieb erheblich. Ausschluss von Serotyp 3 senkte die Impfversagensrate von 48,0% auf 12,4%.</w:t>
      </w:r>
    </w:p>
    <w:p>
      <w:r>
        <w:rPr>
          <w:b/>
          <w:sz w:val="19"/>
        </w:rPr>
        <w:t xml:space="preserve">Übertragbarkeit: </w:t>
      </w:r>
      <w:r>
        <w:rPr>
          <w:sz w:val="19"/>
        </w:rPr>
        <w:t>Spanien, vergleichbares Impfprogramm und Surveillance-System.</w:t>
      </w:r>
    </w:p>
    <w:p>
      <w:r>
        <w:rPr>
          <w:color w:val="5A7D3A"/>
          <w:sz w:val="18"/>
        </w:rPr>
        <w:t>https://pubmed.ncbi.nlm.nih.gov/42486053/</w:t>
      </w:r>
    </w:p>
    <w:p>
      <w:pPr>
        <w:pStyle w:val="Heading1"/>
      </w:pPr>
      <w:r>
        <w:t>Aufgenommen am 29.08.2026</w:t>
      </w:r>
    </w:p>
    <w:p>
      <w:pPr>
        <w:pStyle w:val="Heading2"/>
      </w:pPr>
      <w:r>
        <w:t>Dezentralisierte CAR-T-Zelltherapie: Phase-1-Sicherheit und Machbarkeit</w:t>
      </w:r>
    </w:p>
    <w:p>
      <w:r>
        <w:rPr>
          <w:i/>
          <w:color w:val="666666"/>
          <w:sz w:val="18"/>
        </w:rPr>
        <w:t>Kersten MJ et al.  ·  Lancet Haematol  ·  Sept. 2026  ·  PMID 42660131</w:t>
      </w:r>
    </w:p>
    <w:p>
      <w:r>
        <w:t>Phase-1-Dosis-Eskalationsstudie der dezentralisierten Fertigung von CD19-CAR-T-Zellen (GLPG5101) bei 24 Patienten mit rezidiviertem/refraktärem B-Zell-Non-Hodgkin-Lymphom in Niederlanden und Belgien (März 2022–September 2024).</w:t>
      </w:r>
    </w:p>
    <w:p>
      <w:r>
        <w:rPr>
          <w:b/>
        </w:rPr>
        <w:t xml:space="preserve">Ergebnis: </w:t>
      </w:r>
      <w:r>
        <w:t>Fünf dosislimitierende Toxizitäten berichtet: Grad-3-Thrombozytopenie (n=1), Tod durch intra-abdominale Blutung (n=1), Grad-4-Neutropenie (n=3). Vier therapiebedingte Todesfälle insgesamt. Empfohlene Phase-2-Dosis: 110 × 10⁶ (Bereich 50–110 × 10⁶) CAR⁺-T-Zellen. Studie zeigte Machbarkeit schneller dezentralisierter Fertigung und Lieferung.</w:t>
      </w:r>
    </w:p>
    <w:p>
      <w:r>
        <w:rPr>
          <w:b/>
          <w:sz w:val="19"/>
        </w:rPr>
        <w:t xml:space="preserve">Übertragbarkeit: </w:t>
      </w:r>
      <w:r>
        <w:rPr>
          <w:sz w:val="19"/>
        </w:rPr>
        <w:t>Niederlande/Belgien, dezentralisierte Herstellung lokal lösbar, aber CAR-T grundsätzlich komplexes spezialisiertes Therapieverfahren</w:t>
      </w:r>
    </w:p>
    <w:p>
      <w:r>
        <w:rPr>
          <w:color w:val="5A7D3A"/>
          <w:sz w:val="18"/>
        </w:rPr>
        <w:t>https://pubmed.ncbi.nlm.nih.gov/42660131/</w:t>
      </w:r>
    </w:p>
    <w:p>
      <w:pPr>
        <w:pStyle w:val="Heading2"/>
      </w:pPr>
      <w:r>
        <w:t>Pränatalintervention für Impfakzeptanz durch Bürgerbeteiligung entwickelt</w:t>
      </w:r>
    </w:p>
    <w:p>
      <w:r>
        <w:rPr>
          <w:i/>
          <w:color w:val="666666"/>
          <w:sz w:val="18"/>
        </w:rPr>
        <w:t>McCarron SA et al.  ·  Health Expect  ·  Aug. 2026  ·  PMID 42550057</w:t>
      </w:r>
    </w:p>
    <w:p>
      <w:r>
        <w:t>Partizipative Entwicklung einer Antenatalintervention zur Förderung der Impfakzeptanz in Nordirland mit Eltern, Patienten und Öffentlichkeit (Maternity Service Liaison Committee, Sure Start-Programme, aufsuchende Klinik für Ostriesische Gemeinde).</w:t>
      </w:r>
    </w:p>
    <w:p>
      <w:r>
        <w:rPr>
          <w:b/>
        </w:rPr>
        <w:t xml:space="preserve">Ergebnis: </w:t>
      </w:r>
      <w:r>
        <w:t>Input von Eltern und Gemeindevertreter prägte Inhalt, Timing und Präsentation der Impfinformation. Wichtigste Erkenntnisse: klare, einfache Sprachinformation früh in der Schwangerschaft erforderlich, Informationen müssen an verschiedene Bedürfnisse zugeschnitten werden. Vertrauen in etablierte Netzwerke unterstützte Engagement mit unterrepräsentierten Gruppen.</w:t>
      </w:r>
    </w:p>
    <w:p>
      <w:r>
        <w:rPr>
          <w:b/>
          <w:sz w:val="19"/>
        </w:rPr>
        <w:t xml:space="preserve">Übertragbarkeit: </w:t>
      </w:r>
      <w:r>
        <w:rPr>
          <w:sz w:val="19"/>
        </w:rPr>
        <w:t>UK-System; Methode der Bürgerbeteiligung übertragbar, aber Antenatalstrukturen unterscheiden sich</w:t>
      </w:r>
    </w:p>
    <w:p>
      <w:r>
        <w:rPr>
          <w:color w:val="5A7D3A"/>
          <w:sz w:val="18"/>
        </w:rPr>
        <w:t>https://pubmed.ncbi.nlm.nih.gov/42550057/</w:t>
      </w:r>
    </w:p>
    <w:p>
      <w:pPr>
        <w:pStyle w:val="Heading2"/>
      </w:pPr>
      <w:r>
        <w:t>Mpox-Impfstoff Jynneos: Sicherheitsprofil während Ausbruch in Deutschland bestätigt</w:t>
      </w:r>
    </w:p>
    <w:p>
      <w:r>
        <w:rPr>
          <w:i/>
          <w:color w:val="666666"/>
          <w:sz w:val="18"/>
        </w:rPr>
        <w:t>Oberle D et al.  ·  Euro Surveill  ·  Juli 2026  ·  PMID 42535289</w:t>
      </w:r>
    </w:p>
    <w:p>
      <w:r>
        <w:t>Überwachung unerwünschter Ereignisse nach MVA-BN-Impfung gegen Mpox in Deutschland Juni 2022 bis Februar 2024 bei 78.739 verabreichten Dosen.</w:t>
      </w:r>
    </w:p>
    <w:p>
      <w:r>
        <w:rPr>
          <w:b/>
        </w:rPr>
        <w:t xml:space="preserve">Ergebnis: </w:t>
      </w:r>
      <w:r>
        <w:t>32 Einzelfallberichte wurden identifiziert, davon 7 schwerwiegend; 87 unerwünschte Ereignisse insgesamt gemeldet (98,7 pro 100.000 Dosen adjustiert). Das Sicherheitsprofil entsprach der Produktcharakterisierung; keine neuen Sicherheitssignale wurden identifiziert. Lokale und systemische Reaktionen waren überwiegend mild bis moderat.</w:t>
      </w:r>
    </w:p>
    <w:p>
      <w:r>
        <w:rPr>
          <w:b/>
          <w:sz w:val="19"/>
        </w:rPr>
        <w:t xml:space="preserve">Übertragbarkeit: </w:t>
      </w:r>
      <w:r>
        <w:rPr>
          <w:sz w:val="19"/>
        </w:rPr>
        <w:t>Deutschland, eigenes Surveillancesystem, direkt übertragbar</w:t>
      </w:r>
    </w:p>
    <w:p>
      <w:r>
        <w:rPr>
          <w:color w:val="5A7D3A"/>
          <w:sz w:val="18"/>
        </w:rPr>
        <w:t>https://pubmed.ncbi.nlm.nih.gov/42535289/</w:t>
      </w:r>
    </w:p>
    <w:p>
      <w:pPr>
        <w:pStyle w:val="Heading2"/>
      </w:pPr>
      <w:r>
        <w:t>Determinanten der Influenza- und COVID-19-Impfquoten bei Hochrisikopatienten</w:t>
      </w:r>
    </w:p>
    <w:p>
      <w:r>
        <w:rPr>
          <w:i/>
          <w:color w:val="666666"/>
          <w:sz w:val="18"/>
        </w:rPr>
        <w:t>Grape L et al.  ·  Hum Vaccin Immunother  ·  28.07.2026  ·  PMID 42518305</w:t>
      </w:r>
    </w:p>
    <w:p>
      <w:r>
        <w:t>Querschnittsstudie mit semistandardisierten Interviews und Patientenakten bei 600 Notaufnahme-Patienten in Nordschweden zur Identifikation von Impfquoten und Barrieren bei Hochrisikogruppen.</w:t>
      </w:r>
    </w:p>
    <w:p>
      <w:r>
        <w:rPr>
          <w:b/>
        </w:rPr>
        <w:t xml:space="preserve">Ergebnis: </w:t>
      </w:r>
      <w:r>
        <w:t>Quote unter berechtigten Personen: 52,0% für Influenza, 54,2% für COVID-19. Koinfektion beider Impfstoffe hoch (aOR 55,33). Männliches Geschlecht (aOR 0,57), jüngeres Alter (aOR 0,50), Rauchen (aOR 0,43) und nur altersbasierte Berechtigung (aOR 0,41) waren mit niedriger Impfakzeptanz assoziiert. Gemeindeebene-Determinanten zeigten wenig Einfluss.</w:t>
      </w:r>
    </w:p>
    <w:p>
      <w:r>
        <w:rPr>
          <w:b/>
          <w:sz w:val="19"/>
        </w:rPr>
        <w:t xml:space="preserve">Übertragbarkeit: </w:t>
      </w:r>
      <w:r>
        <w:rPr>
          <w:sz w:val="19"/>
        </w:rPr>
        <w:t>Skandinavien, deutsches Versicherungssystem ähnlich, aber Datenquellen und Populationsmerkmale unterscheiden sich</w:t>
      </w:r>
    </w:p>
    <w:p>
      <w:r>
        <w:rPr>
          <w:color w:val="5A7D3A"/>
          <w:sz w:val="18"/>
        </w:rPr>
        <w:t>https://pubmed.ncbi.nlm.nih.gov/42518305/</w:t>
      </w:r>
    </w:p>
    <w:p>
      <w:pPr>
        <w:pStyle w:val="Heading2"/>
      </w:pPr>
      <w:r>
        <w:t>Null-Dosis-Kinder in Madagaskar identifizieren und erreichen</w:t>
      </w:r>
    </w:p>
    <w:p>
      <w:r>
        <w:rPr>
          <w:i/>
          <w:color w:val="666666"/>
          <w:sz w:val="18"/>
        </w:rPr>
        <w:t>Muller N et al.  ·  Bull World Health Organ  ·  01.08.2026  ·  PMID 42516117</w:t>
      </w:r>
    </w:p>
    <w:p>
      <w:r>
        <w:t>Gemeindegestützte Erhebung zur Ermittlung von Kindern ohne DTP-Impfdokumentation in 16 südmadagassischen Distrikten (August 2024–Juni 2025) mit 3.975 ausgebildeten Gemeindegesundheitshelfern und digitalen Werkzeugen.</w:t>
      </w:r>
    </w:p>
    <w:p>
      <w:r>
        <w:rPr>
          <w:b/>
        </w:rPr>
        <w:t xml:space="preserve">Ergebnis: </w:t>
      </w:r>
      <w:r>
        <w:t>81% der fokontanys (3.538/4.347) aktualisierten Register. Von 368.227 erfassten Kindern unter 5 Jahren hatten 58% (213.173) keine dokumentierte DTP-Dosis. Distriktweite Prävalenz von Null-Dosis-Kindern lag zwischen 25% und 86%. 42.700 Null-Dosis-Kinder wurden mit DTP geimpft und übertrafen Programmziel vorzeitig.</w:t>
      </w:r>
    </w:p>
    <w:p>
      <w:r>
        <w:rPr>
          <w:b/>
          <w:sz w:val="19"/>
        </w:rPr>
        <w:t xml:space="preserve">Übertragbarkeit: </w:t>
      </w:r>
      <w:r>
        <w:rPr>
          <w:sz w:val="19"/>
        </w:rPr>
        <w:t>Afrikanisches Setting; Digitale Hilfsmittel und Community-Engagement lokal anpassbar, aber Registrierungsinfrastruktur grundverschieden von Deutschland</w:t>
      </w:r>
    </w:p>
    <w:p>
      <w:r>
        <w:rPr>
          <w:color w:val="5A7D3A"/>
          <w:sz w:val="18"/>
        </w:rPr>
        <w:t>https://pubmed.ncbi.nlm.nih.gov/42516117/</w:t>
      </w:r>
    </w:p>
    <w:p>
      <w:pPr>
        <w:pStyle w:val="Heading2"/>
      </w:pPr>
      <w:r>
        <w:t>Impfskepsis im Kriegsgebiet Ukraine: Verhaltensmodellierung von Umfragedaten</w:t>
      </w:r>
    </w:p>
    <w:p>
      <w:r>
        <w:rPr>
          <w:i/>
          <w:color w:val="666666"/>
          <w:sz w:val="18"/>
        </w:rPr>
        <w:t>Naeem A et al.  ·  Health Policy  ·  17.07.2026  ·  PMID 42508188</w:t>
      </w:r>
    </w:p>
    <w:p>
      <w:r>
        <w:t>Agent-basierte Modellierung (ABM) von Impfverhalten in der konfliktbetroffenen Ukraine basierend auf Querschnittsbefragung in 557 Hromadas unter laufendem Krieg; Simulation der Wechselwirkung zwischen Verhaltens-, Struktur- und Sozialvariablen.</w:t>
      </w:r>
    </w:p>
    <w:p>
      <w:r>
        <w:rPr>
          <w:b/>
        </w:rPr>
        <w:t xml:space="preserve">Ergebnis: </w:t>
      </w:r>
      <w:r>
        <w:t>ABM zeigte, dass Impfakzeptanz durch Wechselspiel von Zugangsbarrieren und Peereinfluss gesteuert wird. Glaubenswechsel erreichten 88%; Vakzinierungsquote stieg um 3–15% durch Zugangsbeseitigung. Peer-Dynamiken erhöhten Impfquoten auf 69–89%. Peer-Konformität war dominanter Treiber, was auf Kollektivmechanismus zwischen Sozialsteckung und Verhaltensadoption hindeutet.</w:t>
      </w:r>
    </w:p>
    <w:p>
      <w:r>
        <w:rPr>
          <w:b/>
          <w:sz w:val="19"/>
        </w:rPr>
        <w:t xml:space="preserve">Übertragbarkeit: </w:t>
      </w:r>
      <w:r>
        <w:rPr>
          <w:sz w:val="19"/>
        </w:rPr>
        <w:t>Konfliktzone, begrenzt auf Kriegssituationen übertragbar; Methodologie der Verhaltensmodellierung relevant</w:t>
      </w:r>
    </w:p>
    <w:p>
      <w:r>
        <w:rPr>
          <w:color w:val="5A7D3A"/>
          <w:sz w:val="18"/>
        </w:rPr>
        <w:t>https://pubmed.ncbi.nlm.nih.gov/42508188/</w:t>
      </w:r>
    </w:p>
    <w:p>
      <w:pPr>
        <w:pStyle w:val="Heading2"/>
      </w:pPr>
      <w:r>
        <w:t>XBB.1.5-Impfstoff gegen schwere COVID-19 bei immungeschwächten Erwachsenen</w:t>
      </w:r>
    </w:p>
    <w:p>
      <w:r>
        <w:rPr>
          <w:i/>
          <w:color w:val="666666"/>
          <w:sz w:val="18"/>
        </w:rPr>
        <w:t>Blake A et al.  ·  Expert Rev Vaccines  ·  31.12.2026  ·  PMID 42504085</w:t>
      </w:r>
    </w:p>
    <w:p>
      <w:r>
        <w:t>Retrospektive multländer-Kohortenstudie mit elektronischen Gesundheitsakten in Belgien, Dänemark, Italien, Portugal, Spanien (Navarra) und Schweden zur Wirksamkeit des angepassten XBB.1.5-Impfstoffs gegen Hospitalisierung und Tod bei Immungeschwächten (ICPs).</w:t>
      </w:r>
    </w:p>
    <w:p>
      <w:r>
        <w:rPr>
          <w:b/>
        </w:rPr>
        <w:t xml:space="preserve">Ergebnis: </w:t>
      </w:r>
      <w:r>
        <w:t>XBB.1.5-Impfstoffwirksamkeit (VE) betrug 52% (95%-KI 41–60) gegen Hospitalisierung und 75% (95%-KI 60–84) gegen Tod in den ersten 14–59 Tagen nach Impfung. VE nahm mit zeitlichem Abstand ab; kein Schutz mehr nach 180–365 Tagen. Moderate Schutzwirkung innerhalb von 120 Tagen beobachtet.</w:t>
      </w:r>
    </w:p>
    <w:p>
      <w:r>
        <w:rPr>
          <w:b/>
          <w:sz w:val="19"/>
        </w:rPr>
        <w:t xml:space="preserve">Übertragbarkeit: </w:t>
      </w:r>
      <w:r>
        <w:rPr>
          <w:sz w:val="19"/>
        </w:rPr>
        <w:t>Europäische EHR-Netzwerk; vergleichbare Gesundheitssysteme (Belgien, Dänemark, Schweden, südliche EU)</w:t>
      </w:r>
    </w:p>
    <w:p>
      <w:r>
        <w:rPr>
          <w:color w:val="5A7D3A"/>
          <w:sz w:val="18"/>
        </w:rPr>
        <w:t>https://pubmed.ncbi.nlm.nih.gov/42504085/</w:t>
      </w:r>
    </w:p>
    <w:p>
      <w:pPr>
        <w:pStyle w:val="Heading1"/>
      </w:pPr>
      <w:r>
        <w:t>Aufgenommen am 28.08.2026</w:t>
      </w:r>
    </w:p>
    <w:p>
      <w:pPr>
        <w:pStyle w:val="Heading2"/>
      </w:pPr>
      <w:r>
        <w:t>Influenza-Impfung reduziert Todesfälle bei hospitalisiertem älteren Alter</w:t>
      </w:r>
    </w:p>
    <w:p>
      <w:r>
        <w:rPr>
          <w:i/>
          <w:color w:val="666666"/>
          <w:sz w:val="18"/>
        </w:rPr>
        <w:t>Marques DFP et al.  ·  Expert Rev Vaccines  ·  27.08.2026  ·  PMID 42657682</w:t>
      </w:r>
    </w:p>
    <w:p>
      <w:r>
        <w:t>Retrospektive Kohortenstudie aus dem europäischen I-MOVE-Netzwerk untersuchte die Assoziation zwischen Influenza-Impfung und schweren Outcomes bei ≥65-jährigen mit laborbestätigter Influenza (2015/16–2024/25).</w:t>
      </w:r>
    </w:p>
    <w:p>
      <w:r>
        <w:rPr>
          <w:b/>
        </w:rPr>
        <w:t xml:space="preserve">Ergebnis: </w:t>
      </w:r>
      <w:r>
        <w:t>Bei 4.257 Patienten zeigte Impfung wenig Assoziation mit ICU-Aufnahmen (RRR 11 %, 95% CI: -21–34), aber war mit 26-prozentiger Reduktion der Todesfälle während Hospitalisierung assoziiert (95% CI: 3–43). In der älteren Gruppe ≥80 Jahre betrug die Reduktion der In-Hospital-Mortalität 29%.</w:t>
      </w:r>
    </w:p>
    <w:p>
      <w:r>
        <w:rPr>
          <w:b/>
          <w:sz w:val="19"/>
        </w:rPr>
        <w:t xml:space="preserve">Übertragbarkeit: </w:t>
      </w:r>
      <w:r>
        <w:rPr>
          <w:sz w:val="19"/>
        </w:rPr>
        <w:t>Europäische Klinikdaten, vergleichbare Dokumentationspflichten, direkt auf Deutschland übertragbar.</w:t>
      </w:r>
    </w:p>
    <w:p>
      <w:r>
        <w:rPr>
          <w:color w:val="5A7D3A"/>
          <w:sz w:val="18"/>
        </w:rPr>
        <w:t>https://pubmed.ncbi.nlm.nih.gov/42657682/</w:t>
      </w:r>
    </w:p>
    <w:p>
      <w:pPr>
        <w:pStyle w:val="Heading2"/>
      </w:pPr>
      <w:r>
        <w:t>Unregistrierte Migranten-Kinder unterimpft: Rechtszugang ist zentral</w:t>
      </w:r>
    </w:p>
    <w:p>
      <w:r>
        <w:rPr>
          <w:i/>
          <w:color w:val="666666"/>
          <w:sz w:val="18"/>
        </w:rPr>
        <w:t>Oo SM et al.  ·  Med Sci (Basel)  ·  02.08.2026  ·  PMID 42646586</w:t>
      </w:r>
    </w:p>
    <w:p>
      <w:r>
        <w:t>Querschnittstudie mit 423 burmesischen Migrantenkinder unter 7 Jahren in Nord-Thailand; Faktoren für unvollständige Impfungen wurden gemessen (2025).</w:t>
      </w:r>
    </w:p>
    <w:p>
      <w:r>
        <w:rPr>
          <w:b/>
        </w:rPr>
        <w:t xml:space="preserve">Ergebnis: </w:t>
      </w:r>
      <w:r>
        <w:t>21,5 % waren unterimpft. Unabhängige Risikofaktoren: Fehlen von Geburtsregistrierung (aOR 9,52, 95% CI 3,74–24,27), fehlende Krankenversicherung (aOR 14,03, 95% CI 6,45–30,54), Rückkehr-Migration (aOR 19,05, 95% CI 8,48–44,13), Zeitbarrieren (aOR 4,09, 95% CI 1,20–13,94) und finanzielle Barrieren (aOR 7,07, 95% CI 1,67–29,91).</w:t>
      </w:r>
    </w:p>
    <w:p>
      <w:r>
        <w:rPr>
          <w:b/>
          <w:sz w:val="19"/>
        </w:rPr>
        <w:t xml:space="preserve">Übertragbarkeit: </w:t>
      </w:r>
      <w:r>
        <w:rPr>
          <w:sz w:val="19"/>
        </w:rPr>
        <w:t>Thailand; zeigt strukturelle Hürden bei Migranten; relevante Erkenntnisse für Deutschland bei Flucht und Asyl.</w:t>
      </w:r>
    </w:p>
    <w:p>
      <w:r>
        <w:rPr>
          <w:color w:val="5A7D3A"/>
          <w:sz w:val="18"/>
        </w:rPr>
        <w:t>https://pubmed.ncbi.nlm.nih.gov/42646586/</w:t>
      </w:r>
    </w:p>
    <w:p>
      <w:pPr>
        <w:pStyle w:val="Heading2"/>
      </w:pPr>
      <w:r>
        <w:t>Impfskepsis ist stärkste Barriere in fragiler Lage: Somaliisches Feldbeispiel</w:t>
      </w:r>
    </w:p>
    <w:p>
      <w:r>
        <w:rPr>
          <w:i/>
          <w:color w:val="666666"/>
          <w:sz w:val="18"/>
        </w:rPr>
        <w:t>Abdi MS et al.  ·  Front Public Health  ·  11.08.2026  ·  PMID 42643472</w:t>
      </w:r>
    </w:p>
    <w:p>
      <w:r>
        <w:t>Querschnittsbefragung von 384 Betreuungspersonen in IDP-Lagern in Mogadischu nach Diphtherie-Impfkampagne; Einflussfaktoren auf Durchimpfung wurden geprüft (2026).</w:t>
      </w:r>
    </w:p>
    <w:p>
      <w:r>
        <w:rPr>
          <w:b/>
        </w:rPr>
        <w:t xml:space="preserve">Ergebnis: </w:t>
      </w:r>
      <w:r>
        <w:t>Gesamte Impfquote 57,6 %. Höhere Impfbedenken-Scores (Vaccine Safety Concern Scale) waren mit deutlich niedrigerem Impfrisiko assoziiert (aOR 0,72, 95% CI 0,57–0,90). Schulbildung der Eltern, Vertrauen in Gesundheitsarbeiter und wahrgenommener Zugang waren nicht signifikant assoziiert.</w:t>
      </w:r>
    </w:p>
    <w:p>
      <w:r>
        <w:rPr>
          <w:b/>
          <w:sz w:val="19"/>
        </w:rPr>
        <w:t xml:space="preserve">Übertragbarkeit: </w:t>
      </w:r>
      <w:r>
        <w:rPr>
          <w:sz w:val="19"/>
        </w:rPr>
        <w:t>Somaliisch; zeigt, dass Sicherheitsbedenken auch bei fragilen Populationen zentral sind; Lernpunkte für Notfall-Impfkampagnen.</w:t>
      </w:r>
    </w:p>
    <w:p>
      <w:r>
        <w:rPr>
          <w:color w:val="5A7D3A"/>
          <w:sz w:val="18"/>
        </w:rPr>
        <w:t>https://pubmed.ncbi.nlm.nih.gov/42643472/</w:t>
      </w:r>
    </w:p>
    <w:p>
      <w:pPr>
        <w:pStyle w:val="Heading2"/>
      </w:pPr>
      <w:r>
        <w:t>Gesunde-Impfling-Effekt bei COVID-19-Vakzine in älteren Gruppen</w:t>
      </w:r>
    </w:p>
    <w:p>
      <w:r>
        <w:rPr>
          <w:i/>
          <w:color w:val="666666"/>
          <w:sz w:val="18"/>
        </w:rPr>
        <w:t>Lyth J et al.  ·  Nat Commun  ·  08.08.2026  ·  PMID 42570961</w:t>
      </w:r>
    </w:p>
    <w:p>
      <w:r>
        <w:t>Schwedenweite Kohortenstudie in Bevölkerung ≥65 Jahren untersuchte die Effektivität der 2024–2025 JN.1-adaptierten COVID-19-Vakzine gegen Hospitalisierung und als Negativkontrolle All-Cause-Mortalität (N=245.696, Oktober 2024–März 2025).</w:t>
      </w:r>
    </w:p>
    <w:p>
      <w:r>
        <w:rPr>
          <w:b/>
        </w:rPr>
        <w:t xml:space="preserve">Ergebnis: </w:t>
      </w:r>
      <w:r>
        <w:t>VE gegen COVID-Hospitalisierung 75 % (95% CI 70–79 %), bei Vorimpfung 2023–24 sogar 84 % (95% CI 80–87 %). Kritisch: All-Cause-Mortalität (Negativkontrolle) war in der geimpften Gruppe um 57 % niedriger (HR 0,43, 95% CI 0,40–0,45), was auf Selektionseffekte durch Frailty hindeutet.</w:t>
      </w:r>
    </w:p>
    <w:p>
      <w:r>
        <w:rPr>
          <w:b/>
          <w:sz w:val="19"/>
        </w:rPr>
        <w:t xml:space="preserve">Übertragbarkeit: </w:t>
      </w:r>
      <w:r>
        <w:rPr>
          <w:sz w:val="19"/>
        </w:rPr>
        <w:t>Skandinavisch, vergleichbares Versorgungssystem; Befund zu Selektionsverzerrung universell relevant.</w:t>
      </w:r>
    </w:p>
    <w:p>
      <w:r>
        <w:rPr>
          <w:color w:val="5A7D3A"/>
          <w:sz w:val="18"/>
        </w:rPr>
        <w:t>https://pubmed.ncbi.nlm.nih.gov/42570961/</w:t>
      </w:r>
    </w:p>
    <w:p>
      <w:pPr>
        <w:pStyle w:val="Heading2"/>
      </w:pPr>
      <w:r>
        <w:t>Schulungskurs verbessert Wissen von Apothekern zur Impfung</w:t>
      </w:r>
    </w:p>
    <w:p>
      <w:r>
        <w:rPr>
          <w:i/>
          <w:color w:val="666666"/>
          <w:sz w:val="18"/>
        </w:rPr>
        <w:t>Waszkiewicz M et al.  ·  Med Sci Monit  ·  05.08.2026  ·  PMID 42552681</w:t>
      </w:r>
    </w:p>
    <w:p>
      <w:r>
        <w:t>Pre-post-Studie in Polen evaluierte Wissenszuwachs bei Apothekern nach Fortbildung zur Influenza- und Pneumokokken-Impfung (Februar 2024–Juli 2025).</w:t>
      </w:r>
    </w:p>
    <w:p>
      <w:r>
        <w:rPr>
          <w:b/>
        </w:rPr>
        <w:t xml:space="preserve">Ergebnis: </w:t>
      </w:r>
      <w:r>
        <w:t>Unter 327 Absolventen stieg das Testscore signifikant um 4,7 Punkte (Mdiff = –4,67, 95% CI: –4,99 bis –4,34, d = 1,55, p &lt; 0,001). Das entspricht ca. 23 % der maximalen Testscore-Steigerung und wurde als großer Effekt beurteilt.</w:t>
      </w:r>
    </w:p>
    <w:p>
      <w:r>
        <w:rPr>
          <w:b/>
          <w:sz w:val="19"/>
        </w:rPr>
        <w:t xml:space="preserve">Übertragbarkeit: </w:t>
      </w:r>
      <w:r>
        <w:rPr>
          <w:sz w:val="19"/>
        </w:rPr>
        <w:t>Polen hat Apothekern 2024 Impfkompetenz übertragen; strukturiertes Angebot seit kurzem auch in Deutschland möglich.</w:t>
      </w:r>
    </w:p>
    <w:p>
      <w:r>
        <w:rPr>
          <w:color w:val="5A7D3A"/>
          <w:sz w:val="18"/>
        </w:rPr>
        <w:t>https://pubmed.ncbi.nlm.nih.gov/42552681/</w:t>
      </w:r>
    </w:p>
    <w:p>
      <w:pPr>
        <w:pStyle w:val="Heading2"/>
      </w:pPr>
      <w:r>
        <w:t>Schulkrankenschwestern unterverimpfter Gemeinden: HPV-Impfung braucht Systemunterstützung</w:t>
      </w:r>
    </w:p>
    <w:p>
      <w:r>
        <w:rPr>
          <w:i/>
          <w:color w:val="666666"/>
          <w:sz w:val="18"/>
        </w:rPr>
        <w:t>Avermark H et al.  ·  Hum Vaccin Immunother  ·  29.07.2026  ·  PMID 42527395</w:t>
      </w:r>
    </w:p>
    <w:p>
      <w:r>
        <w:t>Qualitative Studie mit 21 Interviews von Schulkrankenschwestern in unterversorgten Stockholmer Stadtteilen zur HPV-Impfung von Jugendlichen (Juni–November 2024).</w:t>
      </w:r>
    </w:p>
    <w:p>
      <w:r>
        <w:rPr>
          <w:b/>
        </w:rPr>
        <w:t xml:space="preserve">Ergebnis: </w:t>
      </w:r>
      <w:r>
        <w:t>Drei Themen: (1) Schulkrankenschwestern tragen HPV-Impfung allein, ohne institutionelle Unterstützung; (2) Duale Verantwortung zwischen Einzelbetreuung und Public Health schafft Rollenkonflikte; (3) Schwierigkeit im Umgang mit Tabuisierung von HPV und Sexualität. Hohe Arbeitsbelastung und normative Vorstellungen zu Sex behindern Uptake.</w:t>
      </w:r>
    </w:p>
    <w:p>
      <w:r>
        <w:rPr>
          <w:b/>
          <w:sz w:val="19"/>
        </w:rPr>
        <w:t xml:space="preserve">Übertragbarkeit: </w:t>
      </w:r>
      <w:r>
        <w:rPr>
          <w:sz w:val="19"/>
        </w:rPr>
        <w:t>Schweden, ähnliches Schulsystem und Impfprogramm; zeigt Systemdefizite bei dezentraler HPV-Angebotsumsetzung.</w:t>
      </w:r>
    </w:p>
    <w:p>
      <w:r>
        <w:rPr>
          <w:color w:val="5A7D3A"/>
          <w:sz w:val="18"/>
        </w:rPr>
        <w:t>https://pubmed.ncbi.nlm.nih.gov/42527395/</w:t>
      </w:r>
    </w:p>
    <w:p>
      <w:pPr>
        <w:pStyle w:val="Heading1"/>
      </w:pPr>
      <w:r>
        <w:t>Aufgenommen am 27.08.2026</w:t>
      </w:r>
    </w:p>
    <w:p>
      <w:pPr>
        <w:pStyle w:val="Heading2"/>
      </w:pPr>
      <w:r>
        <w:t>Finnlands zentrales Impfsystem erreicht hohe Quoten, kämpft aber mit Eigenverantwortung und Chancengerechtigkeit</w:t>
      </w:r>
    </w:p>
    <w:p>
      <w:r>
        <w:rPr>
          <w:i/>
          <w:color w:val="666666"/>
          <w:sz w:val="18"/>
        </w:rPr>
        <w:t>Pattyn J et al.  ·  Hum Vaccin Immunother  ·  26.08.2026  ·  PMID 42647143</w:t>
      </w:r>
    </w:p>
    <w:p>
      <w:r>
        <w:t>Eine strukturierte Literaturanalyse mit Experteneingaben beschrieb Finnlands National Vaccination Program (NVP) für Erwachsene, seine Stärken und Hürden.</w:t>
      </w:r>
    </w:p>
    <w:p>
      <w:r>
        <w:rPr>
          <w:b/>
        </w:rPr>
        <w:t xml:space="preserve">Ergebnis: </w:t>
      </w:r>
      <w:r>
        <w:t>Finnlands zentralisiertes, kostenlos bereitgestelltes NVP mit Bevölkerungsregistern erlaubt präzise Monitoring von Abdeckung, Sicherheit und Wirkung. Herausforderungen: Impfung ist individuelle Verantwortung (Compliance-Problem), Kosten für nicht-NVP-Impfstoffe erzeugen Ungleichheit, Impfvertrauen leicht rückläufig. Die CUBE wurde gegründet, um Verhaltensbarrieren zu verstehen.</w:t>
      </w:r>
    </w:p>
    <w:p>
      <w:r>
        <w:rPr>
          <w:b/>
          <w:sz w:val="19"/>
        </w:rPr>
        <w:t xml:space="preserve">Übertragbarkeit: </w:t>
      </w:r>
      <w:r>
        <w:rPr>
          <w:sz w:val="19"/>
        </w:rPr>
        <w:t>skandinavisch mit Impfregister; zeigt Möglichkeiten und Limits zentralisierter Systeme.</w:t>
      </w:r>
    </w:p>
    <w:p>
      <w:r>
        <w:rPr>
          <w:color w:val="5A7D3A"/>
          <w:sz w:val="18"/>
        </w:rPr>
        <w:t>https://pubmed.ncbi.nlm.nih.gov/42647143/</w:t>
      </w:r>
    </w:p>
    <w:p>
      <w:pPr>
        <w:pStyle w:val="Heading2"/>
      </w:pPr>
      <w:r>
        <w:t>HPV-Wissen und Vertrauen in Gesundheitsbehörden prägen Impfbereitschaft in Rumänien</w:t>
      </w:r>
    </w:p>
    <w:p>
      <w:r>
        <w:rPr>
          <w:i/>
          <w:color w:val="666666"/>
          <w:sz w:val="18"/>
        </w:rPr>
        <w:t>Nati ID et al.  ·  Med Sci (Basel)  ·  25.07.2026  ·  PMID 42646566</w:t>
      </w:r>
    </w:p>
    <w:p>
      <w:r>
        <w:t>Eine rumänische Querschnittsumfrage untersuchte kognitive und institutionelle Faktoren für HPV-Impfbereitschaft bei erwachsenen Frauen.</w:t>
      </w:r>
    </w:p>
    <w:p>
      <w:r>
        <w:rPr>
          <w:b/>
        </w:rPr>
        <w:t xml:space="preserve">Ergebnis: </w:t>
      </w:r>
      <w:r>
        <w:t>Unter 368 Befragten lag die Impfquote nur bei 28,6 %. Hohes HPV-Wissen korrelierte mit Impfbereitschaft (p=0,001), ebenso Vertrauen in Behörden. Digitale Fehlinformation zeigte schwachen negativen Zusammenhang mit Wissen, beeinflusste aber Impfbereitschaft nicht direkt. Die Autoren empfehlen Übergang von optionalem zu aktivem Angebot (Opt-out-Modell).</w:t>
      </w:r>
    </w:p>
    <w:p>
      <w:r>
        <w:rPr>
          <w:b/>
          <w:sz w:val="19"/>
        </w:rPr>
        <w:t xml:space="preserve">Übertragbarkeit: </w:t>
      </w:r>
      <w:r>
        <w:rPr>
          <w:sz w:val="19"/>
        </w:rPr>
        <w:t>Süd-/Osteuropa mit ähnlicher administrativer Struktur; zeigt Wirkung von Vertrauen und Struktur.</w:t>
      </w:r>
    </w:p>
    <w:p>
      <w:r>
        <w:rPr>
          <w:color w:val="5A7D3A"/>
          <w:sz w:val="18"/>
        </w:rPr>
        <w:t>https://pubmed.ncbi.nlm.nih.gov/42646566/</w:t>
      </w:r>
    </w:p>
    <w:p>
      <w:pPr>
        <w:pStyle w:val="Heading2"/>
      </w:pPr>
      <w:r>
        <w:t>Lesbarer Weblink in digitalen Impfeinladungen erhöht Vertrauen und Buchungsbereitschaft</w:t>
      </w:r>
    </w:p>
    <w:p>
      <w:r>
        <w:rPr>
          <w:i/>
          <w:color w:val="666666"/>
          <w:sz w:val="18"/>
        </w:rPr>
        <w:t>Oakley CM et al.  ·  J Med Internet Res  ·  25.08.2026  ·  PMID 42640841</w:t>
      </w:r>
    </w:p>
    <w:p>
      <w:r>
        <w:t>Drei randomisierte Onlinestudien mit britischen Teilnehmern testeten, wie das Design von Web-Links in digitalen COVID-19-Impfeinladungen Vertrauen und Buchungsbereitschaft beeinflusst.</w:t>
      </w:r>
    </w:p>
    <w:p>
      <w:r>
        <w:rPr>
          <w:b/>
        </w:rPr>
        <w:t xml:space="preserve">Ergebnis: </w:t>
      </w:r>
      <w:r>
        <w:t>Im Kontrollarm (komplizierter Link) waren 63 % unsicher oder unwillig, ihn zu nutzen. Ein klarer Link (‚vaccine-booking.nhs.uk') verbesserte das Vertrauen (β=0,26 in Exp.1, β=0,24 in Exp.3), ebenso ein Text-eingebetteter Link (β=0,18 in Exp.2, β=0,17 in Exp.3). Ein verkürzter Link brachte keinen Gewinn. Einfache, erkennbare Links erhöhten Buchungsintention über verbessertes Vertrauen und Host-Erkennung.</w:t>
      </w:r>
    </w:p>
    <w:p>
      <w:r>
        <w:rPr>
          <w:b/>
          <w:sz w:val="19"/>
        </w:rPr>
        <w:t xml:space="preserve">Übertragbarkeit: </w:t>
      </w:r>
      <w:r>
        <w:rPr>
          <w:sz w:val="19"/>
        </w:rPr>
        <w:t>Großbritannien; einfache Designprinzipien auch für deutsches Portal- und E-Mail-System anwendbar.</w:t>
      </w:r>
    </w:p>
    <w:p>
      <w:r>
        <w:rPr>
          <w:color w:val="5A7D3A"/>
          <w:sz w:val="18"/>
        </w:rPr>
        <w:t>https://pubmed.ncbi.nlm.nih.gov/42640841/</w:t>
      </w:r>
    </w:p>
    <w:p>
      <w:pPr>
        <w:pStyle w:val="Heading2"/>
      </w:pPr>
      <w:r>
        <w:t>Schwere Nebenwirkungen nach COVID-19-Auffrischung vermindern die Bereitschaft zur erneuten Impfung</w:t>
      </w:r>
    </w:p>
    <w:p>
      <w:r>
        <w:rPr>
          <w:i/>
          <w:color w:val="666666"/>
          <w:sz w:val="18"/>
        </w:rPr>
        <w:t>Huiberts AJ et al.  ·  Vaccine  ·  17.09.2026  ·  PMID 42603508</w:t>
      </w:r>
    </w:p>
    <w:p>
      <w:r>
        <w:t>Eine niederländische Kohortenstudie untersuchte, ob das Auftreten und die Schwere von Nebenwirkungen nach COVID-19-Auffrischimpfungen die Bereitschaft zur Impfung im Folgejahr beeinflussen.</w:t>
      </w:r>
    </w:p>
    <w:p>
      <w:r>
        <w:rPr>
          <w:b/>
        </w:rPr>
        <w:t xml:space="preserve">Ergebnis: </w:t>
      </w:r>
      <w:r>
        <w:t>Von 11.010 Geimpften (2022) waren 73,7 % im nächsten Jahr erneut geimpft. Systémische Nebenwirkungen 2022 waren mit niedrigerem Risiko für Wiederimpfung 2023 verbunden (OR 0,84, 95%-KI 0,76–0,93), besonders bei mittleren (OR 0,79) oder schweren Ereignissen (OR 0,45) sowie Dauer &gt;5 Tagen (OR 0,72). Das Muster wiederholte sich für 2024. Dies zeigt, dass direkte Erfahrungen mit Nebenwirkungen künftige Impfbereitschaft senken.</w:t>
      </w:r>
    </w:p>
    <w:p>
      <w:r>
        <w:rPr>
          <w:b/>
          <w:sz w:val="19"/>
        </w:rPr>
        <w:t xml:space="preserve">Übertragbarkeit: </w:t>
      </w:r>
      <w:r>
        <w:rPr>
          <w:sz w:val="19"/>
        </w:rPr>
        <w:t>Niederlande mit Impfregister; deutsche Routinedaten vergleichbar.</w:t>
      </w:r>
    </w:p>
    <w:p>
      <w:r>
        <w:rPr>
          <w:color w:val="5A7D3A"/>
          <w:sz w:val="18"/>
        </w:rPr>
        <w:t>https://pubmed.ncbi.nlm.nih.gov/42603508/</w:t>
      </w:r>
    </w:p>
    <w:p>
      <w:pPr>
        <w:pStyle w:val="Heading2"/>
      </w:pPr>
      <w:r>
        <w:t>Messaging zu ‚gesundem Altern' erhöht Impfbereitschaft bei älteren Erwachsenen in Frankreich</w:t>
      </w:r>
    </w:p>
    <w:p>
      <w:r>
        <w:rPr>
          <w:i/>
          <w:color w:val="666666"/>
          <w:sz w:val="18"/>
        </w:rPr>
        <w:t>Addario A et al.  ·  Vaccine  ·  17.09.2026  ·  PMID 42594637</w:t>
      </w:r>
    </w:p>
    <w:p>
      <w:r>
        <w:t>Eine französische Querschnittsumfrage mit Social-Marketing-Ansatz testete, welche Botschaften und Zugangsmerkmale die Impfintention bei Älteren (≥60 Jahren) verbessern.</w:t>
      </w:r>
    </w:p>
    <w:p>
      <w:r>
        <w:rPr>
          <w:b/>
        </w:rPr>
        <w:t xml:space="preserve">Ergebnis: </w:t>
      </w:r>
      <w:r>
        <w:t>Von 2.416 Befragten hatten 15,6 % hohe, 81,7 % mittlere und 2,8 % niedrige Impfbereitschaft. Zustimmung, dass Impfung zu gesundem Altern beiträgt, stieg von 3 % (niedrig) auf 56 % (mittel) und 78 % (hoch). Botschaften zu Schlag- und Herzinfarktrisiko zeigten höchste Intention (69–67 %). Gültigkeitsvoucher wurden positiv aufgenommen (57–81 % würden impfen lassen). Ärzte waren vertrauteste Informationsquelle (93–95 %).</w:t>
      </w:r>
    </w:p>
    <w:p>
      <w:r>
        <w:rPr>
          <w:b/>
          <w:sz w:val="19"/>
        </w:rPr>
        <w:t xml:space="preserve">Übertragbarkeit: </w:t>
      </w:r>
      <w:r>
        <w:rPr>
          <w:sz w:val="19"/>
        </w:rPr>
        <w:t>Frankreich mit ähnlichem Versicherungssystem; Fokus auf Rahmung und Zugang in DACH übertragbar.</w:t>
      </w:r>
    </w:p>
    <w:p>
      <w:r>
        <w:rPr>
          <w:color w:val="5A7D3A"/>
          <w:sz w:val="18"/>
        </w:rPr>
        <w:t>https://pubmed.ncbi.nlm.nih.gov/42594637/</w:t>
      </w:r>
    </w:p>
    <w:p>
      <w:pPr>
        <w:pStyle w:val="Heading2"/>
      </w:pPr>
      <w:r>
        <w:t>Omicron-JN.1-Impfstoff bot in den Niederlanden nur begrenzte Zusatzschutzwirkung</w:t>
      </w:r>
    </w:p>
    <w:p>
      <w:r>
        <w:rPr>
          <w:i/>
          <w:color w:val="666666"/>
          <w:sz w:val="18"/>
        </w:rPr>
        <w:t>Huiberts AJ et al.  ·  Vaccine  ·  17.09.2026  ·  PMID 42585808</w:t>
      </w:r>
    </w:p>
    <w:p>
      <w:r>
        <w:t>Eine prospektive holländische Kohortenstudie quantifizierte die Wirksamkeit der JN.1-Varianten-angepassten COVID-19-Impfung gegen Infektionen von September 2024 bis Februar 2025.</w:t>
      </w:r>
    </w:p>
    <w:p>
      <w:r>
        <w:rPr>
          <w:b/>
        </w:rPr>
        <w:t xml:space="preserve">Ergebnis: </w:t>
      </w:r>
      <w:r>
        <w:t>Von 4.490 Teilnehmern &lt;60 Jahren waren 29 % geimpft, von 19.349 Älteren 74 %. Bei 2.142 Infektionen betrug die Impfwirksamkeit 16 % (&lt;60 Jahre, 95%-KI –11–36) und 13 % (≥60 Jahre, 95%-KI 2–23). Gegen KP.3.1.1 und XEC unterschied sich der Schutz nicht signifikant. Die begrenzte Schutzwirkung in einer Phase niedriger Inzidenz deutet auf waning immunity hin.</w:t>
      </w:r>
    </w:p>
    <w:p>
      <w:r>
        <w:rPr>
          <w:b/>
          <w:sz w:val="19"/>
        </w:rPr>
        <w:t xml:space="preserve">Übertragbarkeit: </w:t>
      </w:r>
      <w:r>
        <w:rPr>
          <w:sz w:val="19"/>
        </w:rPr>
        <w:t>Niederlande mit vollständiger Impfdokumentation und genetischer Variantenbestimmung.</w:t>
      </w:r>
    </w:p>
    <w:p>
      <w:r>
        <w:rPr>
          <w:color w:val="5A7D3A"/>
          <w:sz w:val="18"/>
        </w:rPr>
        <w:t>https://pubmed.ncbi.nlm.nih.gov/42585808/</w:t>
      </w:r>
    </w:p>
    <w:p>
      <w:pPr>
        <w:pStyle w:val="Heading1"/>
      </w:pPr>
      <w:r>
        <w:t>Aufgenommen am 26.08.2026</w:t>
      </w:r>
    </w:p>
    <w:p>
      <w:pPr>
        <w:pStyle w:val="Heading2"/>
      </w:pPr>
      <w:r>
        <w:t>Influenza-Impfskepsis bei georgischen Gesundheitspersonal senkt Impfquote über drei Jahre</w:t>
      </w:r>
    </w:p>
    <w:p>
      <w:r>
        <w:rPr>
          <w:i/>
          <w:color w:val="666666"/>
          <w:sz w:val="18"/>
        </w:rPr>
        <w:t>Artemchuk O et al.  ·  PLoS One  ·  25.08.2026  ·  PMID 42640914</w:t>
      </w:r>
    </w:p>
    <w:p>
      <w:r>
        <w:t>Prospektive Kohortenstudie in Georgien mit 403 Krankenhausmitarbeitenden über drei Influenza-Saisons (2021–2024): Welche Faktoren beeinflussen die Annahme der jährlichen Influenza-Impfung?</w:t>
      </w:r>
    </w:p>
    <w:p>
      <w:r>
        <w:rPr>
          <w:b/>
        </w:rPr>
        <w:t xml:space="preserve">Ergebnis: </w:t>
      </w:r>
      <w:r>
        <w:t>72 % erhielten mindestens einmal die Impfung, 28 % nie. Mangelndes Vertrauen in Sicherheit (aOR 0,27) und Wirksamkeit (aOR 0,36) sowie das Alter 40–49 Jahre (aOR 2,67) waren die Hauptfaktoren. Eine Klinik hatte deutlich niedrigere Quoten (aOR 0,06).</w:t>
      </w:r>
    </w:p>
    <w:p>
      <w:r>
        <w:rPr>
          <w:b/>
          <w:sz w:val="19"/>
        </w:rPr>
        <w:t xml:space="preserve">Übertragbarkeit: </w:t>
      </w:r>
      <w:r>
        <w:rPr>
          <w:sz w:val="19"/>
        </w:rPr>
        <w:t>Kaukasus-Region mit WHO-Partner, aber begrenzte Übertragbarkeit auf deutsches System ohne Impfregister.</w:t>
      </w:r>
    </w:p>
    <w:p>
      <w:r>
        <w:rPr>
          <w:color w:val="5A7D3A"/>
          <w:sz w:val="18"/>
        </w:rPr>
        <w:t>https://pubmed.ncbi.nlm.nih.gov/42640914/</w:t>
      </w:r>
    </w:p>
    <w:p>
      <w:pPr>
        <w:pStyle w:val="Heading2"/>
      </w:pPr>
      <w:r>
        <w:t>Impfquote bei 24-Monate-Alten in Italien von 92,75 % auf 94,57 % durch Reorganisation der Dienste</w:t>
      </w:r>
    </w:p>
    <w:p>
      <w:r>
        <w:rPr>
          <w:i/>
          <w:color w:val="666666"/>
          <w:sz w:val="18"/>
        </w:rPr>
        <w:t>Scala A et al.  ·  Front Public Health  ·  10.08.2026  ·  PMID 42638716</w:t>
      </w:r>
    </w:p>
    <w:p>
      <w:r>
        <w:t>Qualitäts-Verbesserungsprojekt in ASL Napoli 3 Sud 2022–2024 mit M.A.S.T.E.R.-Framework: Wie ließ sich die gefallene Abdeckung von Primärserien wieder heben?</w:t>
      </w:r>
    </w:p>
    <w:p>
      <w:r>
        <w:rPr>
          <w:b/>
        </w:rPr>
        <w:t xml:space="preserve">Ergebnis: </w:t>
      </w:r>
      <w:r>
        <w:t>Quote 2023: 92,75 % (Rückgang von 94,57 % 2022). Nach Interventionen (standardisierte Erinnerungen, digitale Kalender, Schulung, Logistik-Überprüfung): 2024 → 94,57 % (+1,82 Pp.). Erinnerungen stiegen von 1.248 auf 2.136, vollendete Nachholtermine von 286 auf 612. Pädiater-Kooperation von 54,2 % auf 87,3 %.</w:t>
      </w:r>
    </w:p>
    <w:p>
      <w:r>
        <w:rPr>
          <w:b/>
          <w:sz w:val="19"/>
        </w:rPr>
        <w:t xml:space="preserve">Übertragbarkeit: </w:t>
      </w:r>
      <w:r>
        <w:rPr>
          <w:sz w:val="19"/>
        </w:rPr>
        <w:t>Italien, südeuropäisches Sozialversicherungssystem, Dokumentation ähnlich Deutschland-Anforderungen.</w:t>
      </w:r>
    </w:p>
    <w:p>
      <w:r>
        <w:rPr>
          <w:color w:val="5A7D3A"/>
          <w:sz w:val="18"/>
        </w:rPr>
        <w:t>https://pubmed.ncbi.nlm.nih.gov/42638716/</w:t>
      </w:r>
    </w:p>
    <w:p>
      <w:pPr>
        <w:pStyle w:val="Heading2"/>
      </w:pPr>
      <w:r>
        <w:t>Schwangere in Gambia: Lücken beim COVID-19-Impfstoffzugang trotz neuer Leitlinien</w:t>
      </w:r>
    </w:p>
    <w:p>
      <w:r>
        <w:rPr>
          <w:i/>
          <w:color w:val="666666"/>
          <w:sz w:val="18"/>
        </w:rPr>
        <w:t>Nkereuwem O et al.  ·  BMJ Open  ·  20.08.2026  ·  PMID 42624601</w:t>
      </w:r>
    </w:p>
    <w:p>
      <w:r>
        <w:t>Qualitative Studie in Gambia mit 15 Fachpersonen und 29 Workshop-Teilnehmenden: Welche Barrieren verhindern, dass Schwangere COVID-19-Impfstoffe erhalten?</w:t>
      </w:r>
    </w:p>
    <w:p>
      <w:r>
        <w:rPr>
          <w:b/>
        </w:rPr>
        <w:t xml:space="preserve">Ergebnis: </w:t>
      </w:r>
      <w:r>
        <w:t>Evolvierende Sicherheitsleitlinien minderten Beratungsvertrauen und verstärkten Vaccine Hesitancy. Fragmentierte Dienste (nicht in Schwangerenvorsorge integriert), schwache Dokumentation von Nebenwirkungen und Misinformation waren Kernprobleme. Strategien: frühe Schulung, Koordination über Berufsgruppen, gestärkte Logistik und Sicherheitsmeldung.</w:t>
      </w:r>
    </w:p>
    <w:p>
      <w:r>
        <w:rPr>
          <w:b/>
          <w:sz w:val="19"/>
        </w:rPr>
        <w:t xml:space="preserve">Übertragbarkeit: </w:t>
      </w:r>
      <w:r>
        <w:rPr>
          <w:sz w:val="19"/>
        </w:rPr>
        <w:t>Subsahara-Afrika, aber Befunde zu systemischer Fragmentierung relevant für Integrationsfragen.</w:t>
      </w:r>
    </w:p>
    <w:p>
      <w:r>
        <w:rPr>
          <w:color w:val="5A7D3A"/>
          <w:sz w:val="18"/>
        </w:rPr>
        <w:t>https://pubmed.ncbi.nlm.nih.gov/42624601/</w:t>
      </w:r>
    </w:p>
    <w:p>
      <w:pPr>
        <w:pStyle w:val="Heading1"/>
      </w:pPr>
      <w:r>
        <w:t>Aufgenommen am 24.08.2026</w:t>
      </w:r>
    </w:p>
    <w:p>
      <w:pPr>
        <w:pStyle w:val="Heading2"/>
      </w:pPr>
      <w:r>
        <w:t>Hochdosis-Grippeimpfstoff senkte Krankenhauseinweisungen bei Altenheimbewohnern um 31 Prozent</w:t>
      </w:r>
    </w:p>
    <w:p>
      <w:r>
        <w:rPr>
          <w:i/>
          <w:color w:val="666666"/>
          <w:sz w:val="18"/>
        </w:rPr>
        <w:t>Bricout H et al.  ·  Age Ageing  ·  03.08.2026  ·  PMID 42632918</w:t>
      </w:r>
    </w:p>
    <w:p>
      <w:r>
        <w:t>Französische Kohortenstudie verglich Wirksamkeit von Hochdosis- versus Standarddosis-Grippeimpfstoff gegen grippebedingte Krankenhauseinweisungen bei Bewohnern von Altenpflegeeinrichtungen (2022–2023).</w:t>
      </w:r>
    </w:p>
    <w:p>
      <w:r>
        <w:rPr>
          <w:b/>
        </w:rPr>
        <w:t xml:space="preserve">Ergebnis: </w:t>
      </w:r>
      <w:r>
        <w:t>Hochdosis-Impfstoff reduzierte grippebedingte Krankenhauseinweisungen um 30,8 % (95 % KI: 11,8–45,7 %; p = 0,0029), verglichen mit Standarddosis. Bei Pneumonie oder kombinierten Ergebnissen zeigte sich kein signifikanter Unterschied. Die Studie stützt bevorzugte Verwendung des Hochdosis-Impfstoffs in dieser Hochrisikogruppe.</w:t>
      </w:r>
    </w:p>
    <w:p>
      <w:r>
        <w:rPr>
          <w:b/>
          <w:sz w:val="19"/>
        </w:rPr>
        <w:t xml:space="preserve">Übertragbarkeit: </w:t>
      </w:r>
      <w:r>
        <w:rPr>
          <w:sz w:val="19"/>
        </w:rPr>
        <w:t>Frankreich mit vergleichbarem Sozialversicherungssystem und Langzeitpflege-Dokumentation wie Deutschland.</w:t>
      </w:r>
    </w:p>
    <w:p>
      <w:r>
        <w:rPr>
          <w:color w:val="5A7D3A"/>
          <w:sz w:val="18"/>
        </w:rPr>
        <w:t>https://pubmed.ncbi.nlm.nih.gov/42632918/</w:t>
      </w:r>
    </w:p>
    <w:p>
      <w:pPr>
        <w:pStyle w:val="Heading1"/>
      </w:pPr>
      <w:r>
        <w:t>Aufgenommen am 22.08.2026</w:t>
      </w:r>
    </w:p>
    <w:p>
      <w:pPr>
        <w:pStyle w:val="Heading2"/>
      </w:pPr>
      <w:r>
        <w:t>HPV-Impfung senkt Häufigkeit von Larynx- und Bindehautpapillomen in Dänemark</w:t>
      </w:r>
    </w:p>
    <w:p>
      <w:r>
        <w:rPr>
          <w:i/>
          <w:color w:val="666666"/>
          <w:sz w:val="18"/>
        </w:rPr>
        <w:t>Aakilde M et al.  ·  APMIS  ·  Aug. 2026  ·  PMID 42619272</w:t>
      </w:r>
    </w:p>
    <w:p>
      <w:r>
        <w:t>Register-Studie: 33 juvenile Larynx-, 134 Bindehautpapillom-Patienten 2005–2024 mit HPV-Subtypisierung und Impfstatus-Abfrage.</w:t>
      </w:r>
    </w:p>
    <w:p>
      <w:r>
        <w:rPr>
          <w:b/>
        </w:rPr>
        <w:t xml:space="preserve">Ergebnis: </w:t>
      </w:r>
      <w:r>
        <w:t>Larynxpapillom-Inzidenz sank von 0,190 pro 100.000 (2005–2013) auf 0,107 (2014–2024), nicht signifikant (p=0,145); keine Fälle bei geimpften Müttern. Bindehautpapillom-Inzidenz sank signifikant um 5,3 % pro Jahr (p=0,002). HPV-6/-11 in 74,1 % nachgewiesen. Studie zeigt Schutzeffekt des Impfprogramms auf Bindehautpapillome, juvenile Larynxpapillome bleiben selten und nur bei ungeimpften Müttern.</w:t>
      </w:r>
    </w:p>
    <w:p>
      <w:r>
        <w:rPr>
          <w:b/>
          <w:sz w:val="19"/>
        </w:rPr>
        <w:t xml:space="preserve">Übertragbarkeit: </w:t>
      </w:r>
      <w:r>
        <w:rPr>
          <w:sz w:val="19"/>
        </w:rPr>
        <w:t>Dänemark, nationales Register, vergleichbare nordeuropäische Impfpraxis</w:t>
      </w:r>
    </w:p>
    <w:p>
      <w:r>
        <w:rPr>
          <w:color w:val="5A7D3A"/>
          <w:sz w:val="18"/>
        </w:rPr>
        <w:t>https://pubmed.ncbi.nlm.nih.gov/42619272/</w:t>
      </w:r>
    </w:p>
    <w:p>
      <w:pPr>
        <w:pStyle w:val="Heading2"/>
      </w:pPr>
      <w:r>
        <w:t>Hepatitis-B-Impfquoten bei trans und nicht-binären Menschen in Deutschland: Wer bleibt ungeimpft?</w:t>
      </w:r>
    </w:p>
    <w:p>
      <w:r>
        <w:rPr>
          <w:i/>
          <w:color w:val="666666"/>
          <w:sz w:val="18"/>
        </w:rPr>
        <w:t>Biallas R et al.  ·  BMC Public Health  ·  11.08.2026  ·  PMID 42576212</w:t>
      </w:r>
    </w:p>
    <w:p>
      <w:r>
        <w:t>Online-Survey von 2.358 trans und nicht-binären Personen zu Hepatitis-B-Diagnosen und Impfstatus, RKI-Studie.</w:t>
      </w:r>
    </w:p>
    <w:p>
      <w:r>
        <w:rPr>
          <w:b/>
        </w:rPr>
        <w:t xml:space="preserve">Ergebnis: </w:t>
      </w:r>
      <w:r>
        <w:t>HBV-Prävalenz 0,6 %, Impfquote 56,3 %. Quote höher bei Personen auf dem männlichen Spektrum (PR 1,29) als weiblich/nicht-binär; höher mit Hochschulbildung (PR 1,44) und in Großstädten (PR 1,22). 550 (21,7 %) waren impfempfohlen; von 213 mit negativem Impfstatus waren 65 % unter 30 und hätten Routine-Impfung erhalten sollen. Wissenslücken zu Hepatitis als Hauptprädiktor für niedrige Quote identifiziert.</w:t>
      </w:r>
    </w:p>
    <w:p>
      <w:r>
        <w:rPr>
          <w:b/>
          <w:sz w:val="19"/>
        </w:rPr>
        <w:t xml:space="preserve">Übertragbarkeit: </w:t>
      </w:r>
      <w:r>
        <w:rPr>
          <w:sz w:val="19"/>
        </w:rPr>
        <w:t>RKI-Studie, deutsche Hochrisikopopulation; Ungleichheit nach Bildung, Geschlechtsidentität und Urbanisierung</w:t>
      </w:r>
    </w:p>
    <w:p>
      <w:r>
        <w:rPr>
          <w:color w:val="5A7D3A"/>
          <w:sz w:val="18"/>
        </w:rPr>
        <w:t>https://pubmed.ncbi.nlm.nih.gov/42576212/</w:t>
      </w:r>
    </w:p>
    <w:p>
      <w:pPr>
        <w:pStyle w:val="Heading1"/>
      </w:pPr>
      <w:r>
        <w:t>Aufgenommen am 21.08.2026</w:t>
      </w:r>
    </w:p>
    <w:p>
      <w:pPr>
        <w:pStyle w:val="Heading2"/>
      </w:pPr>
      <w:r>
        <w:t>MenACWY-Impfung und Meningokokken-Carriage bei Studierenden: Wirksamkeitsevidenz aus Carriage-Monitoring</w:t>
      </w:r>
    </w:p>
    <w:p>
      <w:r>
        <w:rPr>
          <w:i/>
          <w:color w:val="666666"/>
          <w:sz w:val="18"/>
        </w:rPr>
        <w:t>Harvey-Cowlishaw T et al.  ·  Front Public Health  ·  05.08.2026  ·  PMID 42621093</w:t>
      </w:r>
    </w:p>
    <w:p>
      <w:r>
        <w:t>Querschnittstudie (September + November 2024) an 400 Studierenden einer UK-Universität mit Keimkultur/PCR und Vollgenomsequenzierung von Meningokokken-Carriern.</w:t>
      </w:r>
    </w:p>
    <w:p>
      <w:r>
        <w:rPr>
          <w:b/>
        </w:rPr>
        <w:t xml:space="preserve">Ergebnis: </w:t>
      </w:r>
      <w:r>
        <w:t>Carriage-Rate Sepember 12,5 %, November 25,3 % (p&lt;0,05). Genogruppe C: null Isolate (100 % Reduktion durch MenACWY-Vakzinierung). Genogruppe Y: null verkappselte Isolate in dieser Kohorte, konsistent mit Impfeffektivität. Genogruppe B: 34,3 % (multipler Clonal Complex, teils hyperinvasiv). MenACWY schützt Studierende effektiv vor W/Y-Carriage; Genogruppe B bleibt Risiko.</w:t>
      </w:r>
    </w:p>
    <w:p>
      <w:r>
        <w:rPr>
          <w:b/>
          <w:sz w:val="19"/>
        </w:rPr>
        <w:t xml:space="preserve">Übertragbarkeit: </w:t>
      </w:r>
      <w:r>
        <w:rPr>
          <w:sz w:val="19"/>
        </w:rPr>
        <w:t>UK, Kariologie-Surveillance, vergleichbare adoleszente Impfprogramme</w:t>
      </w:r>
    </w:p>
    <w:p>
      <w:r>
        <w:rPr>
          <w:color w:val="5A7D3A"/>
          <w:sz w:val="18"/>
        </w:rPr>
        <w:t>https://pubmed.ncbi.nlm.nih.gov/42621093/</w:t>
      </w:r>
    </w:p>
    <w:p>
      <w:pPr>
        <w:pStyle w:val="Heading2"/>
      </w:pPr>
      <w:r>
        <w:t>Vorbuchte Impftermine für COVID-19: Burden-Vergleich und Wirkung auf Uptake-Intention</w:t>
      </w:r>
    </w:p>
    <w:p>
      <w:r>
        <w:rPr>
          <w:i/>
          <w:color w:val="666666"/>
          <w:sz w:val="18"/>
        </w:rPr>
        <w:t>Sanders JG et al.  ·  Vaccine  ·  30.08.2026  ·  PMID 42546637</w:t>
      </w:r>
    </w:p>
    <w:p>
      <w:r>
        <w:t>Formative Evaluationsstudie (Niederlande) in zwei Phasen – qualitativ (15 Interviews) und experimentell (n=1.886) – zur Wirkung von Vorbuchung vs. Selbstbuchung auf Impfintention.</w:t>
      </w:r>
    </w:p>
    <w:p>
      <w:r>
        <w:rPr>
          <w:b/>
        </w:rPr>
        <w:t xml:space="preserve">Ergebnis: </w:t>
      </w:r>
      <w:r>
        <w:t>Phase 1: Vorbuchung wurde als fürsorglich und auch als bevormundend wahrgenommen. Phase 2: Selbstbuchung wurde als weniger belastend wahrgenommen (β=−0,23, p&lt;0,05), führte aber nicht zu höherer Impfintention (aOR=1,11). Auch bei zögerlichen Personen kein Unterschied (aOR=0,88). Vorbuchung verändert COVID-19-Intention nicht – konservative Empfehlung: Selbstbuchung für bereits geimpfte Ältere.</w:t>
      </w:r>
    </w:p>
    <w:p>
      <w:r>
        <w:rPr>
          <w:b/>
          <w:sz w:val="19"/>
        </w:rPr>
        <w:t xml:space="preserve">Übertragbarkeit: </w:t>
      </w:r>
      <w:r>
        <w:rPr>
          <w:sz w:val="19"/>
        </w:rPr>
        <w:t>Niederlande (RIVM), vergleichbares Versicherungssystem und Impfinfrastruktur</w:t>
      </w:r>
    </w:p>
    <w:p>
      <w:r>
        <w:rPr>
          <w:color w:val="5A7D3A"/>
          <w:sz w:val="18"/>
        </w:rPr>
        <w:t>https://pubmed.ncbi.nlm.nih.gov/42546637/</w:t>
      </w:r>
    </w:p>
    <w:p>
      <w:pPr>
        <w:pStyle w:val="Heading1"/>
      </w:pPr>
      <w:r>
        <w:t>Aufgenommen am 20.08.2026</w:t>
      </w:r>
    </w:p>
    <w:p>
      <w:pPr>
        <w:pStyle w:val="Heading2"/>
      </w:pPr>
      <w:r>
        <w:t>Impfquoten in der Schwangerschaft in Deutschland 2004–2022: Was bleibt ungenutzt?</w:t>
      </w:r>
    </w:p>
    <w:p>
      <w:r>
        <w:rPr>
          <w:i/>
          <w:color w:val="666666"/>
          <w:sz w:val="18"/>
        </w:rPr>
        <w:t>Mulanje L et al.  ·  Sci Rep  ·  18.08.2026  ·  PMID 42613346</w:t>
      </w:r>
    </w:p>
    <w:p>
      <w:r>
        <w:t>Eine Analyse von über 2,8 Mio. Schwangerschaften in deutschen Krankenkassendaten zeigte, wie sich Impfquoten in der Schwangerschaft entwickelten.</w:t>
      </w:r>
    </w:p>
    <w:p>
      <w:r>
        <w:rPr>
          <w:b/>
        </w:rPr>
        <w:t xml:space="preserve">Ergebnis: </w:t>
      </w:r>
      <w:r>
        <w:t>Influenza-Impfquote bei Schwangeren stieg von 2 % (2004–2009) auf 19 % (2020–2022), Pertussis von 3 % (2015–2019) auf 37 % (2020–2022). Weniger als 50 % der empfohlenen Schwangerschaftsimpfungen wurden durchgeführt; Gründe bleiben unklar. Etwa 0,3 % erhielten kontraindizierte Lebendimpfstoffe.</w:t>
      </w:r>
    </w:p>
    <w:p>
      <w:r>
        <w:rPr>
          <w:b/>
          <w:sz w:val="19"/>
        </w:rPr>
        <w:t xml:space="preserve">Übertragbarkeit: </w:t>
      </w:r>
      <w:r>
        <w:rPr>
          <w:sz w:val="19"/>
        </w:rPr>
        <w:t>Deutsche Krankenkassendaten mit vollständiger Erfassung, direkt übertragbar auf deutsches Versorgungssystem.</w:t>
      </w:r>
    </w:p>
    <w:p>
      <w:r>
        <w:rPr>
          <w:color w:val="5A7D3A"/>
          <w:sz w:val="18"/>
        </w:rPr>
        <w:t>https://pubmed.ncbi.nlm.nih.gov/42613346/</w:t>
      </w:r>
    </w:p>
    <w:p>
      <w:pPr>
        <w:pStyle w:val="Heading2"/>
      </w:pPr>
      <w:r>
        <w:t>HPV-Impfung für Adoleszente: Verhaltenswissenschaftliche Entwicklung einer Intervention (15–17 Jahre)</w:t>
      </w:r>
    </w:p>
    <w:p>
      <w:r>
        <w:rPr>
          <w:i/>
          <w:color w:val="666666"/>
          <w:sz w:val="18"/>
        </w:rPr>
        <w:t>Flood T et al.  ·  PLoS One  ·  14.08.2026  ·  PMID 42599892</w:t>
      </w:r>
    </w:p>
    <w:p>
      <w:r>
        <w:t>Qualitative Studie mit fokussierten Interviews (Impfschwestern n=26, Schüler n=34, Lehrer/Schulnursen n=18) zur Entwicklung eines theoriegestützten HPV-Interventionsangebots.</w:t>
      </w:r>
    </w:p>
    <w:p>
      <w:r>
        <w:rPr>
          <w:b/>
        </w:rPr>
        <w:t xml:space="preserve">Ergebnis: </w:t>
      </w:r>
      <w:r>
        <w:t>Systematische Übersicht fand Mangel an Interventionen für diese Altersgruppe. Identifiziert wurden 12 Barrieren für drei Zielverhalten (Schülerentscheidung, Professionalisierung, öffentliche Akzeptanz). Entwickelte Intervention: schulgestützte HPV-Bildung mit Impfangebot, öffentliche Medienkampagne; Erfolg hängt von Unterstützung durch Behörden und Lehrplanintegration ab.</w:t>
      </w:r>
    </w:p>
    <w:p>
      <w:r>
        <w:rPr>
          <w:b/>
          <w:sz w:val="19"/>
        </w:rPr>
        <w:t xml:space="preserve">Übertragbarkeit: </w:t>
      </w:r>
      <w:r>
        <w:rPr>
          <w:sz w:val="19"/>
        </w:rPr>
        <w:t>Nordirland, ähnliche schulbasierte Impfstrukturen wie Deutschland, Barrier-Identifizierung übertragbar.</w:t>
      </w:r>
    </w:p>
    <w:p>
      <w:r>
        <w:rPr>
          <w:color w:val="5A7D3A"/>
          <w:sz w:val="18"/>
        </w:rPr>
        <w:t>https://pubmed.ncbi.nlm.nih.gov/42599892/</w:t>
      </w:r>
    </w:p>
    <w:p>
      <w:pPr>
        <w:pStyle w:val="Heading2"/>
      </w:pPr>
      <w:r>
        <w:t>COVID-19-Sterblichkeit bei Menschen mit schweren psychischen Erkrankungen: Übersterblichkeit trotz Impfung</w:t>
      </w:r>
    </w:p>
    <w:p>
      <w:r>
        <w:rPr>
          <w:i/>
          <w:color w:val="666666"/>
          <w:sz w:val="18"/>
        </w:rPr>
        <w:t>Chilman N et al.  ·  Lancet Psychiatry  ·  Sept. 2026  ·  PMID 42586081</w:t>
      </w:r>
    </w:p>
    <w:p>
      <w:r>
        <w:t>Gesamtbevölkerungsstudie in England (n=13.463.945 COVID-19-Fälle, davon 1,19 % mit schwerer psychischer Erkrankung) auf Mortalität über drei Pandemiephasen mit unterschiedlichem Impfzugang.</w:t>
      </w:r>
    </w:p>
    <w:p>
      <w:r>
        <w:rPr>
          <w:b/>
        </w:rPr>
        <w:t xml:space="preserve">Ergebnis: </w:t>
      </w:r>
      <w:r>
        <w:t>Übersterblichkeit bei schwerer psychischer Erkrankung: aHR 1,56 (95%-KI 1,53–1,59). In Phase 1 (vor Impfung): aHR 1,27; Phase 2 (Impfstart): aHR 1,56; Phase 3 (nach Impfung): aHR 1,55. Impfquoten initial höher (73,2 % vs. 67,4 %), am Ende aber niedriger (79,4 % vs. 87,2 %). Impfung minderte Risiko nur partiell (aHR 1,25, 95%-KI 1,17–1,34).</w:t>
      </w:r>
    </w:p>
    <w:p>
      <w:r>
        <w:rPr>
          <w:b/>
          <w:sz w:val="19"/>
        </w:rPr>
        <w:t xml:space="preserve">Übertragbarkeit: </w:t>
      </w:r>
      <w:r>
        <w:rPr>
          <w:sz w:val="19"/>
        </w:rPr>
        <w:t>England-Gesamtbevölkerung, nationales Gesundheitssystem wie Deutschland, Ungleichheitsfrage zentral.</w:t>
      </w:r>
    </w:p>
    <w:p>
      <w:r>
        <w:rPr>
          <w:color w:val="5A7D3A"/>
          <w:sz w:val="18"/>
        </w:rPr>
        <w:t>https://pubmed.ncbi.nlm.nih.gov/42586081/</w:t>
      </w:r>
    </w:p>
    <w:p>
      <w:pPr>
        <w:pStyle w:val="Heading1"/>
      </w:pPr>
      <w:r>
        <w:t>Aufgenommen am 19.08.2026</w:t>
      </w:r>
    </w:p>
    <w:p>
      <w:pPr>
        <w:pStyle w:val="Heading2"/>
      </w:pPr>
      <w:r>
        <w:t>Psychisches Wohlbefinden und COVID-19-Impfquote: 2,68-fach höherer Impfanteil bei hohem CASP-Wohlbefind</w:t>
      </w:r>
    </w:p>
    <w:p>
      <w:r>
        <w:rPr>
          <w:i/>
          <w:color w:val="666666"/>
          <w:sz w:val="18"/>
        </w:rPr>
        <w:t>Gao Y et al.  ·  Hum Vaccin Immunother  ·  18.08.2026  ·  PMID 42610257</w:t>
      </w:r>
    </w:p>
    <w:p>
      <w:r>
        <w:t>Prospektive Analyse von 29.597 europäischen Erwachsenen ≥50 Jahren (SHARE-Studie, 27 Länder + Israel) zur Assoziation zwischen psychischem Wohlbefinden (CASP-12-Skala) und COVID-19-Impfung, Infektion und Long COVID.</w:t>
      </w:r>
    </w:p>
    <w:p>
      <w:r>
        <w:rPr>
          <w:b/>
        </w:rPr>
        <w:t xml:space="preserve">Ergebnis: </w:t>
      </w:r>
      <w:r>
        <w:t>Personen mit höchster CASP-12-Punktzahl vs. niedrigster: OR für COVID-19-Impfung 2,68 (95%-KI 2,44–2,96). Reduktion von Long COVID um 23% (OR 0,77, 95%-KI 0,64–0,93). Kein signifikanter Effekt auf Infektionsrisiko (OR 0,87, 95%-KI 0,74–1,02). Höheres psychisches Wohlbefinden mit verbessertem Impfstatus und reduziertem Long-COVID-Risiko assoziiert.</w:t>
      </w:r>
    </w:p>
    <w:p>
      <w:r>
        <w:rPr>
          <w:b/>
          <w:sz w:val="19"/>
        </w:rPr>
        <w:t xml:space="preserve">Übertragbarkeit: </w:t>
      </w:r>
      <w:r>
        <w:rPr>
          <w:sz w:val="19"/>
        </w:rPr>
        <w:t>27 europäische Länder, generalisierbar auf deutschsprachigen Raum</w:t>
      </w:r>
    </w:p>
    <w:p>
      <w:r>
        <w:rPr>
          <w:color w:val="5A7D3A"/>
          <w:sz w:val="18"/>
        </w:rPr>
        <w:t>https://pubmed.ncbi.nlm.nih.gov/42610257/</w:t>
      </w:r>
    </w:p>
    <w:p>
      <w:pPr>
        <w:pStyle w:val="Heading2"/>
      </w:pPr>
      <w:r>
        <w:t>Pädiater-Wissenlücken zur RSV-Immunisierung: 55,9% mit durchschnittlichem bis niedrigem Nirsevimab-Wissen</w:t>
      </w:r>
    </w:p>
    <w:p>
      <w:r>
        <w:rPr>
          <w:i/>
          <w:color w:val="666666"/>
          <w:sz w:val="18"/>
        </w:rPr>
        <w:t>Di Chiara C et al.  ·  PLoS One  ·  17.08.2026  ·  PMID 42607062</w:t>
      </w:r>
    </w:p>
    <w:p>
      <w:r>
        <w:t>Befragung von 578 Pädiatern (Rücklaufquote 19,3%) in Spanien, Italien und Zypern/Griechenland zu Wissen, Einstellungen und Barrieren bezüglich neuer RSV-Impfstrategen.</w:t>
      </w:r>
    </w:p>
    <w:p>
      <w:r>
        <w:rPr>
          <w:b/>
        </w:rPr>
        <w:t xml:space="preserve">Ergebnis: </w:t>
      </w:r>
      <w:r>
        <w:t>50% Spanien, 40% Italien, 10% Zypern/Griechenland. Nur 245 Befragte (55,9%) berichteten durchschnittliches bis niedriges Nirsevimab-Wissen, 375 (86,0%) zeigten gleiches für Mutterimpfstoff (p=0,002). Trotz Wissenslücken: 311 (85,9%) bereit, Nirsevimab zu verabreichen, 319 (92,2%) unterstützten es für alle Neugeborenen. Barrieren (20,0% genannt): Unbekannt und logistische Herausforderungen. 165 (47,4%) bevorzugten die Mutterimpfung gegenüber Nirsevimab.</w:t>
      </w:r>
    </w:p>
    <w:p>
      <w:r>
        <w:rPr>
          <w:b/>
          <w:sz w:val="19"/>
        </w:rPr>
        <w:t xml:space="preserve">Übertragbarkeit: </w:t>
      </w:r>
      <w:r>
        <w:rPr>
          <w:sz w:val="19"/>
        </w:rPr>
        <w:t>Südeuropa, aber spanische Erfahrung mit Nirsevimab bereits verfügbar</w:t>
      </w:r>
    </w:p>
    <w:p>
      <w:r>
        <w:rPr>
          <w:color w:val="5A7D3A"/>
          <w:sz w:val="18"/>
        </w:rPr>
        <w:t>https://pubmed.ncbi.nlm.nih.gov/42607062/</w:t>
      </w:r>
    </w:p>
    <w:p>
      <w:pPr>
        <w:pStyle w:val="Heading2"/>
      </w:pPr>
      <w:r>
        <w:t>HPV-Impfung und Schwangerschaftsergebnisse: Registerstudie zeigt keine erhöhten Fehlgeburtsrisiken</w:t>
      </w:r>
    </w:p>
    <w:p>
      <w:r>
        <w:rPr>
          <w:i/>
          <w:color w:val="666666"/>
          <w:sz w:val="18"/>
        </w:rPr>
        <w:t>Koivisto T et al.  ·  Eur J Public Health  ·  04.08.2026  ·  PMID 42586610</w:t>
      </w:r>
    </w:p>
    <w:p>
      <w:r>
        <w:t>Register-Follow-up von 20.426 HPV-geimpften und 19.473 ungeimpften Frauen (Finland, Geburtskohorte 1990-1995) über 11 Jahre zu frühen Schwangerschaftskomplikationen.</w:t>
      </w:r>
    </w:p>
    <w:p>
      <w:r>
        <w:rPr>
          <w:b/>
        </w:rPr>
        <w:t xml:space="preserve">Ergebnis: </w:t>
      </w:r>
      <w:r>
        <w:t>Fehlgeburtsquote in der geimpften Gruppe 1,6% versus 5,3% in der ungeimpften Kontrollgruppe (p&lt;0,0001). Keine zeitliche Assoziation zwischen Impfung und Fehlgeburten. Eileiterschwangerschaften waren selten und vergleichbar (0,6–1,0%). Bei Frauen mit Vorgeschichte von Komplikationen hatten 55,6% der Geimpften mindestens eine Lebendgeburt versus 70,3% der Ungeimpften. Die Impfung war nicht mit erhöhtem Fehlgeburts- oder anderem Schwangerschaftsrisiko verbunden.</w:t>
      </w:r>
    </w:p>
    <w:p>
      <w:r>
        <w:rPr>
          <w:b/>
          <w:sz w:val="19"/>
        </w:rPr>
        <w:t xml:space="preserve">Übertragbarkeit: </w:t>
      </w:r>
      <w:r>
        <w:rPr>
          <w:sz w:val="19"/>
        </w:rPr>
        <w:t>Finnland, Register mit hoher Datenqualität</w:t>
      </w:r>
    </w:p>
    <w:p>
      <w:r>
        <w:rPr>
          <w:color w:val="5A7D3A"/>
          <w:sz w:val="18"/>
        </w:rPr>
        <w:t>https://pubmed.ncbi.nlm.nih.gov/42586610/</w:t>
      </w:r>
    </w:p>
    <w:p>
      <w:pPr>
        <w:pStyle w:val="Heading2"/>
      </w:pPr>
      <w:r>
        <w:t>Influenza-Impfeffektivität gegen Krankenhausaufnahmen: 46% Gesamtschutz in Nordirland 2024/25</w:t>
      </w:r>
    </w:p>
    <w:p>
      <w:r>
        <w:rPr>
          <w:i/>
          <w:color w:val="666666"/>
          <w:sz w:val="18"/>
        </w:rPr>
        <w:t>Bucholc M et al.  ·  Influenza Other Respir Viruses  ·  Aug. 2026  ·  PMID 42560010</w:t>
      </w:r>
    </w:p>
    <w:p>
      <w:r>
        <w:t>Test-Negativ-Design mit 2.024 influenzapositiven Fällen und 13.109 Kontrollen in 15.133 hospitalisierten Patienten zur Schätzung der Impfeffektivität gegen laborbestätigte Influenza.</w:t>
      </w:r>
    </w:p>
    <w:p>
      <w:r>
        <w:rPr>
          <w:b/>
        </w:rPr>
        <w:t xml:space="preserve">Ergebnis: </w:t>
      </w:r>
      <w:r>
        <w:t>Impfeffektivität gegen Influenza insgesamt 46,0% (95%-KI 39,7–51,8%), höher bei Kindern 2-17 Jahren (60,8%, 48,3–70,5%) als Erwachsenen 18-64 Jahren (40,5%, 24,9–53,2%) oder ≥65 Jahren (42,3%, 33,2–50,1%). Gegen Influenza-B: 76,4% (64,9–84,7%). Effektivität gegen A(H1) 44,3%, gegen A(H3) 49,9%. Die Wirksamkeit war höchsten 2-8 Wochen post-Impfung (51,9%) und nahm ab.</w:t>
      </w:r>
    </w:p>
    <w:p>
      <w:r>
        <w:rPr>
          <w:b/>
          <w:sz w:val="19"/>
        </w:rPr>
        <w:t xml:space="preserve">Übertragbarkeit: </w:t>
      </w:r>
      <w:r>
        <w:rPr>
          <w:sz w:val="19"/>
        </w:rPr>
        <w:t>UK-Daten, vergleichbar mit deutschem Gesundheitssystem</w:t>
      </w:r>
    </w:p>
    <w:p>
      <w:r>
        <w:rPr>
          <w:color w:val="5A7D3A"/>
          <w:sz w:val="18"/>
        </w:rPr>
        <w:t>https://pubmed.ncbi.nlm.nih.gov/42560010/</w:t>
      </w:r>
    </w:p>
    <w:p>
      <w:pPr>
        <w:pStyle w:val="Heading2"/>
      </w:pPr>
      <w:r>
        <w:t>Impfluecken bei Kindern in Deutschland: Sozioökonomische Unterschiede und Rolle des Versorgungstyps</w:t>
      </w:r>
    </w:p>
    <w:p>
      <w:r>
        <w:rPr>
          <w:i/>
          <w:color w:val="666666"/>
          <w:sz w:val="18"/>
        </w:rPr>
        <w:t>Nussbaum C et al.  ·  BMC Med  ·  04.08.2026  ·  PMID 42557557</w:t>
      </w:r>
    </w:p>
    <w:p>
      <w:r>
        <w:t>Analyse von 430.000 Kindern aus Versicherungsdaten 2016-2019 zur Erfassung von Impfquoten und sozioökonomischen Gradienten bei von STIKO empfohlenen Impfungen.</w:t>
      </w:r>
    </w:p>
    <w:p>
      <w:r>
        <w:rPr>
          <w:b/>
        </w:rPr>
        <w:t xml:space="preserve">Ergebnis: </w:t>
      </w:r>
      <w:r>
        <w:t>Etwa 80% der empfohlenen Impfserien waren vollständig und rechtzeitig durchgeführt. Ein kleiner, aber signifikanter sozioökonomischer Gradient zugunsten höherer Einkommen zeigte sich (Konzentrationsindex 0,024). Der Anbietertyp erklärt den größten Teil des Gradienten: Hausarztpraxen hatten niedrigere Abschlussquoten als Kinderarztpraxen. Reisezeit trug weniger bei.</w:t>
      </w:r>
    </w:p>
    <w:p>
      <w:r>
        <w:rPr>
          <w:b/>
          <w:sz w:val="19"/>
        </w:rPr>
        <w:t xml:space="preserve">Übertragbarkeit: </w:t>
      </w:r>
      <w:r>
        <w:rPr>
          <w:sz w:val="19"/>
        </w:rPr>
        <w:t>Deutsche Krankenkassendaten, vergleichbare Dokumentationspflichten</w:t>
      </w:r>
    </w:p>
    <w:p>
      <w:r>
        <w:rPr>
          <w:color w:val="5A7D3A"/>
          <w:sz w:val="18"/>
        </w:rPr>
        <w:t>https://pubmed.ncbi.nlm.nih.gov/42557557/</w:t>
      </w:r>
    </w:p>
    <w:p>
      <w:pPr>
        <w:pStyle w:val="Heading2"/>
      </w:pPr>
      <w:r>
        <w:t>Keuchhusten-Impfeffektivität im Säuglingsalter in den Niederlanden: 98,2% Schutz bei vollständiger Impfung</w:t>
      </w:r>
    </w:p>
    <w:p>
      <w:r>
        <w:rPr>
          <w:i/>
          <w:color w:val="666666"/>
          <w:sz w:val="18"/>
        </w:rPr>
        <w:t>van Meijeren DL et al.  ·  Vaccine  ·  13.08.2026  ·  PMID 42526173</w:t>
      </w:r>
    </w:p>
    <w:p>
      <w:r>
        <w:t>Fall-Kontroll-Studie mit 1.156 Fällen und 4.624 Kontrollen (laborbestätigt, 12-35 Monate, 2013-2024) zur Wirksamkeit der Grundimmunisierung gegen Pertussis.</w:t>
      </w:r>
    </w:p>
    <w:p>
      <w:r>
        <w:rPr>
          <w:b/>
        </w:rPr>
        <w:t xml:space="preserve">Ergebnis: </w:t>
      </w:r>
      <w:r>
        <w:t>Gesamteffektivität 98,2% (95%-KI 97,6–98,6) bei vollständiger Impfung, nach der Screening-Methode 96,4% (95%-KI 95,9–96,8). Von den Fällen waren 27% vollständig geimpft, von den Kontrollen 89%. Die Wirksamkeit nahm mit der Zeit seit der Impfung ab (p&lt;0,001), in der Programmphase mit dem älteren DT3aP-Impfstoff etwas stärker als danach.</w:t>
      </w:r>
    </w:p>
    <w:p>
      <w:r>
        <w:rPr>
          <w:b/>
          <w:sz w:val="19"/>
        </w:rPr>
        <w:t xml:space="preserve">Übertragbarkeit: </w:t>
      </w:r>
      <w:r>
        <w:rPr>
          <w:sz w:val="19"/>
        </w:rPr>
        <w:t>Niederlande, vergleichbares Versicherungssystem und Vakzine</w:t>
      </w:r>
    </w:p>
    <w:p>
      <w:r>
        <w:rPr>
          <w:color w:val="5A7D3A"/>
          <w:sz w:val="18"/>
        </w:rPr>
        <w:t>https://pubmed.ncbi.nlm.nih.gov/42526173/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Impfen und Praevention</dc:title>
  <dc:subject/>
  <dc:creator>Monitor Versorgungsforschung</dc:creator>
  <cp:keywords/>
  <dc:description>generated by python-docx</dc:description>
  <cp:lastModifiedBy/>
  <cp:revision>1</cp:revision>
  <dcterms:created xsi:type="dcterms:W3CDTF">2026-10-26T06:00:00Z</dcterms:created>
  <dcterms:modified xsi:type="dcterms:W3CDTF">2026-10-26T06:00:00Z</dcterms:modified>
  <cp:category/>
</cp:coreProperties>
</file>