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Impfpraevention</w:t>
      </w:r>
    </w:p>
    <w:p>
      <w:r>
        <w:rPr>
          <w:i/>
          <w:color w:val="666666"/>
          <w:sz w:val="18"/>
        </w:rPr>
        <w:t>Stand: 20.09.2026  |  172 Studien  |  impfen.m-vf.de</w:t>
      </w:r>
    </w:p>
    <w:p>
      <w:pPr>
        <w:pStyle w:val="Heading1"/>
      </w:pPr>
      <w:r>
        <w:t>Aufgenommen am 20.09.2026</w:t>
      </w:r>
    </w:p>
    <w:p>
      <w:pPr>
        <w:pStyle w:val="Heading2"/>
      </w:pPr>
      <w:r>
        <w:t>COVID-19-Impfquote bei Lebertransplantierten: 84,9% mit stabiler psychosozialer Gesundheit</w:t>
      </w:r>
    </w:p>
    <w:p>
      <w:r>
        <w:rPr>
          <w:i/>
          <w:color w:val="666666"/>
          <w:sz w:val="18"/>
        </w:rPr>
        <w:t>Akbulut S et al.  ·  Front Public Health  ·  04.09.2026  ·  PMID 42761137</w:t>
      </w:r>
    </w:p>
    <w:p>
      <w:r>
        <w:t>Querschnittsstudie von 311 Lebertransplantierten in der Türkei zu Impfstatus, Impfakzeptanz, Hesitanz, Präventionsverhalten und psychosozialer Gesundheit.</w:t>
      </w:r>
    </w:p>
    <w:p>
      <w:r>
        <w:rPr>
          <w:b/>
        </w:rPr>
        <w:t xml:space="preserve">Ergebnis: </w:t>
      </w:r>
      <w:r>
        <w:t>84,9% Impfquote; Hauptgründe: Empfehlungen von Fachleuten (p=n.s.), wahrgenommene höhere Mortalität chronisch Kranker. Hesitanz wegen unzureichender Effektivitäts- und Sicherheitsdaten, Anti-Impf-Inhalte in sozialen Medien. Psychosoziales Wohlbefinden assoziiert mit Einkommen, Immunsuppression und Informationsquellen; Impfstatus nicht robust mit Risikoperzeption assoziiert.</w:t>
      </w:r>
    </w:p>
    <w:p>
      <w:r>
        <w:rPr>
          <w:b/>
          <w:sz w:val="19"/>
        </w:rPr>
        <w:t xml:space="preserve">Übertragbarkeit: </w:t>
      </w:r>
      <w:r>
        <w:rPr>
          <w:sz w:val="19"/>
        </w:rPr>
        <w:t>Türkei, aber Erkenntnisse zu Impfakzeptanz in Hochrisiko-Kohorten übertragbar</w:t>
      </w:r>
    </w:p>
    <w:p>
      <w:r>
        <w:rPr>
          <w:color w:val="5A7D3A"/>
          <w:sz w:val="18"/>
        </w:rPr>
        <w:t>https://pubmed.ncbi.nlm.nih.gov/42761137/</w:t>
      </w:r>
    </w:p>
    <w:p>
      <w:pPr>
        <w:pStyle w:val="Heading2"/>
      </w:pPr>
      <w:r>
        <w:t>HSV-1-Infektion nach Grippeimpfung: Kasuistik einer zeitlichen Assoziation</w:t>
      </w:r>
    </w:p>
    <w:p>
      <w:r>
        <w:rPr>
          <w:i/>
          <w:color w:val="666666"/>
          <w:sz w:val="18"/>
        </w:rPr>
        <w:t>Liu YH et al.  ·  Hum Vaccin Immunother  ·  18.09.2026  ·  PMID 42757534</w:t>
      </w:r>
    </w:p>
    <w:p>
      <w:r>
        <w:t>Fallbericht eines 28-Jährigen mit multifokaler HSV-1-Infektion sieben Tage nach Influenzaimpfung ohne bekannte Immunsuppression.</w:t>
      </w:r>
    </w:p>
    <w:p>
      <w:r>
        <w:rPr>
          <w:b/>
        </w:rPr>
        <w:t xml:space="preserve">Ergebnis: </w:t>
      </w:r>
      <w:r>
        <w:t>PCR bestätigte HSV-1-DNA in Läsionen; vollständige klinische Remission nach intravenösem Acyclovir. Kausalität kann nicht etabliert werden, zeitliche Nähe ist jedoch bemerkenswert; Differentialdiagnose sollte HSV-Infektionen nach Impfung einbeziehen, ohne Kausalität zu implizieren.</w:t>
      </w:r>
    </w:p>
    <w:p>
      <w:r>
        <w:rPr>
          <w:b/>
          <w:sz w:val="19"/>
        </w:rPr>
        <w:t xml:space="preserve">Übertragbarkeit: </w:t>
      </w:r>
      <w:r>
        <w:rPr>
          <w:sz w:val="19"/>
        </w:rPr>
        <w:t>Deutschland, klinische Einzelfallbeobachtung in Versorgungspraxis relevant</w:t>
      </w:r>
    </w:p>
    <w:p>
      <w:r>
        <w:rPr>
          <w:color w:val="5A7D3A"/>
          <w:sz w:val="18"/>
        </w:rPr>
        <w:t>https://pubmed.ncbi.nlm.nih.gov/42757534/</w:t>
      </w:r>
    </w:p>
    <w:p>
      <w:pPr>
        <w:pStyle w:val="Heading2"/>
      </w:pPr>
      <w:r>
        <w:t>Sabin-IPV in Erwachsenen: Sicherheitsprofil gleichwertig mit konventionellem Polio-Impfstoff</w:t>
      </w:r>
    </w:p>
    <w:p>
      <w:r>
        <w:rPr>
          <w:i/>
          <w:color w:val="666666"/>
          <w:sz w:val="18"/>
        </w:rPr>
        <w:t>Hussain M et al.  ·  Front Public Health  ·  03.09.2026  ·  PMID 42755970</w:t>
      </w:r>
    </w:p>
    <w:p>
      <w:r>
        <w:t>Systematische Übersicht und Meta-Analyse von vier RCTs (70–340 Teilnehmer) zum Vergleich der Sicherheit von Sabin-abgeleiteter inaktivierter Poliovirus-Impfung (sIPV) mit konventioneller IPV bei Erwachsenen als Auffrischung.</w:t>
      </w:r>
    </w:p>
    <w:p>
      <w:r>
        <w:rPr>
          <w:b/>
        </w:rPr>
        <w:t xml:space="preserve">Ergebnis: </w:t>
      </w:r>
      <w:r>
        <w:t>Kein statistisch signifikanter Unterschied in unerwünschten Ereignissen: Schmerz (RR 1,57; 95%-KI 0,98–2,50), Erythem (RR 1,54; 95%-KI 0,64–3,69), Fieber (RR 0,96; 95%-KI 0,39–2,33). Heterogenität I²=0%. Nebenwirkungen mild und transient, die meisten Studien berichteten keine ernstlichen unerwünschten Ereignisse. Evidenzsicherheit niedrig bis sehr niedrig wegen kleiner Stichproben.</w:t>
      </w:r>
    </w:p>
    <w:p>
      <w:r>
        <w:rPr>
          <w:b/>
          <w:sz w:val="19"/>
        </w:rPr>
        <w:t xml:space="preserve">Übertragbarkeit: </w:t>
      </w:r>
      <w:r>
        <w:rPr>
          <w:sz w:val="19"/>
        </w:rPr>
        <w:t>Evidenz aus RCTs, aber kleine Fallzahlen; sIPV-Zulassung in Deutschland prüfen</w:t>
      </w:r>
    </w:p>
    <w:p>
      <w:r>
        <w:rPr>
          <w:color w:val="5A7D3A"/>
          <w:sz w:val="18"/>
        </w:rPr>
        <w:t>https://pubmed.ncbi.nlm.nih.gov/42755970/</w:t>
      </w:r>
    </w:p>
    <w:p>
      <w:pPr>
        <w:pStyle w:val="Heading2"/>
      </w:pPr>
      <w:r>
        <w:t>mRNA-Impfung bei Post-COVID: Funktionelle Besserung unabhängig vom Impfstatus</w:t>
      </w:r>
    </w:p>
    <w:p>
      <w:r>
        <w:rPr>
          <w:i/>
          <w:color w:val="666666"/>
          <w:sz w:val="18"/>
        </w:rPr>
        <w:t>Pries P et al.  ·  Expert Rev Vaccines  ·  17.09.2026  ·  PMID 42755271</w:t>
      </w:r>
    </w:p>
    <w:p>
      <w:r>
        <w:t>Retrospektive Kohortenstudie zur Frage, ob mRNA-SARS-CoV-2-Impfungen bei Patienten mit Langzeit-COVID (PASC) Symptome verschlimmern oder die Genesung beeinträchtigen.</w:t>
      </w:r>
    </w:p>
    <w:p>
      <w:r>
        <w:rPr>
          <w:b/>
        </w:rPr>
        <w:t xml:space="preserve">Ergebnis: </w:t>
      </w:r>
      <w:r>
        <w:t>174 geimpfte und ungeimpfte PASC-Patienten zeigten nach 3–6 Monaten in beiden Gruppen signifikante Verbesserungen bei Müdigkeit und Leistungsfähigkeit; kein statistisch signifikanter Unterschied zwischen Gruppen. Die Studie findet keine Evidenz für eine Verschlechterung durch Impfung, kleinere Effekte sind aber nicht ausgeschlossen.</w:t>
      </w:r>
    </w:p>
    <w:p>
      <w:r>
        <w:rPr>
          <w:b/>
          <w:sz w:val="19"/>
        </w:rPr>
        <w:t xml:space="preserve">Übertragbarkeit: </w:t>
      </w:r>
      <w:r>
        <w:rPr>
          <w:sz w:val="19"/>
        </w:rPr>
        <w:t>Deutschland, vergleichbare Gesundheitssysteme, ambulante Langzeit-COVID-Versorgung</w:t>
      </w:r>
    </w:p>
    <w:p>
      <w:r>
        <w:rPr>
          <w:color w:val="5A7D3A"/>
          <w:sz w:val="18"/>
        </w:rPr>
        <w:t>https://pubmed.ncbi.nlm.nih.gov/42755271/</w:t>
      </w:r>
    </w:p>
    <w:p>
      <w:pPr>
        <w:pStyle w:val="Heading2"/>
      </w:pPr>
      <w:r>
        <w:t>BCG-Immuntherapie bei Typ-1-Diabetes: Glukosemetabolismus korrigiert, HbA1c-Reduktion 8 Jahre stabil</w:t>
      </w:r>
    </w:p>
    <w:p>
      <w:r>
        <w:rPr>
          <w:i/>
          <w:color w:val="666666"/>
          <w:sz w:val="18"/>
        </w:rPr>
        <w:t>Faustman DL et al.  ·  Cells  ·  03.09.2026  ·  PMID 42738899</w:t>
      </w:r>
    </w:p>
    <w:p>
      <w:r>
        <w:t>Übersichtsarbeit zu klinischen Studien und mechanistischen Arbeiten über multi-Dosis-BCG-Immuntherapie bei Typ-1-Diabetes (T1D) und latent autoimmune diabetes in adults (LADA) über 15 Jahre.</w:t>
      </w:r>
    </w:p>
    <w:p>
      <w:r>
        <w:rPr>
          <w:b/>
        </w:rPr>
        <w:t xml:space="preserve">Ergebnis: </w:t>
      </w:r>
      <w:r>
        <w:t>T1D: Multiple klinische Studien zeigen stabile, wiederholte Reduktionen des HbA1c zu nahezu normalen Werten (vs. Placebo) für mindestens 8 Jahre, ohne Wiederherstellung der Pankreasfunction. Mechanismus: BCG-induzierte Korrektur von aerober Glykolyse-Defekten in lymphoiden/myeloiden Zellen → erhöhter Glukoseaufnahme nachgewiesen durch Langzeit-PET/CT. LADA: Minimale oder fehlende klinische Verbesserung; aber BCG reduziert Entzündung und fördert regulatorische T-Zellen. Epigenetische Umgestaltung ohne Genotyp-Änderung.</w:t>
      </w:r>
    </w:p>
    <w:p>
      <w:r>
        <w:rPr>
          <w:b/>
          <w:sz w:val="19"/>
        </w:rPr>
        <w:t xml:space="preserve">Übertragbarkeit: </w:t>
      </w:r>
      <w:r>
        <w:rPr>
          <w:sz w:val="19"/>
        </w:rPr>
        <w:t>USA-Studien mit deutschen Kliniken; Diabetes-Versorgung übertragbar</w:t>
      </w:r>
    </w:p>
    <w:p>
      <w:r>
        <w:rPr>
          <w:color w:val="5A7D3A"/>
          <w:sz w:val="18"/>
        </w:rPr>
        <w:t>https://pubmed.ncbi.nlm.nih.gov/42738899/</w:t>
      </w:r>
    </w:p>
    <w:p>
      <w:pPr>
        <w:pStyle w:val="Heading2"/>
      </w:pPr>
      <w:r>
        <w:t>BCG-Impfung bei Kindern: Genetische Varianten in Entzündungsproteinen zeigen Interaktion mit Impfantwort</w:t>
      </w:r>
    </w:p>
    <w:p>
      <w:r>
        <w:rPr>
          <w:i/>
          <w:color w:val="666666"/>
          <w:sz w:val="18"/>
        </w:rPr>
        <w:t>Boahen CK et al.  ·  Biomed Pharmacother  ·  13.08.2026  ·  PMID 42594746</w:t>
      </w:r>
    </w:p>
    <w:p>
      <w:r>
        <w:t>Genom-weites pQTL-Mapping (Protein-Quantitative-Trait-Loci) von 65 zirkulierenden Entzündungsproteinen bei Monat 13 post-BCG-Impfung in dänischen Kindern zur Identifikation genetischer Varianten, die die Immunantwort beeinflussen.</w:t>
      </w:r>
    </w:p>
    <w:p>
      <w:r>
        <w:rPr>
          <w:b/>
        </w:rPr>
        <w:t xml:space="preserve">Ergebnis: </w:t>
      </w:r>
      <w:r>
        <w:t>11 unabhängige genomweit signifikante Loci identifiziert. Vier pQTL zeigten Evidenz für Genotyp-by-BCG-Interaktionen (rs10217747: CXCL11, rs13187850: CD6, rs56283092: LAP-TGF-β1, rs11708321: CDCP1) mit größeren Effektschätzungen in BCG-Gruppe. Diese Varianten wurden zuvor mit Entzündungs- und Autoimmun-Traits assoziiert. Befunde sind explorativ und hypothesengenerierend, erfordern weitere Validierung.</w:t>
      </w:r>
    </w:p>
    <w:p>
      <w:r>
        <w:rPr>
          <w:b/>
          <w:sz w:val="19"/>
        </w:rPr>
        <w:t xml:space="preserve">Übertragbarkeit: </w:t>
      </w:r>
      <w:r>
        <w:rPr>
          <w:sz w:val="19"/>
        </w:rPr>
        <w:t>Dänemark, Gesundheitssystem vergleichbar; nationale BCG-Impfquoten-Registry vorhanden</w:t>
      </w:r>
    </w:p>
    <w:p>
      <w:r>
        <w:rPr>
          <w:color w:val="5A7D3A"/>
          <w:sz w:val="18"/>
        </w:rPr>
        <w:t>https://pubmed.ncbi.nlm.nih.gov/42594746/</w:t>
      </w:r>
    </w:p>
    <w:p>
      <w:pPr>
        <w:pStyle w:val="Heading1"/>
      </w:pPr>
      <w:r>
        <w:t>Aufgenommen am 19.09.2026</w:t>
      </w:r>
    </w:p>
    <w:p>
      <w:pPr>
        <w:pStyle w:val="Heading2"/>
      </w:pPr>
      <w:r>
        <w:t>Maschinenlernen identifiziert Null-Dosis-Kinder in Subsahara-Afrika</w:t>
      </w:r>
    </w:p>
    <w:p>
      <w:r>
        <w:rPr>
          <w:i/>
          <w:color w:val="666666"/>
          <w:sz w:val="18"/>
        </w:rPr>
        <w:t>Endehabtu BF et al.  ·  BMJ Health Care Inform  ·  18.09.2026  ·  PMID 42759970</w:t>
      </w:r>
    </w:p>
    <w:p>
      <w:r>
        <w:t>Prädiktives Modellentwicklungs-Projekt mit Daten von 27 subsaharischen Ländern (Demographic Health Survey 2016–2024) zur Risikoidentifikation von Kindern ohne Impfung.</w:t>
      </w:r>
    </w:p>
    <w:p>
      <w:r>
        <w:rPr>
          <w:b/>
        </w:rPr>
        <w:t xml:space="preserve">Ergebnis: </w:t>
      </w:r>
      <w:r>
        <w:t>LightGBM-Modell zeigte beste Gesamtleistung: 80 % Genauigkeit, 91 % Sensitivität, AUROC 0,78. Wichtigste Prädiktoren: Entbindungsort, Geburtsvorkontakten, Mutter-Tetanus-Impfung, Haushaltsvermögen, mütterliche Bildung. Ermöglicht frühe Risikoidentifikation.</w:t>
      </w:r>
    </w:p>
    <w:p>
      <w:r>
        <w:rPr>
          <w:b/>
          <w:sz w:val="19"/>
        </w:rPr>
        <w:t xml:space="preserve">Übertragbarkeit: </w:t>
      </w:r>
      <w:r>
        <w:rPr>
          <w:sz w:val="19"/>
        </w:rPr>
        <w:t>Subsahara-Afrika, digitales Tooldesign auf Länder mit WHO DHSatz übertragbar.</w:t>
      </w:r>
    </w:p>
    <w:p>
      <w:r>
        <w:rPr>
          <w:color w:val="5A7D3A"/>
          <w:sz w:val="18"/>
        </w:rPr>
        <w:t>https://pubmed.ncbi.nlm.nih.gov/42759970/</w:t>
      </w:r>
    </w:p>
    <w:p>
      <w:pPr>
        <w:pStyle w:val="Heading2"/>
      </w:pPr>
      <w:r>
        <w:t>RSV-Impfeffektivität bei älteren Erwachsenen in den USA zeigt hohe Wirksamkeit</w:t>
      </w:r>
    </w:p>
    <w:p>
      <w:r>
        <w:rPr>
          <w:i/>
          <w:color w:val="666666"/>
          <w:sz w:val="18"/>
        </w:rPr>
        <w:t>Lu Y et al.  ·  JAMA Netw Open  ·  01.09.2026  ·  PMID 42758507</w:t>
      </w:r>
    </w:p>
    <w:p>
      <w:r>
        <w:t>Nationale Kohortenstudie zur klinischen Wirksamkeit zweier RSV-Impfstoffe bei Medicare-Patienten ab 65 Jahren in der ersten Saison nach Zulassung (August 2023 bis März 2024).</w:t>
      </w:r>
    </w:p>
    <w:p>
      <w:r>
        <w:rPr>
          <w:b/>
        </w:rPr>
        <w:t xml:space="preserve">Ergebnis: </w:t>
      </w:r>
      <w:r>
        <w:t>RSVPreF3+AS01 und RSVpreF hatten eine Effektivität von 81,8 % (95-%-KI 80,0–83,4 %) gegen RSV-bedingte Hospitalisierungen und 85,0 % gegen RSV-bedingte Todesfälle. Brand-spezifisch: RSVPreF3+AS01 79,9 %, RSVpreF 85,1 %. Bei immungeschwächten Personen 72,2 %. Wirksam über alle Altersgruppen ab 65 Jahren.</w:t>
      </w:r>
    </w:p>
    <w:p>
      <w:r>
        <w:rPr>
          <w:b/>
          <w:sz w:val="19"/>
        </w:rPr>
        <w:t xml:space="preserve">Übertragbarkeit: </w:t>
      </w:r>
      <w:r>
        <w:rPr>
          <w:sz w:val="19"/>
        </w:rPr>
        <w:t>Medicare-Daten, vergleichbare Dokumentationspflichten wie Deutschland.</w:t>
      </w:r>
    </w:p>
    <w:p>
      <w:r>
        <w:rPr>
          <w:color w:val="5A7D3A"/>
          <w:sz w:val="18"/>
        </w:rPr>
        <w:t>https://pubmed.ncbi.nlm.nih.gov/42758507/</w:t>
      </w:r>
    </w:p>
    <w:p>
      <w:pPr>
        <w:pStyle w:val="Heading2"/>
      </w:pPr>
      <w:r>
        <w:t>Impfbefürwortung durch Fachpersonal: Trainingseffekt bei Hebammen und Pflegekräften</w:t>
      </w:r>
    </w:p>
    <w:p>
      <w:r>
        <w:rPr>
          <w:i/>
          <w:color w:val="666666"/>
          <w:sz w:val="18"/>
        </w:rPr>
        <w:t>Tiryaki Ö  ·  Biomedica  ·  20.08.2026  ·  PMID 42757794</w:t>
      </w:r>
    </w:p>
    <w:p>
      <w:r>
        <w:t>Quasi-experimentelle Studie mit Vorher-Nachher-Messung zur Wirkung eines Impfaufklärungstrainings auf die Impfbefürwortung bei 249 Hebammen und Pflegekräften.</w:t>
      </w:r>
    </w:p>
    <w:p>
      <w:r>
        <w:rPr>
          <w:b/>
        </w:rPr>
        <w:t xml:space="preserve">Ergebnis: </w:t>
      </w:r>
      <w:r>
        <w:t>Vaccine Advocacy Scale für Kinderimpfungen stieg signifikant von 45,19 ± 2,85 vor auf 46,95 ± 1,99 Punkte nach dem Training (Wilcoxon p = 0,000). Effekt niedrig, aber statistisch robust; Ausgangsniveau bereits hoch.</w:t>
      </w:r>
    </w:p>
    <w:p>
      <w:r>
        <w:rPr>
          <w:b/>
          <w:sz w:val="19"/>
        </w:rPr>
        <w:t xml:space="preserve">Übertragbarkeit: </w:t>
      </w:r>
      <w:r>
        <w:rPr>
          <w:sz w:val="19"/>
        </w:rPr>
        <w:t>Türkisches Setting, Pflegekräfte-Schulung auf Deutschland übertragbar.</w:t>
      </w:r>
    </w:p>
    <w:p>
      <w:r>
        <w:rPr>
          <w:color w:val="5A7D3A"/>
          <w:sz w:val="18"/>
        </w:rPr>
        <w:t>https://pubmed.ncbi.nlm.nih.gov/42757794/</w:t>
      </w:r>
    </w:p>
    <w:p>
      <w:pPr>
        <w:pStyle w:val="Heading2"/>
      </w:pPr>
      <w:r>
        <w:t>RSVPreF3-Impfstoff bei älteren Chinesen immunogenetisch gleichwertig zu globaler Population</w:t>
      </w:r>
    </w:p>
    <w:p>
      <w:r>
        <w:rPr>
          <w:i/>
          <w:color w:val="666666"/>
          <w:sz w:val="18"/>
        </w:rPr>
        <w:t>Guo X et al.  ·  Front Immunol  ·  03.09.2026  ·  PMID 42756146</w:t>
      </w:r>
    </w:p>
    <w:p>
      <w:r>
        <w:t>Phase-3-Immunbrückungs-Studie zur Nichtunterlegenheit von RSVPreF3 bei ≥60-jährigen chinesischen Erwachsenen gegenüber internationaler Vergleichsgruppe (6 Länder).</w:t>
      </w:r>
    </w:p>
    <w:p>
      <w:r>
        <w:rPr>
          <w:b/>
        </w:rPr>
        <w:t xml:space="preserve">Ergebnis: </w:t>
      </w:r>
      <w:r>
        <w:t>Nichtunterlegenheitskriterien erfüllt: GMT-Verhältnisse für RSV-A/B 1,20/1,10 (akzeptabel ≤1,5), Seroresponse-Unterschiede 3,40 %/4,89 % (akzeptabel ≤10 %). RSV-A/B-Neutralisationstiter 5523/8073 ED60 (China), 6605/8286 (Ausland). Lokale Nebenwirkungen meist mild-moderat, Ernsthaftigkeit niedrig (0,2–0,3 % immune-vermittelt).</w:t>
      </w:r>
    </w:p>
    <w:p>
      <w:r>
        <w:rPr>
          <w:b/>
          <w:sz w:val="19"/>
        </w:rPr>
        <w:t xml:space="preserve">Übertragbarkeit: </w:t>
      </w:r>
      <w:r>
        <w:rPr>
          <w:sz w:val="19"/>
        </w:rPr>
        <w:t>China, aber Immunogenität-Ergebnis zur Globalität des Impfstoffs übertra gbar.</w:t>
      </w:r>
    </w:p>
    <w:p>
      <w:r>
        <w:rPr>
          <w:color w:val="5A7D3A"/>
          <w:sz w:val="18"/>
        </w:rPr>
        <w:t>https://pubmed.ncbi.nlm.nih.gov/42756146/</w:t>
      </w:r>
    </w:p>
    <w:p>
      <w:pPr>
        <w:pStyle w:val="Heading2"/>
      </w:pPr>
      <w:r>
        <w:t>Impfgerechtigkeit als Planungsprinzip: Lehren aus der COVID-19-Pandemie</w:t>
      </w:r>
    </w:p>
    <w:p>
      <w:r>
        <w:rPr>
          <w:i/>
          <w:color w:val="666666"/>
          <w:sz w:val="18"/>
        </w:rPr>
        <w:t>Ghafari M et al.  ·  Expert Rev Vaccines  ·  16.09.2026  ·  PMID 42750274</w:t>
      </w:r>
    </w:p>
    <w:p>
      <w:r>
        <w:t>Synthesearbeit von Literatur und Politikberichten zu globalen Impfstoff-Rollouts, insbesondere über Verteilungsszenarien, Beschaffung und dezentralisierte Herstellung.</w:t>
      </w:r>
    </w:p>
    <w:p>
      <w:r>
        <w:rPr>
          <w:b/>
        </w:rPr>
        <w:t xml:space="preserve">Ergebnis: </w:t>
      </w:r>
      <w:r>
        <w:t>COVID-19 zeigte: Schnelle Entwicklung ohne Gerechtigkeitsplanung schuf vermeidbare Schäden. Lösungen sind geografisch verteilte Herstellung, vorab vereinbarte epidemiologisch gesteuerte Zuteilung, transparente Datenaustausch und Neutralisierung kommerzieller Verzerrungen. Empfehlung: Institutionalisierte disaggregierte Berichterstattung und standardisierte Daten-Sharing.</w:t>
      </w:r>
    </w:p>
    <w:p>
      <w:r>
        <w:rPr>
          <w:b/>
          <w:sz w:val="19"/>
        </w:rPr>
        <w:t xml:space="preserve">Übertragbarkeit: </w:t>
      </w:r>
      <w:r>
        <w:rPr>
          <w:sz w:val="19"/>
        </w:rPr>
        <w:t>Europäisches und Schweizer System, Prinzipien auf DACH übertragbar.</w:t>
      </w:r>
    </w:p>
    <w:p>
      <w:r>
        <w:rPr>
          <w:color w:val="5A7D3A"/>
          <w:sz w:val="18"/>
        </w:rPr>
        <w:t>https://pubmed.ncbi.nlm.nih.gov/42750274/</w:t>
      </w:r>
    </w:p>
    <w:p>
      <w:pPr>
        <w:pStyle w:val="Heading2"/>
      </w:pPr>
      <w:r>
        <w:t>Inaktivierter Rotavirus-Impfstoff: Sicherheit und Immunogenität bei Kleinkindern</w:t>
      </w:r>
    </w:p>
    <w:p>
      <w:r>
        <w:rPr>
          <w:i/>
          <w:color w:val="666666"/>
          <w:sz w:val="18"/>
        </w:rPr>
        <w:t>Zhou Y et al.  ·  Nat Commun  ·  14.08.2026  ·  PMID 42733081</w:t>
      </w:r>
    </w:p>
    <w:p>
      <w:r>
        <w:t>Randomisierte, placebokontrollierte Phase-1-Studie zur Dosis-Eskalation von Rotavirus-Impfstoff bei 288 Kindern 2–71 Monate ohne vorherige Rotavirus-Impfung.</w:t>
      </w:r>
    </w:p>
    <w:p>
      <w:r>
        <w:rPr>
          <w:b/>
        </w:rPr>
        <w:t xml:space="preserve">Ergebnis: </w:t>
      </w:r>
      <w:r>
        <w:t>Keine impfstoffbezogenen SAEs; transiente Mild-bis-Mäßig-Fieber nur in Hochdosis-Säuglings-Gruppe (klinisch handhabbar). Neutralisierende Antikörper-GMT dose-abhängig erhöht. 3-Dosis-Säugling-Gruppe (320 EU): GMT 551,98 vs. 36,17 (Placebo), Serokonversionsrate 83,33 % vs. 10 %. 3-Dosis-Schema überlegen 2-Dosis.</w:t>
      </w:r>
    </w:p>
    <w:p>
      <w:r>
        <w:rPr>
          <w:b/>
          <w:sz w:val="19"/>
        </w:rPr>
        <w:t xml:space="preserve">Übertragbarkeit: </w:t>
      </w:r>
      <w:r>
        <w:rPr>
          <w:sz w:val="19"/>
        </w:rPr>
        <w:t>Chinesische Studie, Sicherheits- und Immunogenitätsdaten auf frühe Klinische Phasen übertragbar.</w:t>
      </w:r>
    </w:p>
    <w:p>
      <w:r>
        <w:rPr>
          <w:color w:val="5A7D3A"/>
          <w:sz w:val="18"/>
        </w:rPr>
        <w:t>https://pubmed.ncbi.nlm.nih.gov/42733081/</w:t>
      </w:r>
    </w:p>
    <w:p>
      <w:pPr>
        <w:pStyle w:val="Heading1"/>
      </w:pPr>
      <w:r>
        <w:t>Aufgenommen am 18.09.2026</w:t>
      </w:r>
    </w:p>
    <w:p>
      <w:pPr>
        <w:pStyle w:val="Heading2"/>
      </w:pPr>
      <w:r>
        <w:t>RSV-Hospitalisierungen vor Impfstoffeinführung: Altersgruppen und Datenlücken</w:t>
      </w:r>
    </w:p>
    <w:p>
      <w:r>
        <w:rPr>
          <w:i/>
          <w:color w:val="666666"/>
          <w:sz w:val="18"/>
        </w:rPr>
        <w:t>Imai-Boulter C et al.  ·  Med J Aust  ·  Sept. 2026  ·  PMID 42754405</w:t>
      </w:r>
    </w:p>
    <w:p>
      <w:r>
        <w:t>Retrospektive bevölkerungsbasierte Studie zur RSV-Krankheitslast in Australien vor Immunisierungsstart (2016–2019 Hospitalisierungen, 2023 Labor-Meldungen).</w:t>
      </w:r>
    </w:p>
    <w:p>
      <w:r>
        <w:rPr>
          <w:b/>
        </w:rPr>
        <w:t xml:space="preserve">Ergebnis: </w:t>
      </w:r>
      <w:r>
        <w:t>Hospitalisierungen bei &lt;3 Monaten alt: 4014/100000, bei ≥65 Jahren: 122/100000 (steigende Tendenz); 55 % der Bronchiolitiden mit ungeklärter Ursache; Labor-Meldungen höchst bei 6–11 Monaten (7778/100000). Zeigt Datenlücken bei Fallerfassung und Testfrequenz.</w:t>
      </w:r>
    </w:p>
    <w:p>
      <w:r>
        <w:rPr>
          <w:b/>
          <w:sz w:val="19"/>
        </w:rPr>
        <w:t xml:space="preserve">Übertragbarkeit: </w:t>
      </w:r>
      <w:r>
        <w:rPr>
          <w:sz w:val="19"/>
        </w:rPr>
        <w:t>Australien (Versorgungsdaten verfügbar); ähnliche Datenstrukturen in Deutschland schwächer (kein nationales Impfregister).</w:t>
      </w:r>
    </w:p>
    <w:p>
      <w:r>
        <w:rPr>
          <w:color w:val="5A7D3A"/>
          <w:sz w:val="18"/>
        </w:rPr>
        <w:t>https://pubmed.ncbi.nlm.nih.gov/42754405/</w:t>
      </w:r>
    </w:p>
    <w:p>
      <w:pPr>
        <w:pStyle w:val="Heading2"/>
      </w:pPr>
      <w:r>
        <w:t>MZB1-Spiegel sagen Langzeitschutz nach Hepatitis-B-Impfung voraus</w:t>
      </w:r>
    </w:p>
    <w:p>
      <w:r>
        <w:rPr>
          <w:i/>
          <w:color w:val="666666"/>
          <w:sz w:val="18"/>
        </w:rPr>
        <w:t>Huang ML et al.  ·  Front Immunol  ·  02.09.2026  ·  PMID 42751130</w:t>
      </w:r>
    </w:p>
    <w:p>
      <w:r>
        <w:t>Single-Cell-RNA-Seq plus nested case-control und Interventionsstudie zur Identifikation von B-Zell-Markern für stabilen Anti-HBs-Schutz.</w:t>
      </w:r>
    </w:p>
    <w:p>
      <w:r>
        <w:rPr>
          <w:b/>
        </w:rPr>
        <w:t xml:space="preserve">Ergebnis: </w:t>
      </w:r>
      <w:r>
        <w:t>MZB1 signifikant erhöht in B-Zellen von Langzeitschützer/innen (p=2,1e-12); Serum-MZB1 &gt;1000 mIU/ml nach 30 Jahren: 7,1±2,2 ng/ml vs. Anti-HBs-Negative: 0,96±0,1 ng/ml (p&lt;0,0001); MZB1 korreliert stark mit Anti-HBs-Titer (r=0,892). MZB1 schon nach 1. Dosis erhöht, VE besser bei hohen MZB1-Konzentrationen.</w:t>
      </w:r>
    </w:p>
    <w:p>
      <w:r>
        <w:rPr>
          <w:b/>
          <w:sz w:val="19"/>
        </w:rPr>
        <w:t xml:space="preserve">Übertragbarkeit: </w:t>
      </w:r>
      <w:r>
        <w:rPr>
          <w:sz w:val="19"/>
        </w:rPr>
        <w:t>China (Validierungskohorten mobil), Biomarker universal; kein nationales Vorteil, aber wissenschaftlich relevant.</w:t>
      </w:r>
    </w:p>
    <w:p>
      <w:r>
        <w:rPr>
          <w:color w:val="5A7D3A"/>
          <w:sz w:val="18"/>
        </w:rPr>
        <w:t>https://pubmed.ncbi.nlm.nih.gov/42751130/</w:t>
      </w:r>
    </w:p>
    <w:p>
      <w:pPr>
        <w:pStyle w:val="Heading2"/>
      </w:pPr>
      <w:r>
        <w:t>Wertaffirmation in Impfkampagnen: Small Effects auf Impfbereitschaft</w:t>
      </w:r>
    </w:p>
    <w:p>
      <w:r>
        <w:rPr>
          <w:i/>
          <w:color w:val="666666"/>
          <w:sz w:val="18"/>
        </w:rPr>
        <w:t>Wolsko C et al.  ·  PLoS One  ·  16.09.2026  ·  PMID 42748077</w:t>
      </w:r>
    </w:p>
    <w:p>
      <w:r>
        <w:t>Online-Befragung von 1170 Ungeimpften (USA, Frühjahr 2021) zu COVID-Impfbotschaften, die auf persönliche Werte ausgerichtet sind.</w:t>
      </w:r>
    </w:p>
    <w:p>
      <w:r>
        <w:rPr>
          <w:b/>
        </w:rPr>
        <w:t xml:space="preserve">Ergebnis: </w:t>
      </w:r>
      <w:r>
        <w:t>Botschaften, die Misstrauen in Regierung und Sorgen vor Freiheitsbeschränkung bestätigten, zeigten höhere Impfbereitschaft und mehr Vertrauen als Kontrolle; Effektgrößen klein, aber bedeutsam für Vaccine Hesitancy-Subgruppen.</w:t>
      </w:r>
    </w:p>
    <w:p>
      <w:r>
        <w:rPr>
          <w:b/>
          <w:sz w:val="19"/>
        </w:rPr>
        <w:t xml:space="preserve">Übertragbarkeit: </w:t>
      </w:r>
      <w:r>
        <w:rPr>
          <w:sz w:val="19"/>
        </w:rPr>
        <w:t>USA (Wertbetonung kulturabhängig); Kommunikationsstrategie prinzipiell übertragbar, aber Wertrahmen müssen regional angepasst werden.</w:t>
      </w:r>
    </w:p>
    <w:p>
      <w:r>
        <w:rPr>
          <w:color w:val="5A7D3A"/>
          <w:sz w:val="18"/>
        </w:rPr>
        <w:t>https://pubmed.ncbi.nlm.nih.gov/42748077/</w:t>
      </w:r>
    </w:p>
    <w:p>
      <w:pPr>
        <w:pStyle w:val="Heading2"/>
      </w:pPr>
      <w:r>
        <w:t>Impf-Fachkompetenz in Äthiopien schwach: nur 50 % erfüllen Mindeststandard</w:t>
      </w:r>
    </w:p>
    <w:p>
      <w:r>
        <w:rPr>
          <w:i/>
          <w:color w:val="666666"/>
          <w:sz w:val="18"/>
        </w:rPr>
        <w:t>Olani A et al.  ·  PLoS One  ·  15.09.2026  ·  PMID 42743175</w:t>
      </w:r>
    </w:p>
    <w:p>
      <w:r>
        <w:t>Observationale Studie mit Checklisten zur Impf-Fachkompetenz in 34 äthiopischen Gesundheitseinrichtungen.</w:t>
      </w:r>
    </w:p>
    <w:p>
      <w:r>
        <w:rPr>
          <w:b/>
        </w:rPr>
        <w:t xml:space="preserve">Ergebnis: </w:t>
      </w:r>
      <w:r>
        <w:t>340 Impfungen beobachtet; Gesamtkompetenz 50 % (Schwelle: 80 %); beste Leistung: Verabreichung (71 %), schlechteste: Dokumentation (22 %); Defizite in Infektionskontrolle und Patienten-Kommunikation. Lücke zwischen theoretischem Wissen und praktischer Umsetzung.</w:t>
      </w:r>
    </w:p>
    <w:p>
      <w:r>
        <w:rPr>
          <w:b/>
          <w:sz w:val="19"/>
        </w:rPr>
        <w:t xml:space="preserve">Übertragbarkeit: </w:t>
      </w:r>
      <w:r>
        <w:rPr>
          <w:sz w:val="19"/>
        </w:rPr>
        <w:t>Äthiopien (Niedrig-Ressourcen), begrenzte Übertragbarkeit; zeigt jedoch global relevante Schulungs- und Überwachungsdefizite.</w:t>
      </w:r>
    </w:p>
    <w:p>
      <w:r>
        <w:rPr>
          <w:color w:val="5A7D3A"/>
          <w:sz w:val="18"/>
        </w:rPr>
        <w:t>https://pubmed.ncbi.nlm.nih.gov/42743175/</w:t>
      </w:r>
    </w:p>
    <w:p>
      <w:pPr>
        <w:pStyle w:val="Heading2"/>
      </w:pPr>
      <w:r>
        <w:t>Ökologische Studien zu Impfeffekten könnten Versorgungsdaten für Deutschland liefern</w:t>
      </w:r>
    </w:p>
    <w:p>
      <w:r>
        <w:rPr>
          <w:i/>
          <w:color w:val="666666"/>
          <w:sz w:val="18"/>
        </w:rPr>
        <w:t>Nolting T et al.  ·  BMJ Open  ·  11.09.2026  ·  PMID 42731829</w:t>
      </w:r>
    </w:p>
    <w:p>
      <w:r>
        <w:t>Scoping Review, die ökologische Studien zu Impfeffektivität systematisieren soll, mit Fokus auf Deutschland.</w:t>
      </w:r>
    </w:p>
    <w:p>
      <w:r>
        <w:rPr>
          <w:b/>
        </w:rPr>
        <w:t xml:space="preserve">Ergebnis: </w:t>
      </w:r>
      <w:r>
        <w:t>Studienprotokoll ohne empirische Ergebnisse; zeigt einen Forschungsbedarf für vergleichende Analysen der Impfbeiträge zu Morbidität und Mortalität.</w:t>
      </w:r>
    </w:p>
    <w:p>
      <w:r>
        <w:rPr>
          <w:b/>
          <w:sz w:val="19"/>
        </w:rPr>
        <w:t xml:space="preserve">Übertragbarkeit: </w:t>
      </w:r>
      <w:r>
        <w:rPr>
          <w:sz w:val="19"/>
        </w:rPr>
        <w:t>Deutschland, zukünftige Datenquelle; Übertragbarkeit hängt von Verfügbarkeit von Routinedaten ab.</w:t>
      </w:r>
    </w:p>
    <w:p>
      <w:r>
        <w:rPr>
          <w:color w:val="5A7D3A"/>
          <w:sz w:val="18"/>
        </w:rPr>
        <w:t>https://pubmed.ncbi.nlm.nih.gov/42731829/</w:t>
      </w:r>
    </w:p>
    <w:p>
      <w:pPr>
        <w:pStyle w:val="Heading2"/>
      </w:pPr>
      <w:r>
        <w:t>Impfantwort bei Krebs und Immunsuppression: RESPONSE-Kohortenstudie</w:t>
      </w:r>
    </w:p>
    <w:p>
      <w:r>
        <w:rPr>
          <w:i/>
          <w:color w:val="666666"/>
          <w:sz w:val="18"/>
        </w:rPr>
        <w:t>Felipe Fumero E et al.  ·  JMIR Res Protoc  ·  23.07.2026  ·  PMID 42492070</w:t>
      </w:r>
    </w:p>
    <w:p>
      <w:r>
        <w:t>Prospektive Kohortenstudie zu humoralen und zellulären Reaktionen auf Atemwegs-Impfstoffe bei onkologischen Patienten, Rekrutierung seit März 2025 laufend.</w:t>
      </w:r>
    </w:p>
    <w:p>
      <w:r>
        <w:rPr>
          <w:b/>
        </w:rPr>
        <w:t xml:space="preserve">Ergebnis: </w:t>
      </w:r>
      <w:r>
        <w:t>Protokoll mit laufender Rekrutierung; Fokus auf frühe und späte Booster-Effekte. Finale Analysen ab Q3 2026 geplant; zielt auf T-Zell-Antworten, die bei dieser Gruppe zuverlässiger sind als Antikörper.</w:t>
      </w:r>
    </w:p>
    <w:p>
      <w:r>
        <w:rPr>
          <w:b/>
          <w:sz w:val="19"/>
        </w:rPr>
        <w:t xml:space="preserve">Übertragbarkeit: </w:t>
      </w:r>
      <w:r>
        <w:rPr>
          <w:sz w:val="19"/>
        </w:rPr>
        <w:t>Deutschland (Köln, Universitätsklinik), direkt übertragbar auf Versorgungsfragen bei Immunsuppression.</w:t>
      </w:r>
    </w:p>
    <w:p>
      <w:r>
        <w:rPr>
          <w:color w:val="5A7D3A"/>
          <w:sz w:val="18"/>
        </w:rPr>
        <w:t>https://pubmed.ncbi.nlm.nih.gov/42492070/</w:t>
      </w:r>
    </w:p>
    <w:p>
      <w:pPr>
        <w:pStyle w:val="Heading1"/>
      </w:pPr>
      <w:r>
        <w:t>Aufgenommen am 17.09.2026</w:t>
      </w:r>
    </w:p>
    <w:p>
      <w:pPr>
        <w:pStyle w:val="Heading2"/>
      </w:pPr>
      <w:r>
        <w:t>Gonorrhoe-Impfstoff: Modellierte Prävalenzreduktion in abgelegenem indigenem Australien</w:t>
      </w:r>
    </w:p>
    <w:p>
      <w:r>
        <w:rPr>
          <w:i/>
          <w:color w:val="666666"/>
          <w:sz w:val="18"/>
        </w:rPr>
        <w:t>Padeniya TN et al.  ·  Sex Health  ·  20.10.2026  ·  PMID 42749469</w:t>
      </w:r>
    </w:p>
    <w:p>
      <w:r>
        <w:t>Mathematisches Transmissionsmodell (individual-basiert) zur Analyse der Effektivität einer hypothetischen Gonorrhoe-Impfung in abgelegenen Gemeinden mit hoher Inzidenz bei 16–36-jährigen australischen Ureinwohnern.</w:t>
      </w:r>
    </w:p>
    <w:p>
      <w:r>
        <w:rPr>
          <w:b/>
        </w:rPr>
        <w:t xml:space="preserve">Ergebnis: </w:t>
      </w:r>
      <w:r>
        <w:t>Bei 5-Jahres-Nachverfolgung mit 40 % jährlicher Impfquote und Impfstoff mit 25–50 % Schutzwirksamkeit: relative Prävalenzreduktion 15–28 %. Bei 80 % Impfquote und 75 % Wirksamkeit: 95 % (5 Jahre) bis 98 % (10 Jahre) Reduktion. Auch mit partieller Wirksamkeit substantielle Prävalenzrückgänge möglich.</w:t>
      </w:r>
    </w:p>
    <w:p>
      <w:r>
        <w:rPr>
          <w:b/>
          <w:sz w:val="19"/>
        </w:rPr>
        <w:t xml:space="preserve">Übertragbarkeit: </w:t>
      </w:r>
      <w:r>
        <w:rPr>
          <w:sz w:val="19"/>
        </w:rPr>
        <w:t>Australien mit Registersystem und hoher Datenqualität, aber Bevölkerungszusammensetzung und epidemiologische Lage unterscheiden sich von Deutschland.</w:t>
      </w:r>
    </w:p>
    <w:p>
      <w:r>
        <w:rPr>
          <w:color w:val="5A7D3A"/>
          <w:sz w:val="18"/>
        </w:rPr>
        <w:t>https://pubmed.ncbi.nlm.nih.gov/42749469/</w:t>
      </w:r>
    </w:p>
    <w:p>
      <w:pPr>
        <w:pStyle w:val="Heading2"/>
      </w:pPr>
      <w:r>
        <w:t>Herpes-Zoster-Impfung: Wirksamkeit gegen Zoster, Ophthalmicus und postherpetische Neuralgie</w:t>
      </w:r>
    </w:p>
    <w:p>
      <w:r>
        <w:rPr>
          <w:i/>
          <w:color w:val="666666"/>
          <w:sz w:val="18"/>
        </w:rPr>
        <w:t>Heen E et al.  ·  Rev Med Virol  ·  Sept. 2026  ·  PMID 42748460</w:t>
      </w:r>
    </w:p>
    <w:p>
      <w:r>
        <w:t>Systematische Übersicht mit Metaanalyse von 18 Studien (3 RCT, 15 Beobachtungsstudien) zur Effektivität des Recombinant-Zoster-Impfstoffs (RZV) gegen Herpes zoster und Komplikationen in ≥50-Jährigen.</w:t>
      </w:r>
    </w:p>
    <w:p>
      <w:r>
        <w:rPr>
          <w:b/>
        </w:rPr>
        <w:t xml:space="preserve">Ergebnis: </w:t>
      </w:r>
      <w:r>
        <w:t>RZV zeigte in RCT 95 % Effektivität gegen Herpes zoster (hochgradig), substantielle Reduktion von Herpes-Zoster-Ophthalmicus (hochgradig), wahrscheinlich postherpetische Neuralgia (moderat). Durable Schutzwirkung mind. 11 Jahre nachgewiesen (niedrig bis moderat). Mögliche Assoziation mit reduziertem Demenzrisiko (niedrig, durch healthy-vaccinee-bias-Unsicherheit).</w:t>
      </w:r>
    </w:p>
    <w:p>
      <w:r>
        <w:rPr>
          <w:b/>
          <w:sz w:val="19"/>
        </w:rPr>
        <w:t xml:space="preserve">Übertragbarkeit: </w:t>
      </w:r>
      <w:r>
        <w:rPr>
          <w:sz w:val="19"/>
        </w:rPr>
        <w:t>Norwegen und Schweden, vergleichbare altersstrukturierte Bevölkerungen und Impfregister; Befunde direkt auf deutsches Zoster-Impfprogramm übertragbar.</w:t>
      </w:r>
    </w:p>
    <w:p>
      <w:r>
        <w:rPr>
          <w:color w:val="5A7D3A"/>
          <w:sz w:val="18"/>
        </w:rPr>
        <w:t>https://pubmed.ncbi.nlm.nih.gov/42748460/</w:t>
      </w:r>
    </w:p>
    <w:p>
      <w:pPr>
        <w:pStyle w:val="Heading2"/>
      </w:pPr>
      <w:r>
        <w:t>Kulturell angepasste HPV-Aufklärung und Impfintention in Saudi-Arabien</w:t>
      </w:r>
    </w:p>
    <w:p>
      <w:r>
        <w:rPr>
          <w:i/>
          <w:color w:val="666666"/>
          <w:sz w:val="18"/>
        </w:rPr>
        <w:t>Elsayed EA et al.  ·  JMIR Public Health Surveill  ·  16.09.2026  ·  PMID 42748422</w:t>
      </w:r>
    </w:p>
    <w:p>
      <w:r>
        <w:t>Quasi-experimentelle Studie (Prä-Post mit Kontrollgruppe, n=380) zur Wirkung einer 45-minütigen, an lokale Werte adaptierten Schulungsintervention auf HPV-Wissen, Gesundheitsbewusstsein und Impfbereitschaft.</w:t>
      </w:r>
    </w:p>
    <w:p>
      <w:r>
        <w:rPr>
          <w:b/>
        </w:rPr>
        <w:t xml:space="preserve">Ergebnis: </w:t>
      </w:r>
      <w:r>
        <w:t>In der Interventionsgruppe zeigte sich bei 3-Monats-Nachverfolgung gegenüber Kontrollen: Wissen (β=0,84, p&lt;0,001, d=0,45), Bewusstsein (β=0,88, p&lt;0,001, d=0,44), Einstellung (β=0,70, p&lt;0,001, d=0,38), Impfabsicht (β=0,86, p&lt;0,001, d=0,82, großer Effekt). Effekte über Altersgruppen, Bildung und Gesundheitskompetenz konsistent.</w:t>
      </w:r>
    </w:p>
    <w:p>
      <w:r>
        <w:rPr>
          <w:b/>
          <w:sz w:val="19"/>
        </w:rPr>
        <w:t xml:space="preserve">Übertragbarkeit: </w:t>
      </w:r>
      <w:r>
        <w:rPr>
          <w:sz w:val="19"/>
        </w:rPr>
        <w:t>Saudi-Arabien, begrenzt übertragbar, aber Modell für kulturell sensible Beratung in diversen deutschen Bevölkerungsgruppen.</w:t>
      </w:r>
    </w:p>
    <w:p>
      <w:r>
        <w:rPr>
          <w:color w:val="5A7D3A"/>
          <w:sz w:val="18"/>
        </w:rPr>
        <w:t>https://pubmed.ncbi.nlm.nih.gov/42748422/</w:t>
      </w:r>
    </w:p>
    <w:p>
      <w:pPr>
        <w:pStyle w:val="Heading2"/>
      </w:pPr>
      <w:r>
        <w:t>Personalisierte Neoantigen-Impfstoff-Therapie bei Kopf-Hals-Karzinom vermeidet Rezidive</w:t>
      </w:r>
    </w:p>
    <w:p>
      <w:r>
        <w:rPr>
          <w:i/>
          <w:color w:val="666666"/>
          <w:sz w:val="18"/>
        </w:rPr>
        <w:t>Ottensmeier C et al.  ·  Nat Commun  ·  17.08.2026  ·  PMID 42744798</w:t>
      </w:r>
    </w:p>
    <w:p>
      <w:r>
        <w:t>Randomisierte Phase-I-Studie (n=32) zur Adjuvans-Therapie mit TG4050, einem individualisierten viralen Neoantigen-Impfstoff mit bis zu 30 tumor-spezifischen Neoantigenen, nach Standard-Chemotherapie vs. abwartendem Vorgehen.</w:t>
      </w:r>
    </w:p>
    <w:p>
      <w:r>
        <w:rPr>
          <w:b/>
        </w:rPr>
        <w:t xml:space="preserve">Ergebnis: </w:t>
      </w:r>
      <w:r>
        <w:t>Unmittelbare TG4050-Gruppe: 0 von 16 Rezidive nach 30 Monaten Nachverfolgung; Kontrollgruppe: 3 von 16 Rezidive. T-Zell-Antworten gegen Neoantigen in 73,3 % detektiert (Median 3 Neoantigen pro Responder), persistent über 1 Jahr. Neoantigen-spezifische CD8+ T-Zellen zeigten Effektor- und geweberesidente Marker.</w:t>
      </w:r>
    </w:p>
    <w:p>
      <w:r>
        <w:rPr>
          <w:b/>
          <w:sz w:val="19"/>
        </w:rPr>
        <w:t xml:space="preserve">Übertragbarkeit: </w:t>
      </w:r>
      <w:r>
        <w:rPr>
          <w:sz w:val="19"/>
        </w:rPr>
        <w:t>Multinationale Studie (UK, Frankreich, Niederlande), übertragbar auf deutsches Klinikum mit entsprechender molekularer Tumorcharakterisierung.</w:t>
      </w:r>
    </w:p>
    <w:p>
      <w:r>
        <w:rPr>
          <w:color w:val="5A7D3A"/>
          <w:sz w:val="18"/>
        </w:rPr>
        <w:t>https://pubmed.ncbi.nlm.nih.gov/42744798/</w:t>
      </w:r>
    </w:p>
    <w:p>
      <w:pPr>
        <w:pStyle w:val="Heading2"/>
      </w:pPr>
      <w:r>
        <w:t>HPV-Impfung bei Erwachsenen 27–45 Jahren: Quote und Trends in USA</w:t>
      </w:r>
    </w:p>
    <w:p>
      <w:r>
        <w:rPr>
          <w:i/>
          <w:color w:val="666666"/>
          <w:sz w:val="18"/>
        </w:rPr>
        <w:t>Fisher-Borne M et al.  ·  Hum Vaccin Immunother  ·  10.09.2026  ·  PMID 42723147</w:t>
      </w:r>
    </w:p>
    <w:p>
      <w:r>
        <w:t>Retrospektive Auswertung kommerzieller Claims-Daten 2019–2023 zur HPV-Impfquote bei erwachsenen Frauen und Männern unter shared clinical decision-making.</w:t>
      </w:r>
    </w:p>
    <w:p>
      <w:r>
        <w:rPr>
          <w:b/>
        </w:rPr>
        <w:t xml:space="preserve">Ergebnis: </w:t>
      </w:r>
      <w:r>
        <w:t>Annual HPV-Impfinitiation stieg von 0,21 % (2019) auf 0,54 % (2023); kumulativ über 5 Jahre 0,84 % bei 3–4 Mio. jährlich ungeimpften Personen. Apotheken als Impfort nahmen zu, regionale Variation 0,23–1,56 %.</w:t>
      </w:r>
    </w:p>
    <w:p>
      <w:r>
        <w:rPr>
          <w:b/>
          <w:sz w:val="19"/>
        </w:rPr>
        <w:t xml:space="preserve">Übertragbarkeit: </w:t>
      </w:r>
      <w:r>
        <w:rPr>
          <w:sz w:val="19"/>
        </w:rPr>
        <w:t>USA mit grundlegend anderer Versicherungsstruktur; aber Befunde zur Rolle von Apotheken und regionaler Varianz relevant für Deutschland.</w:t>
      </w:r>
    </w:p>
    <w:p>
      <w:r>
        <w:rPr>
          <w:color w:val="5A7D3A"/>
          <w:sz w:val="18"/>
        </w:rPr>
        <w:t>https://pubmed.ncbi.nlm.nih.gov/42723147/</w:t>
      </w:r>
    </w:p>
    <w:p>
      <w:pPr>
        <w:pStyle w:val="Heading2"/>
      </w:pPr>
      <w:r>
        <w:t>Immunosuppression-Entzug und mRNA-Impfung bei Nierentransplantierten</w:t>
      </w:r>
    </w:p>
    <w:p>
      <w:r>
        <w:rPr>
          <w:i/>
          <w:color w:val="666666"/>
          <w:sz w:val="18"/>
        </w:rPr>
        <w:t>Goerlich N et al.  ·  Front Immunol  ·  17.08.2026  ·  PMID 42676352</w:t>
      </w:r>
    </w:p>
    <w:p>
      <w:r>
        <w:t>Hochdimensionale Analyse der Immunzellkomposition bei Nierentransplantierten unter temporärem Mycophenolsäure-Entzug während mRNA-1273-Impfung.</w:t>
      </w:r>
    </w:p>
    <w:p>
      <w:r>
        <w:rPr>
          <w:b/>
        </w:rPr>
        <w:t xml:space="preserve">Ergebnis: </w:t>
      </w:r>
      <w:r>
        <w:t>Mycophenolsäure-Entzug war assoziiert mit erhöhten CD4+/CD8+ T-Zell-Frequenzen (p=0,039 bzw. p=0,001) und verminderten Monozyten- und B-Zell-Frequenzen (p=0,014 bzw. p=0,023). Effekte variierten je nach Transplantationsdauer und Alter; kein einzelner Marker war prädiktiv für Serokonversion.</w:t>
      </w:r>
    </w:p>
    <w:p>
      <w:r>
        <w:rPr>
          <w:b/>
          <w:sz w:val="19"/>
        </w:rPr>
        <w:t xml:space="preserve">Übertragbarkeit: </w:t>
      </w:r>
      <w:r>
        <w:rPr>
          <w:sz w:val="19"/>
        </w:rPr>
        <w:t>Deutsche Klinikstudie, direkt übertragbar auf deutsches Transplantationssystem mit vergleichbarer Immunsuppression.</w:t>
      </w:r>
    </w:p>
    <w:p>
      <w:r>
        <w:rPr>
          <w:color w:val="5A7D3A"/>
          <w:sz w:val="18"/>
        </w:rPr>
        <w:t>https://pubmed.ncbi.nlm.nih.gov/42676352/</w:t>
      </w:r>
    </w:p>
    <w:p>
      <w:pPr>
        <w:pStyle w:val="Heading2"/>
      </w:pPr>
      <w:r>
        <w:t>IL-33 und sST2 nach Tdap-Booster-Impfung bei finnischen Kindern</w:t>
      </w:r>
    </w:p>
    <w:p>
      <w:r>
        <w:rPr>
          <w:i/>
          <w:color w:val="666666"/>
          <w:sz w:val="18"/>
        </w:rPr>
        <w:t>Anabe D et al.  ·  Cytokine  ·  13.08.2026  ·  PMID 42594457</w:t>
      </w:r>
    </w:p>
    <w:p>
      <w:r>
        <w:t>Longitudinale Untersuchung von Interleukin-33 und löslichem ST2 in Serum vor und nach Tdap-IPV-Booster-Impfung in unterschiedlichen Altersgruppen (7–70 Jahre).</w:t>
      </w:r>
    </w:p>
    <w:p>
      <w:r>
        <w:rPr>
          <w:b/>
        </w:rPr>
        <w:t xml:space="preserve">Ergebnis: </w:t>
      </w:r>
      <w:r>
        <w:t>IL-33 in 70 % der Fälle nicht nachweisbar. Serum-sST2 zeigte signifikanten Anstieg über 365 Tage (p&lt;0,001), mit höherem Ausgangswert bei jüngeren Altersgruppen. Keine Assoziation zwischen IL-33/sST2 und Impfantwort oder Zytokinen.</w:t>
      </w:r>
    </w:p>
    <w:p>
      <w:r>
        <w:rPr>
          <w:b/>
          <w:sz w:val="19"/>
        </w:rPr>
        <w:t xml:space="preserve">Übertragbarkeit: </w:t>
      </w:r>
      <w:r>
        <w:rPr>
          <w:sz w:val="19"/>
        </w:rPr>
        <w:t>Finnland, vergleichbares skandinavisches Gesundheitssystem und Register; etablierte Referenzwerte für präklinische Marker.</w:t>
      </w:r>
    </w:p>
    <w:p>
      <w:r>
        <w:rPr>
          <w:color w:val="5A7D3A"/>
          <w:sz w:val="18"/>
        </w:rPr>
        <w:t>https://pubmed.ncbi.nlm.nih.gov/42594457/</w:t>
      </w:r>
    </w:p>
    <w:p>
      <w:pPr>
        <w:pStyle w:val="Heading1"/>
      </w:pPr>
      <w:r>
        <w:t>Aufgenommen am 16.09.2026</w:t>
      </w:r>
    </w:p>
    <w:p>
      <w:pPr>
        <w:pStyle w:val="Heading2"/>
      </w:pPr>
      <w:r>
        <w:t>Digitale Assistenten für HPV-Impfung und Gebärmutterhalskrebs-Screening – was funktioniert?</w:t>
      </w:r>
    </w:p>
    <w:p>
      <w:r>
        <w:rPr>
          <w:i/>
          <w:color w:val="666666"/>
          <w:sz w:val="18"/>
        </w:rPr>
        <w:t>Umbetzhanova A et al.  ·  Front Public Health  ·  31.08.2026  ·  PMID 42741336</w:t>
      </w:r>
    </w:p>
    <w:p>
      <w:r>
        <w:t>Systematische Übersicht von 14 Studien (2016–2026) zur Frage, ob interaktive digitale Tools (Chatbots, Apps, Serious Games) HPV-Impfung und Gebärmutterhals-Screening erhöhen.</w:t>
      </w:r>
    </w:p>
    <w:p>
      <w:r>
        <w:rPr>
          <w:b/>
        </w:rPr>
        <w:t xml:space="preserve">Ergebnis: </w:t>
      </w:r>
      <w:r>
        <w:t>Chatbots zeigten vielversprechende Kurzzeit-Effekte auf Termin-Buchung (moderate Evidenz), aber hohe Abbruch-Quoten bei Mehrfach-Dosen. Theorie-basierte Apps erhöhten Zytologie-Inanspruchnahme kurzfristig (moderate Evidenz). Ein Serious Game korrelierte mit höheren CIN2+-Erkennungsraten, aber Confounding war schwerwiegend. Insgesamt: moderate Kurzzeit-Effekte, aber unzureichende Evidenz für Dauer.</w:t>
      </w:r>
    </w:p>
    <w:p>
      <w:r>
        <w:rPr>
          <w:b/>
          <w:sz w:val="19"/>
        </w:rPr>
        <w:t xml:space="preserve">Übertragbarkeit: </w:t>
      </w:r>
      <w:r>
        <w:rPr>
          <w:sz w:val="19"/>
        </w:rPr>
        <w:t>Mehrländer-Übersicht, digitale Hürden international ähnlich</w:t>
      </w:r>
    </w:p>
    <w:p>
      <w:r>
        <w:rPr>
          <w:color w:val="5A7D3A"/>
          <w:sz w:val="18"/>
        </w:rPr>
        <w:t>https://pubmed.ncbi.nlm.nih.gov/42741336/</w:t>
      </w:r>
    </w:p>
    <w:p>
      <w:pPr>
        <w:pStyle w:val="Heading2"/>
      </w:pPr>
      <w:r>
        <w:t>Impfen in Schulen: Was Schulkrankenpfleger in Colorado als Barrieren berichten</w:t>
      </w:r>
    </w:p>
    <w:p>
      <w:r>
        <w:rPr>
          <w:i/>
          <w:color w:val="666666"/>
          <w:sz w:val="18"/>
        </w:rPr>
        <w:t>Nienstedt L et al.  ·  J Sch Health  ·  Okt. 2026  ·  PMID 42740714</w:t>
      </w:r>
    </w:p>
    <w:p>
      <w:r>
        <w:t>Querschnittsbefragung von 368 Schulkrankenpflegern in Colorado 2024, ob und wie sie schulgebundene Impfaktionen (SAVEs) umsetzten.</w:t>
      </w:r>
    </w:p>
    <w:p>
      <w:r>
        <w:rPr>
          <w:b/>
        </w:rPr>
        <w:t xml:space="preserve">Ergebnis: </w:t>
      </w:r>
      <w:r>
        <w:t>Schulen ohne SAVEs nannten Mangel an Leitlinien (Top-3-Barriere), fehlende Personalzeit und mangelnde externe Partnerschaften als Haupthindernisse. In ländlichen Schulen rangierte Impf-Politisierung unter Top-Barrieren; in Schulen mit niedrigem Einkommen und Gymnasien war Zeitdruck dominant. Schulen mit SAVEs betont externe Partnerschaften und elterliches Vertrauen als Erfolsfaktoren.</w:t>
      </w:r>
    </w:p>
    <w:p>
      <w:r>
        <w:rPr>
          <w:b/>
          <w:sz w:val="19"/>
        </w:rPr>
        <w:t xml:space="preserve">Übertragbarkeit: </w:t>
      </w:r>
      <w:r>
        <w:rPr>
          <w:sz w:val="19"/>
        </w:rPr>
        <w:t>USA - nur Zugangswegs-Hürden übertragbar, nicht System</w:t>
      </w:r>
    </w:p>
    <w:p>
      <w:r>
        <w:rPr>
          <w:color w:val="5A7D3A"/>
          <w:sz w:val="18"/>
        </w:rPr>
        <w:t>https://pubmed.ncbi.nlm.nih.gov/42740714/</w:t>
      </w:r>
    </w:p>
    <w:p>
      <w:pPr>
        <w:pStyle w:val="Heading2"/>
      </w:pPr>
      <w:r>
        <w:t>Grippeschutz bei Älteren: Bildung und Umgebung beeinflussen Impfquote</w:t>
      </w:r>
    </w:p>
    <w:p>
      <w:r>
        <w:rPr>
          <w:i/>
          <w:color w:val="666666"/>
          <w:sz w:val="18"/>
        </w:rPr>
        <w:t>Zhang C et al.  ·  Zhonghua Yu Fang Yi Xue Za Zhi  ·  06.09.2026  ·  PMID 42736149</w:t>
      </w:r>
    </w:p>
    <w:p>
      <w:r>
        <w:t>Befragung von 700 Personen ≥60 Jahren in Shaanxi (China) 2025 zu Einflussfaktoren auf Grippeimpfung.</w:t>
      </w:r>
    </w:p>
    <w:p>
      <w:r>
        <w:rPr>
          <w:b/>
        </w:rPr>
        <w:t xml:space="preserve">Ergebnis: </w:t>
      </w:r>
      <w:r>
        <w:t>49,7% geimpft, 50,3% ungeimpft. Schutzfaktoren: Hochschulbildung (OR 2,77), Stadtwohnung (OR 1,94), hohes Infektionsrisiko-Bewusstsein (OR 4,89), Glaube an Impfnutzen (OR 10,96), Familie/Freunde mit Impfgeschichte (OR 5,07). Bildung und soziales Umfeld sind stärkste Prädiktoren – nicht Zugang allein.</w:t>
      </w:r>
    </w:p>
    <w:p>
      <w:r>
        <w:rPr>
          <w:b/>
          <w:sz w:val="19"/>
        </w:rPr>
        <w:t xml:space="preserve">Übertragbarkeit: </w:t>
      </w:r>
      <w:r>
        <w:rPr>
          <w:sz w:val="19"/>
        </w:rPr>
        <w:t>China - Befund zu Risiko-Wahrnehmung und Vertrauen transnational relevant</w:t>
      </w:r>
    </w:p>
    <w:p>
      <w:r>
        <w:rPr>
          <w:color w:val="5A7D3A"/>
          <w:sz w:val="18"/>
        </w:rPr>
        <w:t>https://pubmed.ncbi.nlm.nih.gov/42736149/</w:t>
      </w:r>
    </w:p>
    <w:p>
      <w:pPr>
        <w:pStyle w:val="Heading2"/>
      </w:pPr>
      <w:r>
        <w:t>RSV-Impfung in der Schwangerschaft und Frühgeburtsrisiko: Metaanalyse</w:t>
      </w:r>
    </w:p>
    <w:p>
      <w:r>
        <w:rPr>
          <w:i/>
          <w:color w:val="666666"/>
          <w:sz w:val="18"/>
        </w:rPr>
        <w:t>Leskinen N et al.  ·  Immun Inflamm Dis  ·  Sept. 2026  ·  PMID 42712161</w:t>
      </w:r>
    </w:p>
    <w:p>
      <w:r>
        <w:t>Metaanalyse von 7 Studien (3 RCTs, 4 Beobachtungsstudien; insgesamt ~17.000 Geburten) zur Frage, ob mütterliche RSV-PreF-Impfung Frühgeburten oder NICU-Aufnahmen erhöht.</w:t>
      </w:r>
    </w:p>
    <w:p>
      <w:r>
        <w:rPr>
          <w:b/>
        </w:rPr>
        <w:t xml:space="preserve">Ergebnis: </w:t>
      </w:r>
      <w:r>
        <w:t>RCTs zeigten erhöhtes Frühgeburtsrisiko (RR 1,26, 95%-KI 1,08–1,46); Beobachtungsstudien nicht (RR 0,78, 95%-KI 0,46–1,32). Gepoolte Analyse: kein Gesamteffekt (RR 0,96, 95%-KI 0,68–1,38). NICU-Aufnahme nicht erhöht (RR 0,74). Evidenzsicherheit niedrig bis sehr niedrig; Überwachung empfohlen.</w:t>
      </w:r>
    </w:p>
    <w:p>
      <w:r>
        <w:rPr>
          <w:b/>
          <w:sz w:val="19"/>
        </w:rPr>
        <w:t xml:space="preserve">Übertragbarkeit: </w:t>
      </w:r>
      <w:r>
        <w:rPr>
          <w:sz w:val="19"/>
        </w:rPr>
        <w:t>Mehrländer-Studie, übertragbar auf europaähnliche Settings</w:t>
      </w:r>
    </w:p>
    <w:p>
      <w:r>
        <w:rPr>
          <w:color w:val="5A7D3A"/>
          <w:sz w:val="18"/>
        </w:rPr>
        <w:t>https://pubmed.ncbi.nlm.nih.gov/42712161/</w:t>
      </w:r>
    </w:p>
    <w:p>
      <w:pPr>
        <w:pStyle w:val="Heading2"/>
      </w:pPr>
      <w:r>
        <w:t>Auffrischimpfung gegen JN.1-Variante aktiviert neue B-Zell-Subpopulationen</w:t>
      </w:r>
    </w:p>
    <w:p>
      <w:r>
        <w:rPr>
          <w:i/>
          <w:color w:val="666666"/>
          <w:sz w:val="18"/>
        </w:rPr>
        <w:t>Stankov MV et al.  ·  Nat Commun  ·  24.07.2026  ·  PMID 42498786</w:t>
      </w:r>
    </w:p>
    <w:p>
      <w:r>
        <w:t>Deutsche Längsschnittstudie (n=42, überwiegend mehrfach Geimpfte und Infizierte) untersuchte, wie JN.1-adaptierte mRNA-Booster die Antikörper- und B-Zell-Antwort verändern.</w:t>
      </w:r>
    </w:p>
    <w:p>
      <w:r>
        <w:rPr>
          <w:b/>
        </w:rPr>
        <w:t xml:space="preserve">Ergebnis: </w:t>
      </w:r>
      <w:r>
        <w:t>IgG-Bindung und Neutralisierungstiter gegen JN.1 stiegen; Antigen-spezifische Memory-B-Zellen zeigten durch Mutationen (somatic hypermutation) verbesserte JN.1-Bindung, ohne dass neue naive B-Zellen massiv rekrutiert wurden. Effekt: Reifung vorbestehender Memory-B-Zellen statt Neuausrichtung.</w:t>
      </w:r>
    </w:p>
    <w:p>
      <w:r>
        <w:rPr>
          <w:b/>
          <w:sz w:val="19"/>
        </w:rPr>
        <w:t xml:space="preserve">Übertragbarkeit: </w:t>
      </w:r>
      <w:r>
        <w:rPr>
          <w:sz w:val="19"/>
        </w:rPr>
        <w:t>Deutschland, vergleichbare Impfstrategie und Dokumentation</w:t>
      </w:r>
    </w:p>
    <w:p>
      <w:r>
        <w:rPr>
          <w:color w:val="5A7D3A"/>
          <w:sz w:val="18"/>
        </w:rPr>
        <w:t>https://pubmed.ncbi.nlm.nih.gov/42498786/</w:t>
      </w:r>
    </w:p>
    <w:p>
      <w:pPr>
        <w:pStyle w:val="Heading2"/>
      </w:pPr>
      <w:r>
        <w:t>CAR-T-Therapien in Europa: Axicabtagene vs. Tisagenlecleucel bei großzelligem Lymphom</w:t>
      </w:r>
    </w:p>
    <w:p>
      <w:r>
        <w:rPr>
          <w:i/>
          <w:color w:val="666666"/>
          <w:sz w:val="18"/>
        </w:rPr>
        <w:t>Li H et al.  ·  PeerJ  ·  06.07.2026  ·  PMID 42428526</w:t>
      </w:r>
    </w:p>
    <w:p>
      <w:r>
        <w:t>Systematische Übersicht von 8 europäischen Kohortenstudien mit 2.178 Patienten verglich Wirksamkeit und Toxizität zweier CAR-T-Produkte gegen diffuses großzelliges B-Zell-Lymphom.</w:t>
      </w:r>
    </w:p>
    <w:p>
      <w:r>
        <w:rPr>
          <w:b/>
        </w:rPr>
        <w:t xml:space="preserve">Ergebnis: </w:t>
      </w:r>
      <w:r>
        <w:t>Axicabtagene zeigte höhere 3-Monats-Ansprechquoten (signifikant, p nicht genannt), aber niedrigere 12-Monats-progressionsfreie Überlebensraten; höhere Raten für Zytokinfreibsetzungssyndrom und neurotoxisches Syndrom (ICANS) alle Grade sowie Grade ≥3 ICANS, häufigere Tocilizumab-Gabe. Unter europäischen Alltagsbedingungen zeigt sich ein Wirksamkeits-Toxizitäts-Trade-off.</w:t>
      </w:r>
    </w:p>
    <w:p>
      <w:r>
        <w:rPr>
          <w:b/>
          <w:sz w:val="19"/>
        </w:rPr>
        <w:t xml:space="preserve">Übertragbarkeit: </w:t>
      </w:r>
      <w:r>
        <w:rPr>
          <w:sz w:val="19"/>
        </w:rPr>
        <w:t>Europa - acht Kohorten, vergleichbares Versicherungssystem</w:t>
      </w:r>
    </w:p>
    <w:p>
      <w:r>
        <w:rPr>
          <w:color w:val="5A7D3A"/>
          <w:sz w:val="18"/>
        </w:rPr>
        <w:t>https://pubmed.ncbi.nlm.nih.gov/42428526/</w:t>
      </w:r>
    </w:p>
    <w:p>
      <w:pPr>
        <w:pStyle w:val="Heading1"/>
      </w:pPr>
      <w:r>
        <w:t>Aufgenommen am 15.09.2026</w:t>
      </w:r>
    </w:p>
    <w:p>
      <w:pPr>
        <w:pStyle w:val="Heading2"/>
      </w:pPr>
      <w:r>
        <w:t>COVID-19-Pandemie verbesserte Wissen und Einstellung zur Polioimpfung in Pakistan</w:t>
      </w:r>
    </w:p>
    <w:p>
      <w:r>
        <w:rPr>
          <w:i/>
          <w:color w:val="666666"/>
          <w:sz w:val="18"/>
        </w:rPr>
        <w:t>Ullah A et al.  ·  East Mediterr Health J  ·  03.09.2026  ·  PMID 42734198</w:t>
      </w:r>
    </w:p>
    <w:p>
      <w:r>
        <w:t>Querschnittsstudie mit 308 Eltern von Kindern unter fünf Jahren in Nord-Waziristan, Pakistan (Januar bis April 2025) zum Wissensstand über Polioimpfung vor und nach COVID-19.</w:t>
      </w:r>
    </w:p>
    <w:p>
      <w:r>
        <w:rPr>
          <w:b/>
        </w:rPr>
        <w:t xml:space="preserve">Ergebnis: </w:t>
      </w:r>
      <w:r>
        <w:t>Mittlere Wissenspunktzahl stieg von 6,2±2,3 (vor COVID-19) auf 8,3±2,1 (nach COVID-19; p&lt;0,0001). Gutes Wissen (Punktzahl ≥9) nahm von 36,3 % auf 58,7 % zu, Fehlvorstellungen sanken von 64,9 % auf 35,1 %. Empfehlungen von Fachpersonal (85 %), Social-Media-Kampagnen (76 %) und Verfechter religiöser Führer (55 %) trugen zur Verbesserung bei.</w:t>
      </w:r>
    </w:p>
    <w:p>
      <w:r>
        <w:rPr>
          <w:b/>
          <w:sz w:val="19"/>
        </w:rPr>
        <w:t xml:space="preserve">Übertragbarkeit: </w:t>
      </w:r>
      <w:r>
        <w:rPr>
          <w:sz w:val="19"/>
        </w:rPr>
        <w:t>Pakistan – Impfakzeptanz-Befunde, aber anderes Gesundheitssystem</w:t>
      </w:r>
    </w:p>
    <w:p>
      <w:r>
        <w:rPr>
          <w:color w:val="5A7D3A"/>
          <w:sz w:val="18"/>
        </w:rPr>
        <w:t>https://pubmed.ncbi.nlm.nih.gov/42734198/</w:t>
      </w:r>
    </w:p>
    <w:p>
      <w:pPr>
        <w:pStyle w:val="Heading2"/>
      </w:pPr>
      <w:r>
        <w:t>Herpes Zoster-Impfstoff LZ901 schützt 91,6 Prozent der Geimpften vor Erkrankung</w:t>
      </w:r>
    </w:p>
    <w:p>
      <w:r>
        <w:rPr>
          <w:i/>
          <w:color w:val="666666"/>
          <w:sz w:val="18"/>
        </w:rPr>
        <w:t>Jin P et al.  ·  Nat Commun  ·  07.08.2026  ·  PMID 42733065</w:t>
      </w:r>
    </w:p>
    <w:p>
      <w:r>
        <w:t>Randomisierte, placebokontrollierte Phase-3-Studie zur Wirksamkeit und Sicherheit des Herpes-Zoster-Impfstoffs LZ901 (rekombinante gE-Fc-Fusionprotein) bei 26 018 Erwachsenen ab 40 Jahren über 12 Monate.</w:t>
      </w:r>
    </w:p>
    <w:p>
      <w:r>
        <w:rPr>
          <w:b/>
        </w:rPr>
        <w:t xml:space="preserve">Ergebnis: </w:t>
      </w:r>
      <w:r>
        <w:t>Impfeffektivität gegen Herpes Zoster 91,6 % (95%-KI 86,3–95,3; p&lt;0,001); bei 40–69 Jahren 93,9 %, bei ≥70 Jahren 66,9 %. Gegen Post-Zoster-Neuralgie 95,9 % (95%-KI 63,9–99,9). Injektionsstellen- und systemische Reaktionen erhöht, Grad-3-Reaktionen selten (0,3 % vs. 0,4 % Placebo), keine schwerwiegenden unerwünschten Ereignisse.</w:t>
      </w:r>
    </w:p>
    <w:p>
      <w:r>
        <w:rPr>
          <w:b/>
          <w:sz w:val="19"/>
        </w:rPr>
        <w:t xml:space="preserve">Übertragbarkeit: </w:t>
      </w:r>
      <w:r>
        <w:rPr>
          <w:sz w:val="19"/>
        </w:rPr>
        <w:t>China, vergleichbare epidemiologische Zielgruppe und klinische Endpunkte</w:t>
      </w:r>
    </w:p>
    <w:p>
      <w:r>
        <w:rPr>
          <w:color w:val="5A7D3A"/>
          <w:sz w:val="18"/>
        </w:rPr>
        <w:t>https://pubmed.ncbi.nlm.nih.gov/42733065/</w:t>
      </w:r>
    </w:p>
    <w:p>
      <w:pPr>
        <w:pStyle w:val="Heading2"/>
      </w:pPr>
      <w:r>
        <w:t>Verständnis der Herpes-Zoster-Erkrankung steigert Impfquote bei älteren Erwachsenen in China</w:t>
      </w:r>
    </w:p>
    <w:p>
      <w:r>
        <w:rPr>
          <w:i/>
          <w:color w:val="666666"/>
          <w:sz w:val="18"/>
        </w:rPr>
        <w:t>Bolanos R et al.  ·  Expert Rev Vaccines  ·  12.09.2026  ·  PMID 42728842</w:t>
      </w:r>
    </w:p>
    <w:p>
      <w:r>
        <w:t>Querschnittsstudie mit 1556 Bürgern ab 60 Jahren aus Shenzhen, China (August–Oktober 2024) zu psychosozialen und familiären Faktoren der Herpes-Zoster-Impfakzeptanz.</w:t>
      </w:r>
    </w:p>
    <w:p>
      <w:r>
        <w:rPr>
          <w:b/>
        </w:rPr>
        <w:t xml:space="preserve">Ergebnis: </w:t>
      </w:r>
      <w:r>
        <w:t>8,0 % der Teilnehmer waren geimpft. Besseres Verständnis (Kohärenz) war mit höherer Impfquote assoziiert (AOR 1,15; 95%-KI 1,07–1,24). Impfmüdigkeit korrelierte mit niedrigerer Quote (AOR 0,79; 95%-KI 0,62–0,99). Stark modifizierbare psychosoziale Faktoren identifiziert.</w:t>
      </w:r>
    </w:p>
    <w:p>
      <w:r>
        <w:rPr>
          <w:b/>
          <w:sz w:val="19"/>
        </w:rPr>
        <w:t xml:space="preserve">Übertragbarkeit: </w:t>
      </w:r>
      <w:r>
        <w:rPr>
          <w:sz w:val="19"/>
        </w:rPr>
        <w:t>China – Versorgungskontext anderer, Impfskepsis-Mechanismen aber übertragbar</w:t>
      </w:r>
    </w:p>
    <w:p>
      <w:r>
        <w:rPr>
          <w:color w:val="5A7D3A"/>
          <w:sz w:val="18"/>
        </w:rPr>
        <w:t>https://pubmed.ncbi.nlm.nih.gov/42728842/</w:t>
      </w:r>
    </w:p>
    <w:p>
      <w:pPr>
        <w:pStyle w:val="Heading2"/>
      </w:pPr>
      <w:r>
        <w:t>Mobile-App zur HPV-Impfberatung erhöhte Impfrate bei Kindern auf 48 Prozent</w:t>
      </w:r>
    </w:p>
    <w:p>
      <w:r>
        <w:rPr>
          <w:i/>
          <w:color w:val="666666"/>
          <w:sz w:val="18"/>
        </w:rPr>
        <w:t>Cunningham-Erves J et al.  ·  JMIR Cancer  ·  09.09.2026  ·  PMID 42715554</w:t>
      </w:r>
    </w:p>
    <w:p>
      <w:r>
        <w:t>Pilot-RCT (Juni–September 2023) in zwei Stadtkliniken Tennessee mit 57 Eltern von Kindern 9–17 Jahren. HPVVaxFacts-App vermittelt tailorierte Impfaufklärung vor Klinikbesuch versus Ernährungsedukation (Aufmerksamkeitskontrolle).</w:t>
      </w:r>
    </w:p>
    <w:p>
      <w:r>
        <w:rPr>
          <w:b/>
        </w:rPr>
        <w:t xml:space="preserve">Ergebnis: </w:t>
      </w:r>
      <w:r>
        <w:t>HPV-Impfeinleitung Interventionsgruppe 48 %, Kontrollgruppe 17 % (Differenz 0,24; 95%-KI 0,03–0,46; p=0,01). Wissensgewinne und Besorgnis-Reduktion in der App-Gruppe größer, aber nicht statistisch signifikant (p=0,13 und p=0,14). 81 % der Eltern nutzten die App, Mehrheit fand Protokoll und App akzeptabel.</w:t>
      </w:r>
    </w:p>
    <w:p>
      <w:r>
        <w:rPr>
          <w:b/>
          <w:sz w:val="19"/>
        </w:rPr>
        <w:t xml:space="preserve">Übertragbarkeit: </w:t>
      </w:r>
      <w:r>
        <w:rPr>
          <w:sz w:val="19"/>
        </w:rPr>
        <w:t>USA – Impfakzeptanz-Intervention, transferierbar nur für Designprinzipien</w:t>
      </w:r>
    </w:p>
    <w:p>
      <w:r>
        <w:rPr>
          <w:color w:val="5A7D3A"/>
          <w:sz w:val="18"/>
        </w:rPr>
        <w:t>https://pubmed.ncbi.nlm.nih.gov/42715554/</w:t>
      </w:r>
    </w:p>
    <w:p>
      <w:pPr>
        <w:pStyle w:val="Heading2"/>
      </w:pPr>
      <w:r>
        <w:t>Altersabhängige Immunabläufe erklären unterschiedliche Influenza-Impfwirksamkeit über Lebensalter</w:t>
      </w:r>
    </w:p>
    <w:p>
      <w:r>
        <w:rPr>
          <w:i/>
          <w:color w:val="666666"/>
          <w:sz w:val="18"/>
        </w:rPr>
        <w:t>Liu J et al.  ·  Front Immunol  ·  24.08.2026  ·  PMID 42707705</w:t>
      </w:r>
    </w:p>
    <w:p>
      <w:r>
        <w:t>Narrativer Review zu Einflussfaktoren des Alters auf Influenza-Impfeffektivität und zu lebensalter-spezifischen Immunmechanismen von der Entwicklung über Reifung bis zur Immunoseneszenz.</w:t>
      </w:r>
    </w:p>
    <w:p>
      <w:r>
        <w:rPr>
          <w:b/>
        </w:rPr>
        <w:t xml:space="preserve">Ergebnis: </w:t>
      </w:r>
      <w:r>
        <w:t>Influenza-Impfeffektivität zeigt erhebliche altersabhängige Heterogenität. Immun-Remodellierung über die Lebensspanne prägt Vakzin-Reaktionen. Review schlägt altersgerechte Impfstoff-Optimierungsstrategie vor: spezifische Formulierungen für Kinder, Erwachsene und ältere Menschen statt ‚one-dose-fits-all'-Modell. Theoretische Grundlage für Präzisions-Impfparadigma gelegt.</w:t>
      </w:r>
    </w:p>
    <w:p>
      <w:r>
        <w:rPr>
          <w:b/>
          <w:sz w:val="19"/>
        </w:rPr>
        <w:t xml:space="preserve">Übertragbarkeit: </w:t>
      </w:r>
      <w:r>
        <w:rPr>
          <w:sz w:val="19"/>
        </w:rPr>
        <w:t>China (Institut), aber Immunologie-Mechanismen universal</w:t>
      </w:r>
    </w:p>
    <w:p>
      <w:r>
        <w:rPr>
          <w:color w:val="5A7D3A"/>
          <w:sz w:val="18"/>
        </w:rPr>
        <w:t>https://pubmed.ncbi.nlm.nih.gov/42707705/</w:t>
      </w:r>
    </w:p>
    <w:p>
      <w:pPr>
        <w:pStyle w:val="Heading2"/>
      </w:pPr>
      <w:r>
        <w:t>23-valente Pneumokokken-Polysaccharidimpfung senkte ambulante Pneumonie um knapp 20 Prozent</w:t>
      </w:r>
    </w:p>
    <w:p>
      <w:r>
        <w:rPr>
          <w:i/>
          <w:color w:val="666666"/>
          <w:sz w:val="18"/>
        </w:rPr>
        <w:t>Vernooij FS et al.  ·  Epidemiol Infect  ·  23.07.2026  ·  PMID 42487216</w:t>
      </w:r>
    </w:p>
    <w:p>
      <w:r>
        <w:t>Regression-Discontinuity-Analyse der Wirkung der PPV23-Impfung auf nicht-invasive Pneumokokken-Pneumonie bei Erwachsenen über 60 Jahren in den Niederlanden zwischen 2016 und 2023.</w:t>
      </w:r>
    </w:p>
    <w:p>
      <w:r>
        <w:rPr>
          <w:b/>
        </w:rPr>
        <w:t xml:space="preserve">Ergebnis: </w:t>
      </w:r>
      <w:r>
        <w:t>Gesamtwirksamkeit 19,7 % (95%-KI 8,5–29,7). Die Schutzwirkung nahm über die Zeit seit Impfberechtigung ab, blieb aber auch nach drei Jahren deutlich vorhanden. Daten aus 14 Laboren mit geschätzter Abdeckung von 34,9 % der niederländischen Bevölkerung.</w:t>
      </w:r>
    </w:p>
    <w:p>
      <w:r>
        <w:rPr>
          <w:b/>
          <w:sz w:val="19"/>
        </w:rPr>
        <w:t xml:space="preserve">Übertragbarkeit: </w:t>
      </w:r>
      <w:r>
        <w:rPr>
          <w:sz w:val="19"/>
        </w:rPr>
        <w:t>Niederlande, vergleichbares Versicherungssystem und Laborregister</w:t>
      </w:r>
    </w:p>
    <w:p>
      <w:r>
        <w:rPr>
          <w:color w:val="5A7D3A"/>
          <w:sz w:val="18"/>
        </w:rPr>
        <w:t>https://pubmed.ncbi.nlm.nih.gov/42487216/</w:t>
      </w:r>
    </w:p>
    <w:p>
      <w:pPr>
        <w:pStyle w:val="Heading1"/>
      </w:pPr>
      <w:r>
        <w:t>Aufgenommen am 14.09.2026</w:t>
      </w:r>
    </w:p>
    <w:p>
      <w:pPr>
        <w:pStyle w:val="Heading2"/>
      </w:pPr>
      <w:r>
        <w:t>Impfkampagnen-Monitoring: Abweichungen zwischen Felderhebungen und Nachbarschafts-Umfragen</w:t>
      </w:r>
    </w:p>
    <w:p>
      <w:r>
        <w:rPr>
          <w:i/>
          <w:color w:val="666666"/>
          <w:sz w:val="18"/>
        </w:rPr>
        <w:t>Thakkar N  ·  Gates Open Res  ·  01.09.2026  ·  PMID 42732098</w:t>
      </w:r>
    </w:p>
    <w:p>
      <w:r>
        <w:t>Analyse von Impfteam-Tallies (tägliche Dokumentation Geimpfter) versus Post-Campaign Coverage Surveys (PCCS) in Kano-Kampagne 2023 (Masern, Nigeria) unter Verwendung von Capture-Recapture-Methoden.</w:t>
      </w:r>
    </w:p>
    <w:p>
      <w:r>
        <w:rPr>
          <w:b/>
        </w:rPr>
        <w:t xml:space="preserve">Ergebnis: </w:t>
      </w:r>
      <w:r>
        <w:t>Erhebliche Diskrepanzen zwischen Tally-basierten Recapture-Schätzungen und PCCS-Daten. Tally-Daten ermöglichen präzise, quasi-zeitgleiche Monitoring und hohe räumliche Auflösung. Verschiedene Verzerrungsmodelle erklären Abweichungen: Doppelzählungen, fehlende Dokumentation, Non-Response in PCCS. Tally-Sheets als unkonventionelle, aber nachvollziehbare Populationsstichprobe zur Echtzeitbewertung von Implementierungsqualität.</w:t>
      </w:r>
    </w:p>
    <w:p>
      <w:r>
        <w:rPr>
          <w:b/>
          <w:sz w:val="19"/>
        </w:rPr>
        <w:t xml:space="preserve">Übertragbarkeit: </w:t>
      </w:r>
      <w:r>
        <w:rPr>
          <w:sz w:val="19"/>
        </w:rPr>
        <w:t>Nigeria/Subsahara-Kontext, Methodik auf deutsche Kampagnen-Evaluation anwendbar, insbes. zur Echtzeit-Qualitätskontrolle.</w:t>
      </w:r>
    </w:p>
    <w:p>
      <w:r>
        <w:rPr>
          <w:color w:val="5A7D3A"/>
          <w:sz w:val="18"/>
        </w:rPr>
        <w:t>https://pubmed.ncbi.nlm.nih.gov/42732098/</w:t>
      </w:r>
    </w:p>
    <w:p>
      <w:pPr>
        <w:pStyle w:val="Heading2"/>
      </w:pPr>
      <w:r>
        <w:t>Verzögerte Impfungen: Globale Systeme erfassen Catch-up-Dosen unzureichend</w:t>
      </w:r>
    </w:p>
    <w:p>
      <w:r>
        <w:rPr>
          <w:i/>
          <w:color w:val="666666"/>
          <w:sz w:val="18"/>
        </w:rPr>
        <w:t>Danovaro-Holliday MC et al.  ·  Gates Open Res  ·  01.09.2026  ·  PMID 42732096</w:t>
      </w:r>
    </w:p>
    <w:p>
      <w:r>
        <w:t>Analyse von WHO/UNICEF-Daten aus 194 Ländern (2016–2022) zur Fähigkeit von Immunisierungssystemen, verzögerte (Catch-up-)Impfdosen zu dokumentieren und zu monitoren.</w:t>
      </w:r>
    </w:p>
    <w:p>
      <w:r>
        <w:rPr>
          <w:b/>
        </w:rPr>
        <w:t xml:space="preserve">Ergebnis: </w:t>
      </w:r>
      <w:r>
        <w:t>Nur 55,5–64,4 % der Länder verfügten über Systeme zur Erfassung verzögerter Dosen; in Amerika (AMR) 77,1–82,9 %. Median-Anteil verzögerter MCV1-Dosen: 4,4 %. Catch-up-Aktivitäten würden gemeldete Impfquoten um ca. 4 Prozentpunkte erhöhen. Erhebliche regionale Unterschiede je nach Einkommensstatus und Gavi-Teilnahme.</w:t>
      </w:r>
    </w:p>
    <w:p>
      <w:r>
        <w:rPr>
          <w:b/>
          <w:sz w:val="19"/>
        </w:rPr>
        <w:t xml:space="preserve">Übertragbarkeit: </w:t>
      </w:r>
      <w:r>
        <w:rPr>
          <w:sz w:val="19"/>
        </w:rPr>
        <w:t>Globale Systemanalyse, zeigt Schwächen in deutscher Impfdokumentation (Deutschland hat kein zentrales Impfregister).</w:t>
      </w:r>
    </w:p>
    <w:p>
      <w:r>
        <w:rPr>
          <w:color w:val="5A7D3A"/>
          <w:sz w:val="18"/>
        </w:rPr>
        <w:t>https://pubmed.ncbi.nlm.nih.gov/42732096/</w:t>
      </w:r>
    </w:p>
    <w:p>
      <w:pPr>
        <w:pStyle w:val="Heading2"/>
      </w:pPr>
      <w:r>
        <w:t>Masern als Messlatte: Warum Eradikation Impfsysteme stärkt</w:t>
      </w:r>
    </w:p>
    <w:p>
      <w:r>
        <w:rPr>
          <w:i/>
          <w:color w:val="666666"/>
          <w:sz w:val="18"/>
        </w:rPr>
        <w:t>Durrheim DN et al.  ·  Hum Vaccin Immunother  ·  12.09.2026  ·  PMID 42730634</w:t>
      </w:r>
    </w:p>
    <w:p>
      <w:r>
        <w:t>Perspektive zur strategischen Bedeutung von Masern-Eradikation als Katalysator für Aufbau stabiler Impfprogramme und Gesundheitssysteme, besonders im Kontext steigender Ausbrüche.</w:t>
      </w:r>
    </w:p>
    <w:p>
      <w:r>
        <w:rPr>
          <w:b/>
        </w:rPr>
        <w:t xml:space="preserve">Ergebnis: </w:t>
      </w:r>
      <w:r>
        <w:t>Masern-Eradikation erfordert und katalysiert Fähigkeiten, die auch grundlegend für resiliente Systeme sind: hohe Routineimpfquoten, sensitive Surveillance, qualitätsgesicherte Labornetzwerke, schnelle Ausbruchreaktion, Gemeinschaftsbeteiligung. Aktuelle Ausbrüche signalisieren Systemfragilitäten und bieten Gelegenheit zur Stärkung von Impfgerechtigkeit.</w:t>
      </w:r>
    </w:p>
    <w:p>
      <w:r>
        <w:rPr>
          <w:b/>
          <w:sz w:val="19"/>
        </w:rPr>
        <w:t xml:space="preserve">Übertragbarkeit: </w:t>
      </w:r>
      <w:r>
        <w:rPr>
          <w:sz w:val="19"/>
        </w:rPr>
        <w:t>Conceptual framework zur Systemstärkung, international anwendbar, besonders relevant für Länder mit Ausbrüchen.</w:t>
      </w:r>
    </w:p>
    <w:p>
      <w:r>
        <w:rPr>
          <w:color w:val="5A7D3A"/>
          <w:sz w:val="18"/>
        </w:rPr>
        <w:t>https://pubmed.ncbi.nlm.nih.gov/42730634/</w:t>
      </w:r>
    </w:p>
    <w:p>
      <w:pPr>
        <w:pStyle w:val="Heading2"/>
      </w:pPr>
      <w:r>
        <w:t>Sierra Leone: Von Impfstoff-Verfügbarkeit zur Bevölkerungsschutzung – Deployment Readiness</w:t>
      </w:r>
    </w:p>
    <w:p>
      <w:r>
        <w:rPr>
          <w:i/>
          <w:color w:val="666666"/>
          <w:sz w:val="18"/>
        </w:rPr>
        <w:t>Ikoona EN et al.  ·  Ann Glob Health  ·  07.09.2026  ·  PMID 42730077</w:t>
      </w:r>
    </w:p>
    <w:p>
      <w:r>
        <w:t>Vergleichende Analyse von Impfkampagnen-Implementierung in Sierra Leone (COVID-19 2021, Ebola 2024, Mpox 2025) zur Identifikation kritischer Faktoren zwischen Zulassung und Vakzinierungsbeginn.</w:t>
      </w:r>
    </w:p>
    <w:p>
      <w:r>
        <w:rPr>
          <w:b/>
        </w:rPr>
        <w:t xml:space="preserve">Ergebnis: </w:t>
      </w:r>
      <w:r>
        <w:t>COVID-19: 45 Tage von EMA-Zulassung bis Impfstart; 73,2–86,7 % Deckung in Zielgruppe. Ebola: 1.851 Tage bis Impfstart trotz globales Stockpile seit 2021. Mpox: 106 Tage nach Ausbruchbestätigung, 186.053 Personen erreicht. &gt;84 % der COVID-Dosen über Surge-Kampagnen. Produktverfügbarkeit allein unzureichend; nationale Aktivierung, Finanzierung und Anbindung an globale Vorgaben entscheidend.</w:t>
      </w:r>
    </w:p>
    <w:p>
      <w:r>
        <w:rPr>
          <w:b/>
          <w:sz w:val="19"/>
        </w:rPr>
        <w:t xml:space="preserve">Übertragbarkeit: </w:t>
      </w:r>
      <w:r>
        <w:rPr>
          <w:sz w:val="19"/>
        </w:rPr>
        <w:t>Niedrig-/mitteleinkommiges Land (WHO-EMRO), Implementierungs-Framework transferierbar auf deutsche Krise-Impf-Vorbereitung.</w:t>
      </w:r>
    </w:p>
    <w:p>
      <w:r>
        <w:rPr>
          <w:color w:val="5A7D3A"/>
          <w:sz w:val="18"/>
        </w:rPr>
        <w:t>https://pubmed.ncbi.nlm.nih.gov/42730077/</w:t>
      </w:r>
    </w:p>
    <w:p>
      <w:pPr>
        <w:pStyle w:val="Heading2"/>
      </w:pPr>
      <w:r>
        <w:t>Dengue- und Chikungunya-Impfstoffe: Verfügbarkeit ungleich Erreichen von Risikogruppen</w:t>
      </w:r>
    </w:p>
    <w:p>
      <w:r>
        <w:rPr>
          <w:i/>
          <w:color w:val="666666"/>
          <w:sz w:val="18"/>
        </w:rPr>
        <w:t>La Porta CAM et al.  ·  Open Res Eur  ·  22.08.2026  ·  PMID 42728936</w:t>
      </w:r>
    </w:p>
    <w:p>
      <w:r>
        <w:t>Übersichtsarbeit zu Lücken zwischen Impfstoff-Zulassung/globaler Verfügbarkeit und epidemiologischer Risikoverbreitung sowie inkonsistentem Eintrag in nationale Impfprogramme.</w:t>
      </w:r>
    </w:p>
    <w:p>
      <w:r>
        <w:rPr>
          <w:b/>
        </w:rPr>
        <w:t xml:space="preserve">Ergebnis: </w:t>
      </w:r>
      <w:r>
        <w:t>Erhebliche Diskrepanzen zwischen geografischen Regionen mit regulatorischer Zulassung und Zonen höchster epidemiologischer Belastung (Dengue, Chikungunya). Nationale Impfprogramm-Inklusion fragmentarisch. Aktuelle Strategien reaktiv, unzureichend an Transmissionsmuster und Gesundheitssystem-Kapazität angepasst. Bedarf: Präparedness-orientierte Frameworks für zeitgerechte Einführung, nachhaltige Abdeckung, risikoadaptives Deployment.</w:t>
      </w:r>
    </w:p>
    <w:p>
      <w:r>
        <w:rPr>
          <w:b/>
          <w:sz w:val="19"/>
        </w:rPr>
        <w:t xml:space="preserve">Übertragbarkeit: </w:t>
      </w:r>
      <w:r>
        <w:rPr>
          <w:sz w:val="19"/>
        </w:rPr>
        <w:t>Global, zeigt Koordinationsproblem zwischen Zulassung und Programm-Aufnahme, relevant für deutsche Impfkalender-Entscheidungen.</w:t>
      </w:r>
    </w:p>
    <w:p>
      <w:r>
        <w:rPr>
          <w:color w:val="5A7D3A"/>
          <w:sz w:val="18"/>
        </w:rPr>
        <w:t>https://pubmed.ncbi.nlm.nih.gov/42728936/</w:t>
      </w:r>
    </w:p>
    <w:p>
      <w:pPr>
        <w:pStyle w:val="Heading2"/>
      </w:pPr>
      <w:r>
        <w:t>Norovirus-Impfung in England: Kostenwirksam durch Vermeidung von Nierenschäden</w:t>
      </w:r>
    </w:p>
    <w:p>
      <w:r>
        <w:rPr>
          <w:i/>
          <w:color w:val="666666"/>
          <w:sz w:val="18"/>
        </w:rPr>
        <w:t>Bolt H et al.  ·  Epidemics  ·  28.07.2026  ·  PMID 42537313</w:t>
      </w:r>
    </w:p>
    <w:p>
      <w:r>
        <w:t>Modellierung der gesundheitsökonomischen Effekte einer Norovirus-Impfung in England, die Akutnierenschäden als Spätfolge berücksichtigt.</w:t>
      </w:r>
    </w:p>
    <w:p>
      <w:r>
        <w:rPr>
          <w:b/>
        </w:rPr>
        <w:t xml:space="preserve">Ergebnis: </w:t>
      </w:r>
      <w:r>
        <w:t>Kombinierte Impfstrategie für Kinder und Ältere reduzierte symptomatische Infektionen um 64–66 %. Mit akuten Nierenschäden war eine Impfstoffeffektivität von 35 % noch kosteneffektiv (Schwellenwert: £ 20.000 pro QALY). Ohne Berücksichtigung der Nierenschäden war keine Strategie kosteneffektiv.</w:t>
      </w:r>
    </w:p>
    <w:p>
      <w:r>
        <w:rPr>
          <w:b/>
          <w:sz w:val="19"/>
        </w:rPr>
        <w:t xml:space="preserve">Übertragbarkeit: </w:t>
      </w:r>
      <w:r>
        <w:rPr>
          <w:sz w:val="19"/>
        </w:rPr>
        <w:t>Englisches Versorgungssystem, vergleichbar mit deutschen Health Economics-Evaluationen.</w:t>
      </w:r>
    </w:p>
    <w:p>
      <w:r>
        <w:rPr>
          <w:color w:val="5A7D3A"/>
          <w:sz w:val="18"/>
        </w:rPr>
        <w:t>https://pubmed.ncbi.nlm.nih.gov/42537313/</w:t>
      </w:r>
    </w:p>
    <w:p>
      <w:pPr>
        <w:pStyle w:val="Heading2"/>
      </w:pPr>
      <w:r>
        <w:t>Viruslast-Dynamik und Varianten: Was Frankreichs Routinetests über Impfschutz verraten</w:t>
      </w:r>
    </w:p>
    <w:p>
      <w:r>
        <w:rPr>
          <w:i/>
          <w:color w:val="666666"/>
          <w:sz w:val="18"/>
        </w:rPr>
        <w:t>Beaulieu M et al.  ·  PLoS Comput Biol  ·  27.07.2026  ·  PMID 42507756</w:t>
      </w:r>
    </w:p>
    <w:p>
      <w:r>
        <w:t>Analysen von 322.218 PCR-Tests aus Frankreich 2021–2022 zur Erfassung der Viraldy­namik unter verschiedenen Varianten und Impfstatus bei symptomatic infection.</w:t>
      </w:r>
    </w:p>
    <w:p>
      <w:r>
        <w:rPr>
          <w:b/>
        </w:rPr>
        <w:t xml:space="preserve">Ergebnis: </w:t>
      </w:r>
      <w:r>
        <w:t>Alter ≥ 65 Jahre: längere Clearance-Zeit um 2–6 Tage. Geimpfte Personen: 2–4 Tage kürzere Clearance. Omicron: um 2–3 Ct niedrigere Peakviruslast und um 1–2 Tage kürzere Clearance als Delta. Gemeinschafts-PCR-Testdaten ermöglichen robuste Virusdynamik-Schätzungen.</w:t>
      </w:r>
    </w:p>
    <w:p>
      <w:r>
        <w:rPr>
          <w:b/>
          <w:sz w:val="19"/>
        </w:rPr>
        <w:t xml:space="preserve">Übertragbarkeit: </w:t>
      </w:r>
      <w:r>
        <w:rPr>
          <w:sz w:val="19"/>
        </w:rPr>
        <w:t>Frankreich, ähnliche Surveillance-Infrastruktur wie Deutschland, Methode auf deutsche Testdaten übertragbar.</w:t>
      </w:r>
    </w:p>
    <w:p>
      <w:r>
        <w:rPr>
          <w:color w:val="5A7D3A"/>
          <w:sz w:val="18"/>
        </w:rPr>
        <w:t>https://pubmed.ncbi.nlm.nih.gov/42507756/</w:t>
      </w:r>
    </w:p>
    <w:p>
      <w:pPr>
        <w:pStyle w:val="Heading1"/>
      </w:pPr>
      <w:r>
        <w:t>Aufgenommen am 13.09.2026</w:t>
      </w:r>
    </w:p>
    <w:p>
      <w:pPr>
        <w:pStyle w:val="Heading2"/>
      </w:pPr>
      <w:r>
        <w:t>Impflücken in Peru: Wissen und Angst beeinflussen Impfvollständigkeit bei Kindern</w:t>
      </w:r>
    </w:p>
    <w:p>
      <w:r>
        <w:rPr>
          <w:i/>
          <w:color w:val="666666"/>
          <w:sz w:val="18"/>
        </w:rPr>
        <w:t>Castro-Fuentes MN et al.  ·  Front Public Health  ·  26.08.2026  ·  PMID 42718735</w:t>
      </w:r>
    </w:p>
    <w:p>
      <w:r>
        <w:t>Querschnittsstudie bei 123 Familien in Sunampe, Peru: Assoziationen zwischen Impflücken bei Kindern unter fünf Jahren und mütterlichen Wahrnehmungen, Wissen und Angst.</w:t>
      </w:r>
    </w:p>
    <w:p>
      <w:r>
        <w:rPr>
          <w:b/>
        </w:rPr>
        <w:t xml:space="preserve">Ergebnis: </w:t>
      </w:r>
      <w:r>
        <w:t>Impfverweigerung (≥3 verpasste Schlüsseldosen bis 6 Monate): signifikante Prädiktoren waren Mangel an Wissen über Impfalter (OR: 10,96; p &lt; 0,001) und Nichtbesuch von Impfberatungssitzungen (OR: 3,32; p = 0,026). Angst vor Nebenwirkungen (99,2 % der Mütter berichteten sie) war nicht signifikant (Hinweis auf Antwortverzerrung). Modell: AUC = 0,852. Todesfälle unter 5 Jahren (2017–2022): 10 Fälle, davon 6 pneumokokkal-assoziierten.</w:t>
      </w:r>
    </w:p>
    <w:p>
      <w:r>
        <w:rPr>
          <w:b/>
          <w:sz w:val="19"/>
        </w:rPr>
        <w:t xml:space="preserve">Übertragbarkeit: </w:t>
      </w:r>
      <w:r>
        <w:rPr>
          <w:sz w:val="19"/>
        </w:rPr>
        <w:t>Peru – Befund zu Wissenslücken und Impfpfaden in untermotivierter Bevölkerung auf Deutschland nicht direkt übertragbar, aber qualitativ relevant für Migrationsgruppen</w:t>
      </w:r>
    </w:p>
    <w:p>
      <w:r>
        <w:rPr>
          <w:color w:val="5A7D3A"/>
          <w:sz w:val="18"/>
        </w:rPr>
        <w:t>https://pubmed.ncbi.nlm.nih.gov/42718735/</w:t>
      </w:r>
    </w:p>
    <w:p>
      <w:pPr>
        <w:pStyle w:val="Heading2"/>
      </w:pPr>
      <w:r>
        <w:t>Pneumokokkencolonisierung bei Kindern in Brasilien: Begrenzte Abdeckung durch PCV10</w:t>
      </w:r>
    </w:p>
    <w:p>
      <w:r>
        <w:rPr>
          <w:i/>
          <w:color w:val="666666"/>
          <w:sz w:val="18"/>
        </w:rPr>
        <w:t>Sousa IO et al.  ·  PLoS One  ·  09.09.2026  ·  PMID 42715187</w:t>
      </w:r>
    </w:p>
    <w:p>
      <w:r>
        <w:t>Querschnittstudie bei 400 Kindern (2–5 Jahre) in Salvador, Brasilien: Nasopharyngale Besiedlung mit Streptococcus pneumoniae und Serotypverteilung nach PCV10-GSK-Impfung im brasilianischen Routineprogramm.</w:t>
      </w:r>
    </w:p>
    <w:p>
      <w:r>
        <w:rPr>
          <w:b/>
        </w:rPr>
        <w:t xml:space="preserve">Ergebnis: </w:t>
      </w:r>
      <w:r>
        <w:t>Gesamtbesiedlungsrate: 39,5 %. Häufigste Serotypen: 6C (17,9 %), 19A (13,0 %), 11A (9,3 %). PCV10-GSK deckt nur 3,2 % der Serotypen ab; PCV20 würde 39,5 % abdecken. Penicillinresistenz in 21,8 % der Isolate, am höchsten bei 19A (71,4 %). Befund zeigt Impflücke bei nicht-PCV10-Serotypen trotz Impfung.</w:t>
      </w:r>
    </w:p>
    <w:p>
      <w:r>
        <w:rPr>
          <w:b/>
          <w:sz w:val="19"/>
        </w:rPr>
        <w:t xml:space="preserve">Übertragbarkeit: </w:t>
      </w:r>
      <w:r>
        <w:rPr>
          <w:sz w:val="19"/>
        </w:rPr>
        <w:t>Brasilien – Befund zur Serotyp-Abdeckung und Resistenzentwicklung unter Feldimpfung ist grundlegend übertragbar</w:t>
      </w:r>
    </w:p>
    <w:p>
      <w:r>
        <w:rPr>
          <w:color w:val="5A7D3A"/>
          <w:sz w:val="18"/>
        </w:rPr>
        <w:t>https://pubmed.ncbi.nlm.nih.gov/42715187/</w:t>
      </w:r>
    </w:p>
    <w:p>
      <w:pPr>
        <w:pStyle w:val="Heading2"/>
      </w:pPr>
      <w:r>
        <w:t>Pneumococcale Impfung (PCV21) verhindert invasive Erkrankungen bei Erwachsenen in Spanien</w:t>
      </w:r>
    </w:p>
    <w:p>
      <w:r>
        <w:rPr>
          <w:i/>
          <w:color w:val="666666"/>
          <w:sz w:val="18"/>
        </w:rPr>
        <w:t>Simuzingili M et al.  ·  Vaccine  ·  03.10.2026  ·  PMID 42669238</w:t>
      </w:r>
    </w:p>
    <w:p>
      <w:r>
        <w:t>Gesundheitsökonomische Modellstudie in Spanien: Der 21-valente pneumokokkale Konjugatimpfstoff (PCV21) wurde mit PCV20 verglichen hinsichtlich verhinderte IPD-Fälle und vermiedene Kosten.</w:t>
      </w:r>
    </w:p>
    <w:p>
      <w:r>
        <w:rPr>
          <w:b/>
        </w:rPr>
        <w:t xml:space="preserve">Ergebnis: </w:t>
      </w:r>
      <w:r>
        <w:t>Bei 45–64-jährigen: PCV21 verhindert 178 IPD-Fälle mehr und 20 Todesfälle mehr als PCV20; spart 0,7 Mio. EUR (10% Mehrersparnis). Bei ≥65-Jährigen: 2019 IPD-Fälle und 435 Todesfälle mehr verhindert; spart 257 Mio. EUR (25% Mehrersparnis). Beide Altersgruppen: PCV21 war in allen Szenarien kostenwirksam.</w:t>
      </w:r>
    </w:p>
    <w:p>
      <w:r>
        <w:rPr>
          <w:b/>
          <w:sz w:val="19"/>
        </w:rPr>
        <w:t xml:space="preserve">Übertragbarkeit: </w:t>
      </w:r>
      <w:r>
        <w:rPr>
          <w:sz w:val="19"/>
        </w:rPr>
        <w:t>Spanien, vergleichbares Versicherungssystem und Epidemiologie wie Deutschland</w:t>
      </w:r>
    </w:p>
    <w:p>
      <w:r>
        <w:rPr>
          <w:color w:val="5A7D3A"/>
          <w:sz w:val="18"/>
        </w:rPr>
        <w:t>https://pubmed.ncbi.nlm.nih.gov/42669238/</w:t>
      </w:r>
    </w:p>
    <w:p>
      <w:pPr>
        <w:pStyle w:val="Heading2"/>
      </w:pPr>
      <w:r>
        <w:t>RSV-Impfung für Neugeborene in Japan: Saisonale vs. ganzjährige Strategie</w:t>
      </w:r>
    </w:p>
    <w:p>
      <w:r>
        <w:rPr>
          <w:i/>
          <w:color w:val="666666"/>
          <w:sz w:val="18"/>
        </w:rPr>
        <w:t>Monoi A et al.  ·  Vaccine  ·  03.10.2026  ·  PMID 42648051</w:t>
      </w:r>
    </w:p>
    <w:p>
      <w:r>
        <w:t>Modellstudie: Vergleich saisonaler und ganzjähriger RSV-Immunisierung von Neugeborenen zur Prävention von Krankenhausaufenthalten.</w:t>
      </w:r>
    </w:p>
    <w:p>
      <w:r>
        <w:rPr>
          <w:b/>
        </w:rPr>
        <w:t xml:space="preserve">Ergebnis: </w:t>
      </w:r>
      <w:r>
        <w:t>Ganzjährige RSVpreF-Impfung: 46 % Reduktion der RSV-Hospitalisierungen (95% UR: 31–65%). Ganzjährig Nirsevimab: 58 % Reduktion (95% UR: 39–79%). Saisonale Programme: bei zeitgerechter Durchführung 56–61 % Reduktion. Effekt stark abhängig von Saisonalitätsprädiktion und logistischen Kapazitäten.</w:t>
      </w:r>
    </w:p>
    <w:p>
      <w:r>
        <w:rPr>
          <w:b/>
          <w:sz w:val="19"/>
        </w:rPr>
        <w:t xml:space="preserve">Übertragbarkeit: </w:t>
      </w:r>
      <w:r>
        <w:rPr>
          <w:sz w:val="19"/>
        </w:rPr>
        <w:t>Japan, anderer Kontext – Befund zur Saisonalität und Impfstoffhaltbarkeit aber grundsätzlich übertragbar</w:t>
      </w:r>
    </w:p>
    <w:p>
      <w:r>
        <w:rPr>
          <w:color w:val="5A7D3A"/>
          <w:sz w:val="18"/>
        </w:rPr>
        <w:t>https://pubmed.ncbi.nlm.nih.gov/42648051/</w:t>
      </w:r>
    </w:p>
    <w:p>
      <w:pPr>
        <w:pStyle w:val="Heading2"/>
      </w:pPr>
      <w:r>
        <w:t>Pneumokokken-Impfung bei Erwachsenen mit Diabetes: Verzögerte Aufnahme in Versorgung</w:t>
      </w:r>
    </w:p>
    <w:p>
      <w:r>
        <w:rPr>
          <w:i/>
          <w:color w:val="666666"/>
          <w:sz w:val="18"/>
        </w:rPr>
        <w:t>Lenzi J et al.  ·  Vaccine  ·  03.10.2026  ·  PMID 42612465</w:t>
      </w:r>
    </w:p>
    <w:p>
      <w:r>
        <w:t>Populationsbasierte Kohortenstudie in Romagna (Italien) mit administrativen Daten: Zeitliche Muster und verpasste Impfgelegenheiten der Pneumokokken-Impfung bei Diabetikern über sieben Jahre.</w:t>
      </w:r>
    </w:p>
    <w:p>
      <w:r>
        <w:rPr>
          <w:b/>
        </w:rPr>
        <w:t xml:space="preserve">Ergebnis: </w:t>
      </w:r>
      <w:r>
        <w:t>Durchimpfungsquote stieg von 7,2 % (Jan. 2017) auf 28,0 % (Juni 2024), blieb aber deutlich unter 30 %. In der Inzidenzkohorte: 4,4 % Impfung nach 1 Jahr, 12,6 % nach 3 Jahren, 34,8 % nach 7 Jahren – kein markanter Anstieg unmittelbar nach Diagnose. Fremdländerisches Herkunftsland assoziiiert mit deutlich niedrigerer Aufnahme (OR: 0,52). Muster deutet auf mangelnde Integration in Diabetes-Versorgungspfade hin.</w:t>
      </w:r>
    </w:p>
    <w:p>
      <w:r>
        <w:rPr>
          <w:b/>
          <w:sz w:val="19"/>
        </w:rPr>
        <w:t xml:space="preserve">Übertragbarkeit: </w:t>
      </w:r>
      <w:r>
        <w:rPr>
          <w:sz w:val="19"/>
        </w:rPr>
        <w:t>Italien, ähnliches Versicherungssystem; Befund zu Versorgungsintegration auf Deutschland übertragbar</w:t>
      </w:r>
    </w:p>
    <w:p>
      <w:r>
        <w:rPr>
          <w:color w:val="5A7D3A"/>
          <w:sz w:val="18"/>
        </w:rPr>
        <w:t>https://pubmed.ncbi.nlm.nih.gov/42612465/</w:t>
      </w:r>
    </w:p>
    <w:p>
      <w:pPr>
        <w:pStyle w:val="Heading2"/>
      </w:pPr>
      <w:r>
        <w:t>Sicherheit der Lebendimpfstoff-Influenzaimpfung in England: Acht Jahre Pharmakovigilanz</w:t>
      </w:r>
    </w:p>
    <w:p>
      <w:r>
        <w:rPr>
          <w:i/>
          <w:color w:val="666666"/>
          <w:sz w:val="18"/>
        </w:rPr>
        <w:t>Dhanda S et al.  ·  Vaccine  ·  03.10.2026  ·  PMID 42607627</w:t>
      </w:r>
    </w:p>
    <w:p>
      <w:r>
        <w:t>Verbesserte passive Sicherheitsüberwachung (EPSS) des intranasalen Lebendimpfstoffs Fluenz® Tetra bei Kindern über acht Grippesaisons in England, mit Sicherheitsberichtskarten in 38–49 Praxen und 25–50 Schulen pro Saison.</w:t>
      </w:r>
    </w:p>
    <w:p>
      <w:r>
        <w:rPr>
          <w:b/>
        </w:rPr>
        <w:t xml:space="preserve">Ergebnis: </w:t>
      </w:r>
      <w:r>
        <w:t>8753–17.922 Sicherheitsberichtskarten ausgegeben jährlich. Rücklaufquoten: 2015/2016: 1,9 %, sinkend auf 2022/2023: 0,4 %. Rhinorrhö am häufigsten gemeldet (0,1–0,6 %). Schwerwiegende unerwünschte Ereignisse selten. Befund unterstützt positives Nutzen-Risiko-Profil über alle acht Saisons.</w:t>
      </w:r>
    </w:p>
    <w:p>
      <w:r>
        <w:rPr>
          <w:b/>
          <w:sz w:val="19"/>
        </w:rPr>
        <w:t xml:space="preserve">Übertragbarkeit: </w:t>
      </w:r>
      <w:r>
        <w:rPr>
          <w:sz w:val="19"/>
        </w:rPr>
        <w:t>Großbritannien, vergleichbare Versorgungsinfrastruktur und Pharmakovigilanz-Standards</w:t>
      </w:r>
    </w:p>
    <w:p>
      <w:r>
        <w:rPr>
          <w:color w:val="5A7D3A"/>
          <w:sz w:val="18"/>
        </w:rPr>
        <w:t>https://pubmed.ncbi.nlm.nih.gov/42607627/</w:t>
      </w:r>
    </w:p>
    <w:p>
      <w:pPr>
        <w:pStyle w:val="Heading1"/>
      </w:pPr>
      <w:r>
        <w:t>Aufgenommen am 12.09.2026</w:t>
      </w:r>
    </w:p>
    <w:p>
      <w:pPr>
        <w:pStyle w:val="Heading2"/>
      </w:pPr>
      <w:r>
        <w:t>COVID-19-Sterblichkeit nach Einkommen: Vorbefunde schlagen Impfung um Faktor 3–5</w:t>
      </w:r>
    </w:p>
    <w:p>
      <w:r>
        <w:rPr>
          <w:i/>
          <w:color w:val="666666"/>
          <w:sz w:val="18"/>
        </w:rPr>
        <w:t>Milkovska E et al.  ·  Int J Epidemiol  ·  18.08.2026  ·  PMID 42727089</w:t>
      </w:r>
    </w:p>
    <w:p>
      <w:r>
        <w:t>Analyse niederländischer Administrativdaten (n = 6.619.699) zur Frage, inwieweit unterschiedliche Vorerkrankungen und Impfquoten die Sterblichkeitsungleichheit nach Einkommen im Jahr 2021 erklären.</w:t>
      </w:r>
    </w:p>
    <w:p>
      <w:r>
        <w:rPr>
          <w:b/>
        </w:rPr>
        <w:t xml:space="preserve">Ergebnis: </w:t>
      </w:r>
      <w:r>
        <w:t>Ärmstes Einkommensfünftel starb 3-mal häufiger an COVID-19 als reichstes. Unterschiede in Vorerkrankungen erklärten 46–67 % der Ungleichheit, Unterschiede in Impfquoten nur 14–19 %. Soziale Determinanten der Gesundheit waren das Haupttreiber.</w:t>
      </w:r>
    </w:p>
    <w:p>
      <w:r>
        <w:rPr>
          <w:b/>
          <w:sz w:val="19"/>
        </w:rPr>
        <w:t xml:space="preserve">Übertragbarkeit: </w:t>
      </w:r>
      <w:r>
        <w:rPr>
          <w:sz w:val="19"/>
        </w:rPr>
        <w:t>Niederländische Administrativdaten mit vergleichbarem Versicherungssystem zu Deutschland</w:t>
      </w:r>
    </w:p>
    <w:p>
      <w:r>
        <w:rPr>
          <w:color w:val="5A7D3A"/>
          <w:sz w:val="18"/>
        </w:rPr>
        <w:t>https://pubmed.ncbi.nlm.nih.gov/42727089/</w:t>
      </w:r>
    </w:p>
    <w:p>
      <w:pPr>
        <w:pStyle w:val="Heading2"/>
      </w:pPr>
      <w:r>
        <w:t>Mütterliche RSV-Impfung reduziert Bronchiolitis-Krankenhauseinweisungen bei Säuglingen um 62 %</w:t>
      </w:r>
    </w:p>
    <w:p>
      <w:r>
        <w:rPr>
          <w:i/>
          <w:color w:val="666666"/>
          <w:sz w:val="18"/>
        </w:rPr>
        <w:t>Broad J et al.  ·  Euro Surveill  ·  Sept. 2026  ·  PMID 42725370</w:t>
      </w:r>
    </w:p>
    <w:p>
      <w:r>
        <w:t>Zeitreihenanalyse zu Auswirkungen der mütterlichen RSV-Impfung auf Hospitalisierungen von Säuglingen unter 3 Monaten in England von September 2024 bis März 2026.</w:t>
      </w:r>
    </w:p>
    <w:p>
      <w:r>
        <w:rPr>
          <w:b/>
        </w:rPr>
        <w:t xml:space="preserve">Ergebnis: </w:t>
      </w:r>
      <w:r>
        <w:t>RSV-Bronchiolitis-Krankenhauseinweisungen sanken um 62,6 % (IRR 0,374; 95%-KI: 0,344–0,407), Bronchiolitis insgesamt um 39,3 %. Bei Impfquote von 55,1 % reduzierten sich Aufnahmen auf Intensivstationen um 41,0 %. Ein bedeutender Schutzeffekt unter realen Versorgungsbedingungen.</w:t>
      </w:r>
    </w:p>
    <w:p>
      <w:r>
        <w:rPr>
          <w:b/>
          <w:sz w:val="19"/>
        </w:rPr>
        <w:t xml:space="preserve">Übertragbarkeit: </w:t>
      </w:r>
      <w:r>
        <w:rPr>
          <w:sz w:val="19"/>
        </w:rPr>
        <w:t>England mit Impfregister; Datenverfügbarkeit ähnlich wie in Skandinavien, nicht Deutschland</w:t>
      </w:r>
    </w:p>
    <w:p>
      <w:r>
        <w:rPr>
          <w:color w:val="5A7D3A"/>
          <w:sz w:val="18"/>
        </w:rPr>
        <w:t>https://pubmed.ncbi.nlm.nih.gov/42725370/</w:t>
      </w:r>
    </w:p>
    <w:p>
      <w:pPr>
        <w:pStyle w:val="Heading2"/>
      </w:pPr>
      <w:r>
        <w:t>Impfskepsis in Pakistan: Datenschutzmethoden zeigen Underreporting bei sensiblen Fragen</w:t>
      </w:r>
    </w:p>
    <w:p>
      <w:r>
        <w:rPr>
          <w:i/>
          <w:color w:val="666666"/>
          <w:sz w:val="18"/>
        </w:rPr>
        <w:t>Shahid MI et al.  ·  Front Public Health  ·  27.08.2026  ·  PMID 42723770</w:t>
      </w:r>
    </w:p>
    <w:p>
      <w:r>
        <w:t>Querschnittsstudie mit 1.200 Teilnehmern in Punjab, Pakistan (Juni–August 2021), die Underreporting von COVID-19-Fällen und Impfskepsis mit privacy-wahrenden randomisierten Antworttechniken misst.</w:t>
      </w:r>
    </w:p>
    <w:p>
      <w:r>
        <w:rPr>
          <w:b/>
        </w:rPr>
        <w:t xml:space="preserve">Ergebnis: </w:t>
      </w:r>
      <w:r>
        <w:t>Direkt berichtete COVID-19-Fälle (städtisch 10,5 %, ländlich 13,7 %) lagen unter datenschutzgeschützten Schätzungen (städtisch 15,3–17,4 %, ländlich 16,7–19,5 %). Impfskepsis-Underreporting kleiner (26,3 % vs. 27,2–27,4 %). PRE &gt;100, bessere Effizienz als Benchmark-Modelle. Privacy-Methoden reduzieren Verzerrung bei sensiblen Outcomes.</w:t>
      </w:r>
    </w:p>
    <w:p>
      <w:r>
        <w:rPr>
          <w:b/>
          <w:sz w:val="19"/>
        </w:rPr>
        <w:t xml:space="preserve">Übertragbarkeit: </w:t>
      </w:r>
      <w:r>
        <w:rPr>
          <w:sz w:val="19"/>
        </w:rPr>
        <w:t>Pakistan, Niedrig-Ressourcen-Setting; Methode zur Verbesserung der Surveillancequalität in Ländern mit schwacher Dokumentation</w:t>
      </w:r>
    </w:p>
    <w:p>
      <w:r>
        <w:rPr>
          <w:color w:val="5A7D3A"/>
          <w:sz w:val="18"/>
        </w:rPr>
        <w:t>https://pubmed.ncbi.nlm.nih.gov/42723770/</w:t>
      </w:r>
    </w:p>
    <w:p>
      <w:pPr>
        <w:pStyle w:val="Heading2"/>
      </w:pPr>
      <w:r>
        <w:t>PCV21-Pneumokokken-Impfung für Risikopatienten 18–64 Jahre in der Schweiz kosteneffektiv</w:t>
      </w:r>
    </w:p>
    <w:p>
      <w:r>
        <w:rPr>
          <w:i/>
          <w:color w:val="666666"/>
          <w:sz w:val="18"/>
        </w:rPr>
        <w:t>Simuzingili M et al.  ·  J Med Econ  ·  10.09.2026  ·  PMID 42723339</w:t>
      </w:r>
    </w:p>
    <w:p>
      <w:r>
        <w:t>Markov-Modell zur Kosten-Effektivität einer PCV21-Impfung für Hochrisiko- und Risiko-Patienten (18–64 Jahre) in der Schweiz mit lebenslanger Perspektive.</w:t>
      </w:r>
    </w:p>
    <w:p>
      <w:r>
        <w:rPr>
          <w:b/>
        </w:rPr>
        <w:t xml:space="preserve">Ergebnis: </w:t>
      </w:r>
      <w:r>
        <w:t>Bei 60-prozentiger Impfquote wurden 518 Fälle invasiver Pneumokokkenerkrankung, 224 Todesfälle und 2.578 ambulant behandelte Pneumonien verhindert. Impfkosten (CHF 39,0 Mio.) überwogen Einsparungen (CHF 21,4 Mio.) um Netto-CHF 17,6 Mio. ICER: CHF 7.665/QALY (kosteneffektiv ab CHF 18.000/QALY-Schwelle). In Sensitivitätsanalyse 100 % Wahrscheinlichkeit Kosteneffektivität.</w:t>
      </w:r>
    </w:p>
    <w:p>
      <w:r>
        <w:rPr>
          <w:b/>
          <w:sz w:val="19"/>
        </w:rPr>
        <w:t xml:space="preserve">Übertragbarkeit: </w:t>
      </w:r>
      <w:r>
        <w:rPr>
          <w:sz w:val="19"/>
        </w:rPr>
        <w:t>Schweizer Gesundheitssystem; Kosten- und Nutzenstruktur ähnlich dem deutschen</w:t>
      </w:r>
    </w:p>
    <w:p>
      <w:r>
        <w:rPr>
          <w:color w:val="5A7D3A"/>
          <w:sz w:val="18"/>
        </w:rPr>
        <w:t>https://pubmed.ncbi.nlm.nih.gov/42723339/</w:t>
      </w:r>
    </w:p>
    <w:p>
      <w:pPr>
        <w:pStyle w:val="Heading2"/>
      </w:pPr>
      <w:r>
        <w:t>RSVpreF-Impfung in Frankreich: Empfohlene Strategie verhindert 7.620 Hospitalisierungen, kostengünstig</w:t>
      </w:r>
    </w:p>
    <w:p>
      <w:r>
        <w:rPr>
          <w:i/>
          <w:color w:val="666666"/>
          <w:sz w:val="18"/>
        </w:rPr>
        <w:t>Fahfouhi Y et al.  ·  Vaccine  ·  03.10.2026  ·  PMID 42628195</w:t>
      </w:r>
    </w:p>
    <w:p>
      <w:r>
        <w:t>Markov-Modell zur Gesundheits- und Kostenfolgen von vier nationalen RSVpreF-Impfstrategien für schwangere Frauen in Frankreich unter Verwendung von Daten zu 627.499 Geburten pro Jahr.</w:t>
      </w:r>
    </w:p>
    <w:p>
      <w:r>
        <w:rPr>
          <w:b/>
        </w:rPr>
        <w:t xml:space="preserve">Ergebnis: </w:t>
      </w:r>
      <w:r>
        <w:t>Ohne Impfung: 38.625 RSV-Hospitalisierungen pro Jahr (Kosten €120,0 Mio.). Empfohlene Strategie (Sept.–Jan.) verhinderte 7.620 Hospitalisierungen (−19,7 %), Kosten €126,4 Mio., €844/Hospitalisierung verhindert, NNV 21. Erweiterte Strategie (Mai–Jan.) zusätzlich 4.111 Fälle vermieden (−13,3 % zusätzlich), erhöhte Gesamtkosten auf €134,4 Mio. (+6,3 %).</w:t>
      </w:r>
    </w:p>
    <w:p>
      <w:r>
        <w:rPr>
          <w:b/>
          <w:sz w:val="19"/>
        </w:rPr>
        <w:t xml:space="preserve">Übertragbarkeit: </w:t>
      </w:r>
      <w:r>
        <w:rPr>
          <w:sz w:val="19"/>
        </w:rPr>
        <w:t>Frankreich, europäisches Versicherungssystem; Nationale Impfkalender und Gesundheitsvergütung vergleichbar</w:t>
      </w:r>
    </w:p>
    <w:p>
      <w:r>
        <w:rPr>
          <w:color w:val="5A7D3A"/>
          <w:sz w:val="18"/>
        </w:rPr>
        <w:t>https://pubmed.ncbi.nlm.nih.gov/42628195/</w:t>
      </w:r>
    </w:p>
    <w:p>
      <w:pPr>
        <w:pStyle w:val="Heading2"/>
      </w:pPr>
      <w:r>
        <w:t>HPV-Impfquote in Europa: 55–60 % im Jahr 5, Schulprogramme und Arztdichte entscheidend</w:t>
      </w:r>
    </w:p>
    <w:p>
      <w:r>
        <w:rPr>
          <w:i/>
          <w:color w:val="666666"/>
          <w:sz w:val="18"/>
        </w:rPr>
        <w:t>Pavia G et al.  ·  Vaccine  ·  03.10.2026  ·  PMID 42623713</w:t>
      </w:r>
    </w:p>
    <w:p>
      <w:r>
        <w:t>Längsschnittstudie über Impfquoten bei 15-jährigen Mädchen in 43 europäischen Ländern 2010–2023, mit Analyse von Prädiktoren und Assoziation mit Google-Suchvolumen.</w:t>
      </w:r>
    </w:p>
    <w:p>
      <w:r>
        <w:rPr>
          <w:b/>
        </w:rPr>
        <w:t xml:space="preserve">Ergebnis: </w:t>
      </w:r>
      <w:r>
        <w:t>Impfquote stieg nach Aufnahme ins nationale Programm auf ~40 % im Jahr 2 , stabilisierte sich bei 55–60 % im Jahr 5. Über 60 % in den meisten Ländern erreicht. Schulprogramme boten schnellere Kurven. Ärztedichte und niedrige öffentliche Skepsis waren signifikante Prädiktoren. WHO-Ziel von 90 % verfehlt.</w:t>
      </w:r>
    </w:p>
    <w:p>
      <w:r>
        <w:rPr>
          <w:b/>
          <w:sz w:val="19"/>
        </w:rPr>
        <w:t xml:space="preserve">Übertragbarkeit: </w:t>
      </w:r>
      <w:r>
        <w:rPr>
          <w:sz w:val="19"/>
        </w:rPr>
        <w:t>Europäische Länder, vergleichbare Systeme; Datenqualität variiert stark (kein deutsches Impfregister)</w:t>
      </w:r>
    </w:p>
    <w:p>
      <w:r>
        <w:rPr>
          <w:color w:val="5A7D3A"/>
          <w:sz w:val="18"/>
        </w:rPr>
        <w:t>https://pubmed.ncbi.nlm.nih.gov/42623713/</w:t>
      </w:r>
    </w:p>
    <w:p>
      <w:pPr>
        <w:pStyle w:val="Heading2"/>
      </w:pPr>
      <w:r>
        <w:t>Diphtherie in der Schweiz 1877–2022: Impfprogramme brachen Epidemie-Wellen</w:t>
      </w:r>
    </w:p>
    <w:p>
      <w:r>
        <w:rPr>
          <w:i/>
          <w:color w:val="666666"/>
          <w:sz w:val="18"/>
        </w:rPr>
        <w:t>Tuor SM et al.  ·  Vaccine  ·  03.10.2026  ·  PMID 42623711</w:t>
      </w:r>
    </w:p>
    <w:p>
      <w:r>
        <w:t>Historische Zeitreihenanalyse der Diphtherie-Morbidität und -Mortalität in der Schweiz über 145 Jahre, mit Bayesianischen Modellen zur Quantifizierung des Impfeffekts ab 1933.</w:t>
      </w:r>
    </w:p>
    <w:p>
      <w:r>
        <w:rPr>
          <w:b/>
        </w:rPr>
        <w:t xml:space="preserve">Ergebnis: </w:t>
      </w:r>
      <w:r>
        <w:t>Von 35.271 Diphtherietodesfällen (1877–2022) starben 99,5 % vor flächendeckender Impfung. Nach Einführung zwingender Impfung in Genf (1933) lagen Inzidenz und Mortalität konsistent unter gemodellten Gegenszenarios. Nach landesweiter Empfehlung (1943) sank Diphtherie schnell in allen Kantonen, aber früher und stärker in Kantonen mit Impfpflicht.</w:t>
      </w:r>
    </w:p>
    <w:p>
      <w:r>
        <w:rPr>
          <w:b/>
          <w:sz w:val="19"/>
        </w:rPr>
        <w:t xml:space="preserve">Übertragbarkeit: </w:t>
      </w:r>
      <w:r>
        <w:rPr>
          <w:sz w:val="19"/>
        </w:rPr>
        <w:t>Schweizer Klinik- und Todesursachendaten; DACH-System mit Dokumentationspflicht vergleichbar</w:t>
      </w:r>
    </w:p>
    <w:p>
      <w:r>
        <w:rPr>
          <w:color w:val="5A7D3A"/>
          <w:sz w:val="18"/>
        </w:rPr>
        <w:t>https://pubmed.ncbi.nlm.nih.gov/42623711/</w:t>
      </w:r>
    </w:p>
    <w:p>
      <w:pPr>
        <w:pStyle w:val="Heading1"/>
      </w:pPr>
      <w:r>
        <w:t>Aufgenommen am 11.09.2026</w:t>
      </w:r>
    </w:p>
    <w:p>
      <w:pPr>
        <w:pStyle w:val="Heading2"/>
      </w:pPr>
      <w:r>
        <w:t>Hebammensicht auf Impfskepsis und Impfverweigerung: Faktoren und Strategien</w:t>
      </w:r>
    </w:p>
    <w:p>
      <w:r>
        <w:rPr>
          <w:i/>
          <w:color w:val="666666"/>
          <w:sz w:val="18"/>
        </w:rPr>
        <w:t>Çatalgöl Ş et al.  ·  Rev Esc Enferm USP  ·  07.09.2026  ·  PMID 42721439</w:t>
      </w:r>
    </w:p>
    <w:p>
      <w:r>
        <w:t>Deskriptive Querschnittsstudie mit 81 Hebammen in türkischen Familien-Gesundheitszentren zu Faktoren der Impfskepsis und empfohlenen Lösungsstrategien.</w:t>
      </w:r>
    </w:p>
    <w:p>
      <w:r>
        <w:rPr>
          <w:b/>
        </w:rPr>
        <w:t xml:space="preserve">Ergebnis: </w:t>
      </w:r>
      <w:r>
        <w:t>Meistgenannte Faktoren der Impfskepsis: Anti-Impf-Websites (90,1 %), Sorgen um Impfstoff-Inhaltsstoffe (70,4 %), Einfluss von Gemeinschaftsführern (66,7 %), religiöse Bedenken (65,4 %). Empfohlene Strategien: Fernsehen-Inhalte zur Impfung (70,4 %), öffentliche Ankündigungen (67,9 %), Informationen durch Gesundheitsarbeiter (58,0 %).</w:t>
      </w:r>
    </w:p>
    <w:p>
      <w:r>
        <w:rPr>
          <w:b/>
          <w:sz w:val="19"/>
        </w:rPr>
        <w:t xml:space="preserve">Übertragbarkeit: </w:t>
      </w:r>
      <w:r>
        <w:rPr>
          <w:sz w:val="19"/>
        </w:rPr>
        <w:t>Türkei, ähnliche Herausforderungen wie deutschsprachige Länder; Rolle von Hebammen in Versorgung relevant</w:t>
      </w:r>
    </w:p>
    <w:p>
      <w:r>
        <w:rPr>
          <w:color w:val="5A7D3A"/>
          <w:sz w:val="18"/>
        </w:rPr>
        <w:t>https://pubmed.ncbi.nlm.nih.gov/42721439/</w:t>
      </w:r>
    </w:p>
    <w:p>
      <w:pPr>
        <w:pStyle w:val="Heading2"/>
      </w:pPr>
      <w:r>
        <w:t>Phase-1-COVID-19-Vakzin-Studien: Flüssige Entscheidungsfindung unter wechselndem Pandemikontext</w:t>
      </w:r>
    </w:p>
    <w:p>
      <w:r>
        <w:rPr>
          <w:i/>
          <w:color w:val="666666"/>
          <w:sz w:val="18"/>
        </w:rPr>
        <w:t>Halperin DM et al.  ·  Hum Vaccin Immunother  ·  10.09.2026  ·  PMID 42721118</w:t>
      </w:r>
    </w:p>
    <w:p>
      <w:r>
        <w:t>Qualitative Studie zur Untersuchung von Faktoren, die Einschluss und Verbleib in Phase-1-COVID-19-Vakzin-Studien beeinflussen, mit semi-strukturierten Interviews bei Teilnehmern und Nicht-Teilnehmern.</w:t>
      </w:r>
    </w:p>
    <w:p>
      <w:r>
        <w:rPr>
          <w:b/>
        </w:rPr>
        <w:t xml:space="preserve">Ergebnis: </w:t>
      </w:r>
      <w:r>
        <w:t>Teilnahmeentscheidungen sind flüssig, nicht einmalig; Teilnehmer bewerteten Prioritäten kontinuierlich neu in Abhängigkeit von öffentlich zugelassenen Impfstoffen, Mandaten und COVID-19-Fallzahlen. Protokoll-Anpassung mit Erlaubnis zur PHAV-Gabe unterstützte Verbleib bis Studienende.</w:t>
      </w:r>
    </w:p>
    <w:p>
      <w:r>
        <w:rPr>
          <w:b/>
          <w:sz w:val="19"/>
        </w:rPr>
        <w:t xml:space="preserve">Übertragbarkeit: </w:t>
      </w:r>
      <w:r>
        <w:rPr>
          <w:sz w:val="19"/>
        </w:rPr>
        <w:t>Kanada, ähnliche Versorgungsstrukturen; qualitative Erkenntnisse auf Impfstoff-Vertrauen übertragbar</w:t>
      </w:r>
    </w:p>
    <w:p>
      <w:r>
        <w:rPr>
          <w:color w:val="5A7D3A"/>
          <w:sz w:val="18"/>
        </w:rPr>
        <w:t>https://pubmed.ncbi.nlm.nih.gov/42721118/</w:t>
      </w:r>
    </w:p>
    <w:p>
      <w:pPr>
        <w:pStyle w:val="Heading2"/>
      </w:pPr>
      <w:r>
        <w:t>Erweiterte HPV-Impfung in Polen: Gesundheitsgewinne und Kosteneffizienz</w:t>
      </w:r>
    </w:p>
    <w:p>
      <w:r>
        <w:rPr>
          <w:i/>
          <w:color w:val="666666"/>
          <w:sz w:val="18"/>
        </w:rPr>
        <w:t>Jaworski R et al.  ·  J Med Econ  ·  09.09.2026  ·  PMID 42717549</w:t>
      </w:r>
    </w:p>
    <w:p>
      <w:r>
        <w:t>Kosten-Nutzen-Analyse zur Erweiterung der HPV-Impfung auf Jungen und Mädchen im Alter 9–17 Jahren in Polen.</w:t>
      </w:r>
    </w:p>
    <w:p>
      <w:r>
        <w:rPr>
          <w:b/>
        </w:rPr>
        <w:t xml:space="preserve">Ergebnis: </w:t>
      </w:r>
      <w:r>
        <w:t>Erhöhung der Impfquoten von 20 % auf 60 % reduziert HPV-assoziierte Erkrankungen um 16 % und Todesfälle um 13 %; bei 90 % Abdeckung Reduktion um 33 % bzw. 27 %. Jeder investierte EUR 1,00 erbringt EUR 4,2 (Gesellschaft) bzw. EUR 2,2 (Fiskus) bei 60 % Abdeckung; EUR 4,6 bzw. EUR 2,4 bei 90 %.</w:t>
      </w:r>
    </w:p>
    <w:p>
      <w:r>
        <w:rPr>
          <w:b/>
          <w:sz w:val="19"/>
        </w:rPr>
        <w:t xml:space="preserve">Übertragbarkeit: </w:t>
      </w:r>
      <w:r>
        <w:rPr>
          <w:sz w:val="19"/>
        </w:rPr>
        <w:t>Polen, europäisches Sozialversicherungssystem, Impfkalender-Modellierung</w:t>
      </w:r>
    </w:p>
    <w:p>
      <w:r>
        <w:rPr>
          <w:color w:val="5A7D3A"/>
          <w:sz w:val="18"/>
        </w:rPr>
        <w:t>https://pubmed.ncbi.nlm.nih.gov/42717549/</w:t>
      </w:r>
    </w:p>
    <w:p>
      <w:pPr>
        <w:pStyle w:val="Heading2"/>
      </w:pPr>
      <w:r>
        <w:t>EV-A71-Impfung in Shanghai: 89,9 % Effektivität, Verschiebung zu Nicht-EV-A71-Serotypen</w:t>
      </w:r>
    </w:p>
    <w:p>
      <w:r>
        <w:rPr>
          <w:i/>
          <w:color w:val="666666"/>
          <w:sz w:val="18"/>
        </w:rPr>
        <w:t>Xu Z et al.  ·  Hum Vaccin Immunother  ·  09.09.2026  ·  PMID 42714139</w:t>
      </w:r>
    </w:p>
    <w:p>
      <w:r>
        <w:t>Test-Negative-Design-Studie zur Wirksamkeit der EV-A71-Impfung gegen Hand-Fuß-Mund-Krankheit in Shanghai 2009–2023, mit Vergleich prä- und post-Impfprogramm-Epidemiologie.</w:t>
      </w:r>
    </w:p>
    <w:p>
      <w:r>
        <w:rPr>
          <w:b/>
        </w:rPr>
        <w:t xml:space="preserve">Ergebnis: </w:t>
      </w:r>
      <w:r>
        <w:t>Gesamtwirksamkeit gegen EV-A71-assoziierte HFMD und Herpangina: 89,9 % (95%-KI: 74,5–96,0) für Zwei-Dosen-Serie, 67,9 % (95%-KI: 2,6–89,6) für Einzeldosis. Nach Impfprogramm-Einführung: Inzidenz-Reduktion 56,7 %, Schweregradreduktion 95,2 %, null Todesfälle (von 3 auf 0).</w:t>
      </w:r>
    </w:p>
    <w:p>
      <w:r>
        <w:rPr>
          <w:b/>
          <w:sz w:val="19"/>
        </w:rPr>
        <w:t xml:space="preserve">Übertragbarkeit: </w:t>
      </w:r>
      <w:r>
        <w:rPr>
          <w:sz w:val="19"/>
        </w:rPr>
        <w:t>China-Daten, aber Versorgungseffektivität in realer Welt gut dokumentiert; Serotyp-Shift hat globale Relevanz</w:t>
      </w:r>
    </w:p>
    <w:p>
      <w:r>
        <w:rPr>
          <w:color w:val="5A7D3A"/>
          <w:sz w:val="18"/>
        </w:rPr>
        <w:t>https://pubmed.ncbi.nlm.nih.gov/42714139/</w:t>
      </w:r>
    </w:p>
    <w:p>
      <w:pPr>
        <w:pStyle w:val="Heading2"/>
      </w:pPr>
      <w:r>
        <w:t>mRNA-Impfung verursacht reproduzierbare Transkript-Isoform-Verschiebungen</w:t>
      </w:r>
    </w:p>
    <w:p>
      <w:r>
        <w:rPr>
          <w:i/>
          <w:color w:val="666666"/>
          <w:sz w:val="18"/>
        </w:rPr>
        <w:t>Riemann L et al.  ·  Eur J Immunol  ·  Sept. 2026  ·  PMID 42670157</w:t>
      </w:r>
    </w:p>
    <w:p>
      <w:r>
        <w:t>Analyse longitudinaler RNA-Sequenzierungs-Daten zur Charakterisierung von Veränderungen in der Transkript-Isoform-Nutzung nach mRNA-Impfung.</w:t>
      </w:r>
    </w:p>
    <w:p>
      <w:r>
        <w:rPr>
          <w:b/>
        </w:rPr>
        <w:t xml:space="preserve">Ergebnis: </w:t>
      </w:r>
      <w:r>
        <w:t>mRNA-Impfung induziert schnelle und transiente Welle differentieller Transkript-Nutzung, die 24 h post-Impfung mit 131 veränderten Isoformen über 107 Gene gipfelt, vor Auflösung bis Tag 14. Muster reproduzierbar über mehrere Impfstoff-Kohorten (MVA-basiert, Influenza, Ebola).</w:t>
      </w:r>
    </w:p>
    <w:p>
      <w:r>
        <w:rPr>
          <w:b/>
          <w:sz w:val="19"/>
        </w:rPr>
        <w:t xml:space="preserve">Übertragbarkeit: </w:t>
      </w:r>
      <w:r>
        <w:rPr>
          <w:sz w:val="19"/>
        </w:rPr>
        <w:t>Grundlagenforschung ohne klinischen Endpunkt, nicht geeignet für Versorgungsanalyse</w:t>
      </w:r>
    </w:p>
    <w:p>
      <w:r>
        <w:rPr>
          <w:color w:val="5A7D3A"/>
          <w:sz w:val="18"/>
        </w:rPr>
        <w:t>https://pubmed.ncbi.nlm.nih.gov/42670157/</w:t>
      </w:r>
    </w:p>
    <w:p>
      <w:pPr>
        <w:pStyle w:val="Heading2"/>
      </w:pPr>
      <w:r>
        <w:t>Influenza- und Herpes-Zoster-Impfeffektivität bei Autoimmunerkrankungen: keine Unterschiede zu Gesunden</w:t>
      </w:r>
    </w:p>
    <w:p>
      <w:r>
        <w:rPr>
          <w:i/>
          <w:color w:val="666666"/>
          <w:sz w:val="18"/>
        </w:rPr>
        <w:t>Denz R et al.  ·  J Infect Public Health  ·  02.07.2026  ·  PMID 42398453</w:t>
      </w:r>
    </w:p>
    <w:p>
      <w:r>
        <w:t>Emulierte Zielstudien mit Anspruchsdaten einer großen deutschen Krankenkasse zur Vergleichbarkeit der Impfwirksamkeit zwischen Personen mit und ohne Autoimmunerkrankungen (MS, IBD, CIRD).</w:t>
      </w:r>
    </w:p>
    <w:p>
      <w:r>
        <w:rPr>
          <w:b/>
        </w:rPr>
        <w:t xml:space="preserve">Ergebnis: </w:t>
      </w:r>
      <w:r>
        <w:t>Herpes-Zoster-Wirksamkeit: 68,73 % (95%-KI: 55,75–77,91) bei AID, 60,30 % (55,59–64,52) ohne AID; Wirksamkeitsverhältnis 1,14 (0,93–1,30). Influenza-Wirksamkeit ohne relevante Unterschiede über vier Saisonen; alle Wirksamkeitsverhältnisse nahe 1.</w:t>
      </w:r>
    </w:p>
    <w:p>
      <w:r>
        <w:rPr>
          <w:b/>
          <w:sz w:val="19"/>
        </w:rPr>
        <w:t xml:space="preserve">Übertragbarkeit: </w:t>
      </w:r>
      <w:r>
        <w:rPr>
          <w:sz w:val="19"/>
        </w:rPr>
        <w:t>Deutsche Anspruchsdaten, vergleichbar mit Routine-Versorgung; MS, IBD, CIRD-Patienten relevant für Versorgung</w:t>
      </w:r>
    </w:p>
    <w:p>
      <w:r>
        <w:rPr>
          <w:color w:val="5A7D3A"/>
          <w:sz w:val="18"/>
        </w:rPr>
        <w:t>https://pubmed.ncbi.nlm.nih.gov/42398453/</w:t>
      </w:r>
    </w:p>
    <w:p>
      <w:pPr>
        <w:pStyle w:val="Heading1"/>
      </w:pPr>
      <w:r>
        <w:t>Aufgenommen am 10.09.2026</w:t>
      </w:r>
    </w:p>
    <w:p>
      <w:pPr>
        <w:pStyle w:val="Heading2"/>
      </w:pPr>
      <w:r>
        <w:t>RSV-Impfskepsis bei chinesischen Eltern: Informationssuche dominiert, nicht Vertrauen</w:t>
      </w:r>
    </w:p>
    <w:p>
      <w:r>
        <w:rPr>
          <w:i/>
          <w:color w:val="666666"/>
          <w:sz w:val="18"/>
        </w:rPr>
        <w:t>Zhu Y et al.  ·  Hum Vaccin Immunother  ·  31.12.2026  ·  PMID 42714313</w:t>
      </w:r>
    </w:p>
    <w:p>
      <w:r>
        <w:t>Querschnittstudie mit 4.422 Paaren (Schwangere und Partner) in acht chinesischen Provinzen zur Analyse psychologischer Vorstufen der Vaccine Hesitancy gegenüber RSV-Impfstoffen und RSV-Antikörpern.</w:t>
      </w:r>
    </w:p>
    <w:p>
      <w:r>
        <w:rPr>
          <w:b/>
        </w:rPr>
        <w:t xml:space="preserve">Ergebnis: </w:t>
      </w:r>
      <w:r>
        <w:t>Frauen zeigten marginal niedrigere 5C-Werte als Partner für mütterliche Impfung (45,88 vs. 46,25; Cohen's d = −0,06). Älteres Alter, ländlicher Wohnort und niedriges Einkommen waren unabhängig mit höherer Hesitancy assoziiert. 'Calculation' (aktive Informationssuche) scorte bei beiden Gruppen am höchsten.</w:t>
      </w:r>
    </w:p>
    <w:p>
      <w:r>
        <w:rPr>
          <w:b/>
          <w:sz w:val="19"/>
        </w:rPr>
        <w:t xml:space="preserve">Übertragbarkeit: </w:t>
      </w:r>
      <w:r>
        <w:rPr>
          <w:sz w:val="19"/>
        </w:rPr>
        <w:t>China-Studie; Psychologische Grundmuster der Vaccine Hesitancy international relevant.</w:t>
      </w:r>
    </w:p>
    <w:p>
      <w:r>
        <w:rPr>
          <w:color w:val="5A7D3A"/>
          <w:sz w:val="18"/>
        </w:rPr>
        <w:t>https://pubmed.ncbi.nlm.nih.gov/42714313/</w:t>
      </w:r>
    </w:p>
    <w:p>
      <w:pPr>
        <w:pStyle w:val="Heading2"/>
      </w:pPr>
      <w:r>
        <w:t>Gesundheitskommunikation gegen Impfskepsis bei Kinderimpfungen in Nigeria – Systematische Übersicht</w:t>
      </w:r>
    </w:p>
    <w:p>
      <w:r>
        <w:rPr>
          <w:i/>
          <w:color w:val="666666"/>
          <w:sz w:val="18"/>
        </w:rPr>
        <w:t>Ike TJ et al.  ·  Front Public Health  ·  25.08.2026  ·  PMID 42713528</w:t>
      </w:r>
    </w:p>
    <w:p>
      <w:r>
        <w:t>Systematische Übersicht mit thematischer Synthese von 12 Studien (2017–2026) zu Kommunikationsstrategien gegen elterliche Vaccine Hesitancy bei Kinderimpfungen in Nigeria.</w:t>
      </w:r>
    </w:p>
    <w:p>
      <w:r>
        <w:rPr>
          <w:b/>
        </w:rPr>
        <w:t xml:space="preserve">Ergebnis: </w:t>
      </w:r>
      <w:r>
        <w:t>Vier Strategietypen identifiziert: Medienkampagnen, staatlich gesponserte Kommunikation, Gemeinde-zentrierte Ansätze und telefonische Interventionen. Kulturelle Anpassung, Einbindung vertrauter Führungspersonen (religiöse/traditionelle Leader), Multi-Kanal-Ansatz und Responsivität auf strukturelle Barrieren und Informationsbedarf waren erfolgskritisch.</w:t>
      </w:r>
    </w:p>
    <w:p>
      <w:r>
        <w:rPr>
          <w:b/>
          <w:sz w:val="19"/>
        </w:rPr>
        <w:t xml:space="preserve">Übertragbarkeit: </w:t>
      </w:r>
      <w:r>
        <w:rPr>
          <w:sz w:val="19"/>
        </w:rPr>
        <w:t>Nigeria, niedriges Einkommen; Kommunikationsprinzipien zu Vaccine Hesitancy aber universal relevant.</w:t>
      </w:r>
    </w:p>
    <w:p>
      <w:r>
        <w:rPr>
          <w:color w:val="5A7D3A"/>
          <w:sz w:val="18"/>
        </w:rPr>
        <w:t>https://pubmed.ncbi.nlm.nih.gov/42713528/</w:t>
      </w:r>
    </w:p>
    <w:p>
      <w:pPr>
        <w:pStyle w:val="Heading2"/>
      </w:pPr>
      <w:r>
        <w:t>HPV-Impfquote 70% in Shenzhen: Psychologische Modelle verlieren Erklärungskraft, Kosten bleiben Barriere</w:t>
      </w:r>
    </w:p>
    <w:p>
      <w:r>
        <w:rPr>
          <w:i/>
          <w:color w:val="666666"/>
          <w:sz w:val="18"/>
        </w:rPr>
        <w:t>Liu Y et al.  ·  Front Public Health  ·  25.08.2026  ·  PMID 42712616</w:t>
      </w:r>
    </w:p>
    <w:p>
      <w:r>
        <w:t>Querschnittstudie mit 1.257 Frauen in Shenzhen zur Diskriminanzvalidität von Health Belief Model und 3C-Modell bei Restimpfverweigerung nach bereits 70% HPV-Impfquote.</w:t>
      </w:r>
    </w:p>
    <w:p>
      <w:r>
        <w:rPr>
          <w:b/>
        </w:rPr>
        <w:t xml:space="preserve">Ergebnis: </w:t>
      </w:r>
      <w:r>
        <w:t>Bei 70% Durchimpfung zeigten HBM und 3C-Skalen begrenzte Diskriminanzvalidität zwischen Geimpften und Ungeimpften (nur 2 von 10 Konstrukten signifikant, triviale Effektgrößen d=0,13). Hauptgründe für Nicht-Impfung: hohe Kosten (42,3%) und Sicherheitsbedenken (33,8%). Hukou moderierte wahrgenommene Barrieren suggestiv (nicht signifikant).</w:t>
      </w:r>
    </w:p>
    <w:p>
      <w:r>
        <w:rPr>
          <w:b/>
          <w:sz w:val="19"/>
        </w:rPr>
        <w:t xml:space="preserve">Übertragbarkeit: </w:t>
      </w:r>
      <w:r>
        <w:rPr>
          <w:sz w:val="19"/>
        </w:rPr>
        <w:t>China, hochquoten-Setting; zeigt, dass psychologische Standardmodelle bei Hochquoten an Grenzen stoßen.</w:t>
      </w:r>
    </w:p>
    <w:p>
      <w:r>
        <w:rPr>
          <w:color w:val="5A7D3A"/>
          <w:sz w:val="18"/>
        </w:rPr>
        <w:t>https://pubmed.ncbi.nlm.nih.gov/42712616/</w:t>
      </w:r>
    </w:p>
    <w:p>
      <w:pPr>
        <w:pStyle w:val="Heading2"/>
      </w:pPr>
      <w:r>
        <w:t>EV-A71-Impfung reduzierte Hand-Fuß-Mund-Krankheit um 57% in Shanghai – Shift zu anderen Serotypen beobachtet</w:t>
      </w:r>
    </w:p>
    <w:p>
      <w:r>
        <w:rPr>
          <w:i/>
          <w:color w:val="666666"/>
          <w:sz w:val="18"/>
        </w:rPr>
        <w:t>Deng L et al.  ·  Front Public Health  ·  12.08.2026  ·  PMID 42656515</w:t>
      </w:r>
    </w:p>
    <w:p>
      <w:r>
        <w:t>Analyse epidemiologischer Veränderungen der Hand-Fuß-Mund-Krankheit (HFMD) über 15 Jahre in Minhang-Bezirk Shanghai mit Schätzung der Impfeffektivität nach Test-Negative-Design.</w:t>
      </w:r>
    </w:p>
    <w:p>
      <w:r>
        <w:rPr>
          <w:b/>
        </w:rPr>
        <w:t xml:space="preserve">Ergebnis: </w:t>
      </w:r>
      <w:r>
        <w:t>Nach Einführung der EV-A71-Impfung (2016) sanken Inzidenz um 56,7%, Schweregrad um 95,2%, Sterblichkeit um 100%. Gesamtimpfeffektivität gegen EV-A71-assoziierte HFMD: 89,9% (95%-KI 74,5–96,0) für Zwei-Dosen-Serie; Durchimpfungsquote 50%. Keine Kreuzprotektion gegen andere Serotypen.</w:t>
      </w:r>
    </w:p>
    <w:p>
      <w:r>
        <w:rPr>
          <w:b/>
          <w:sz w:val="19"/>
        </w:rPr>
        <w:t xml:space="preserve">Übertragbarkeit: </w:t>
      </w:r>
      <w:r>
        <w:rPr>
          <w:sz w:val="19"/>
        </w:rPr>
        <w:t>China-Studie, System unterscheidet sich; Effektivitätsmessung an Bevölkerungsdaten aber global vergleichbar.</w:t>
      </w:r>
    </w:p>
    <w:p>
      <w:r>
        <w:rPr>
          <w:color w:val="5A7D3A"/>
          <w:sz w:val="18"/>
        </w:rPr>
        <w:t>https://pubmed.ncbi.nlm.nih.gov/42656515/</w:t>
      </w:r>
    </w:p>
    <w:p>
      <w:pPr>
        <w:pStyle w:val="Heading2"/>
      </w:pPr>
      <w:r>
        <w:t>COVID-19-Impfung in Irland: Barrieren und Förderfaktoren im Implementierungsprozess</w:t>
      </w:r>
    </w:p>
    <w:p>
      <w:r>
        <w:rPr>
          <w:i/>
          <w:color w:val="666666"/>
          <w:sz w:val="18"/>
        </w:rPr>
        <w:t>Kandulu CC et al.  ·  Vaccine  ·  30.08.2026  ·  PMID 42407300</w:t>
      </w:r>
    </w:p>
    <w:p>
      <w:r>
        <w:t>Qualitative Studie mit 16 Stakeholdern zur Identifikation von Faktoren, die die Umsetzung des COVID-19-Impfprogramms in Irland auf nationaler, regionaler und lokaler Ebene beeinflussten.</w:t>
      </w:r>
    </w:p>
    <w:p>
      <w:r>
        <w:rPr>
          <w:b/>
        </w:rPr>
        <w:t xml:space="preserve">Ergebnis: </w:t>
      </w:r>
      <w:r>
        <w:t>Verzögerte oder sich ändernde Evidenz, Komplexität der Impfstoffe und Anpassung der Bereitstellungskonzepte (Skalierung auf Massenimpfzentren) waren kritische Faktoren. Ressourcenverfügbarkeit, organisatorische Infrastruktur, Policy-Rahmen, Kommunikation und Fachkompetenz waren entscheidend für die Umsetzung.</w:t>
      </w:r>
    </w:p>
    <w:p>
      <w:r>
        <w:rPr>
          <w:b/>
          <w:sz w:val="19"/>
        </w:rPr>
        <w:t xml:space="preserve">Übertragbarkeit: </w:t>
      </w:r>
      <w:r>
        <w:rPr>
          <w:sz w:val="19"/>
        </w:rPr>
        <w:t>Irland, vergleichbares europäisches Gesundheitssystem mit dezentraler Struktur.</w:t>
      </w:r>
    </w:p>
    <w:p>
      <w:r>
        <w:rPr>
          <w:color w:val="5A7D3A"/>
          <w:sz w:val="18"/>
        </w:rPr>
        <w:t>https://pubmed.ncbi.nlm.nih.gov/42407300/</w:t>
      </w:r>
    </w:p>
    <w:p>
      <w:pPr>
        <w:pStyle w:val="Heading2"/>
      </w:pPr>
      <w:r>
        <w:t>SARS-CoV-2-Auffrischimpfungen schützen Menschen mit Autoimmunerkrankungen vor schwerer COVID-19</w:t>
      </w:r>
    </w:p>
    <w:p>
      <w:r>
        <w:rPr>
          <w:i/>
          <w:color w:val="666666"/>
          <w:sz w:val="18"/>
        </w:rPr>
        <w:t>Kukreja NS et al.  ·  RMD Open  ·  03.07.2026  ·  PMID 42399080</w:t>
      </w:r>
    </w:p>
    <w:p>
      <w:r>
        <w:t>Nested Case-Control-Studie mit englischen Primärversorgungs- und Krankenhausdaten zu Schutzwirkung von COVID-19-Auffrischimpfungen bei erwachsenen Patienten mit immunmediierter Entzündungserkrankung (IMID).</w:t>
      </w:r>
    </w:p>
    <w:p>
      <w:r>
        <w:rPr>
          <w:b/>
        </w:rPr>
        <w:t xml:space="preserve">Ergebnis: </w:t>
      </w:r>
      <w:r>
        <w:t>Drei Auffrischimpfungen reduzierten Hospitalisierung/Tod um 80% (aOR 0,20; 95%-KI 0,15–0,28), zwei Dosen um 71% (aOR 0,29; 95%-KI 0,23–0,36), eine Dosis um 44% (aOR 0,56; 95%-KI 0,48–0,65). Schutz bestand innerhalb 365 Tage nach Impfung; Impfungen &gt;365 Tage alt zeigten keinen signifikanten Schutz.</w:t>
      </w:r>
    </w:p>
    <w:p>
      <w:r>
        <w:rPr>
          <w:b/>
          <w:sz w:val="19"/>
        </w:rPr>
        <w:t xml:space="preserve">Übertragbarkeit: </w:t>
      </w:r>
      <w:r>
        <w:rPr>
          <w:sz w:val="19"/>
        </w:rPr>
        <w:t>Englische primärärztliche Flächendaten mit Impfquoten und Krankenhausdokumentation, auf deutsches System übertragbar.</w:t>
      </w:r>
    </w:p>
    <w:p>
      <w:r>
        <w:rPr>
          <w:color w:val="5A7D3A"/>
          <w:sz w:val="18"/>
        </w:rPr>
        <w:t>https://pubmed.ncbi.nlm.nih.gov/42399080/</w:t>
      </w:r>
    </w:p>
    <w:p>
      <w:pPr>
        <w:pStyle w:val="Heading1"/>
      </w:pPr>
      <w:r>
        <w:t>Aufgenommen am 09.09.2026</w:t>
      </w:r>
    </w:p>
    <w:p>
      <w:pPr>
        <w:pStyle w:val="Heading2"/>
      </w:pPr>
      <w:r>
        <w:t>Eltern akzeptieren Meningokokken-B-Impfung für Säuglinge unter fachlicher Empfehlung</w:t>
      </w:r>
    </w:p>
    <w:p>
      <w:r>
        <w:rPr>
          <w:i/>
          <w:color w:val="666666"/>
          <w:sz w:val="18"/>
        </w:rPr>
        <w:t>Herrera-Restrepo O et al.  ·  Hum Vaccin Immunother  ·  08.09.2026  ·  PMID 42709765</w:t>
      </w:r>
    </w:p>
    <w:p>
      <w:r>
        <w:t>US-Online-Befragung von 1.051 Eltern mit Kindern ≤18 Monaten zu Impfbereitschaft gegen Meningokokken B.</w:t>
      </w:r>
    </w:p>
    <w:p>
      <w:r>
        <w:rPr>
          <w:b/>
        </w:rPr>
        <w:t xml:space="preserve">Ergebnis: </w:t>
      </w:r>
      <w:r>
        <w:t>73,4% Kinder vollständig geimpft. Von 266 mit unvollständiger Impfung: 59,8% besorgt um Nebenwirkungen. Ohne Fachempfehlung: 66,3% würden MenB-Impfung akzeptieren, mit Krankheitsinformation: 72,1%. Fachperson-Kommunikation war Schlüsselfaktor.</w:t>
      </w:r>
    </w:p>
    <w:p>
      <w:r>
        <w:rPr>
          <w:b/>
          <w:sz w:val="19"/>
        </w:rPr>
        <w:t xml:space="preserve">Übertragbarkeit: </w:t>
      </w:r>
      <w:r>
        <w:rPr>
          <w:sz w:val="19"/>
        </w:rPr>
        <w:t>USA-System, aber Bedeutung der Fachperson-Kommunikation universal anwendbar, nicht auf Registerdaten übertragbar.</w:t>
      </w:r>
    </w:p>
    <w:p>
      <w:r>
        <w:rPr>
          <w:color w:val="5A7D3A"/>
          <w:sz w:val="18"/>
        </w:rPr>
        <w:t>https://pubmed.ncbi.nlm.nih.gov/42709765/</w:t>
      </w:r>
    </w:p>
    <w:p>
      <w:pPr>
        <w:pStyle w:val="Heading2"/>
      </w:pPr>
      <w:r>
        <w:t>Pneumokokken-Impfung ab 50 Jahren hätte 520.000 Erkrankungsfälle verhindern können</w:t>
      </w:r>
    </w:p>
    <w:p>
      <w:r>
        <w:rPr>
          <w:i/>
          <w:color w:val="666666"/>
          <w:sz w:val="18"/>
        </w:rPr>
        <w:t>Sharomi O et al.  ·  Hum Vaccin Immunother  ·  08.09.2026  ·  PMID 42708971</w:t>
      </w:r>
    </w:p>
    <w:p>
      <w:r>
        <w:t>Modellrechnung zu epidemiologischen Effekten einer Senkung der Impfaltersgrenze für Erwachsene von 60 auf 50 Jahre in Deutschland mit V116 oder PCV20.</w:t>
      </w:r>
    </w:p>
    <w:p>
      <w:r>
        <w:rPr>
          <w:b/>
        </w:rPr>
        <w:t xml:space="preserve">Ergebnis: </w:t>
      </w:r>
      <w:r>
        <w:t>Bei Impfquote von 30%: V116 ab 50 Jahren führte zu 520.128 weniger Pneumokokkus-Erkrankungsfällen, PCV20 zu 325.694 weniger. IPD-Inzidenz im Jahr 10 mit V116 ab 50 Jahren: 20,5 pro 100.000 (vs. 22,1 ab 60 Jahren).</w:t>
      </w:r>
    </w:p>
    <w:p>
      <w:r>
        <w:rPr>
          <w:b/>
          <w:sz w:val="19"/>
        </w:rPr>
        <w:t xml:space="preserve">Übertragbarkeit: </w:t>
      </w:r>
      <w:r>
        <w:rPr>
          <w:sz w:val="19"/>
        </w:rPr>
        <w:t>Deutschland, Modellierung mit deutschen Serotyphaten und Epidemiologie, aber keine empirische Versorgungsdatenbasis.</w:t>
      </w:r>
    </w:p>
    <w:p>
      <w:r>
        <w:rPr>
          <w:color w:val="5A7D3A"/>
          <w:sz w:val="18"/>
        </w:rPr>
        <w:t>https://pubmed.ncbi.nlm.nih.gov/42708971/</w:t>
      </w:r>
    </w:p>
    <w:p>
      <w:pPr>
        <w:pStyle w:val="Heading2"/>
      </w:pPr>
      <w:r>
        <w:t>Mütter wählen Impfungen nach Sicherheit – Information und Vertrauen entscheidend</w:t>
      </w:r>
    </w:p>
    <w:p>
      <w:r>
        <w:rPr>
          <w:i/>
          <w:color w:val="666666"/>
          <w:sz w:val="18"/>
        </w:rPr>
        <w:t>Xing R et al.  ·  Front Public Health  ·  24.08.2026  ·  PMID 42707176</w:t>
      </w:r>
    </w:p>
    <w:p>
      <w:r>
        <w:t>Qualitative Studie mit 16 Müttern in China zu Entscheidungsfaktoren bei selbstgezahlten Kinderimpfungen.</w:t>
      </w:r>
    </w:p>
    <w:p>
      <w:r>
        <w:rPr>
          <w:b/>
        </w:rPr>
        <w:t xml:space="preserve">Ergebnis: </w:t>
      </w:r>
      <w:r>
        <w:t>Sicherheit war Voraussetzung vor Nutzenabwägung. Mütter navigierten asymmetrische Informationen, balancierten Vertrauen in Fachpersonen mit unabhängiger Verifikation. Kosten wirkten als Filter oder Priorisierungsmechanismus. Kommunikationsqualität mit Anbieter:innen prägte Vertrauensaufbau; unzureichende Beratung erhöhte Unsicherheit.</w:t>
      </w:r>
    </w:p>
    <w:p>
      <w:r>
        <w:rPr>
          <w:b/>
          <w:sz w:val="19"/>
        </w:rPr>
        <w:t xml:space="preserve">Übertragbarkeit: </w:t>
      </w:r>
      <w:r>
        <w:rPr>
          <w:sz w:val="19"/>
        </w:rPr>
        <w:t>China, aber Entscheidungsprozesse universal; Qualitätskriterien für Beratung auf deutsches System übertragbar.</w:t>
      </w:r>
    </w:p>
    <w:p>
      <w:r>
        <w:rPr>
          <w:color w:val="5A7D3A"/>
          <w:sz w:val="18"/>
        </w:rPr>
        <w:t>https://pubmed.ncbi.nlm.nih.gov/42707176/</w:t>
      </w:r>
    </w:p>
    <w:p>
      <w:pPr>
        <w:pStyle w:val="Heading2"/>
      </w:pPr>
      <w:r>
        <w:t>Impfkampagne in Onkologie erhöht Impfquoten deutlich</w:t>
      </w:r>
    </w:p>
    <w:p>
      <w:r>
        <w:rPr>
          <w:i/>
          <w:color w:val="666666"/>
          <w:sz w:val="18"/>
        </w:rPr>
        <w:t>Markus T et al.  ·  BMC Public Health  ·  07.09.2026  ·  PMID 42706520</w:t>
      </w:r>
    </w:p>
    <w:p>
      <w:r>
        <w:t>Kölner Universitätsklinik testete eine Interventionsstudie mit Patientenaufklärung, Personalschulung und vor-Ort-Impfung über 1,5 Jahre.</w:t>
      </w:r>
    </w:p>
    <w:p>
      <w:r>
        <w:rPr>
          <w:b/>
        </w:rPr>
        <w:t xml:space="preserve">Ergebnis: </w:t>
      </w:r>
      <w:r>
        <w:t>Gesamtimpfquote stieg von 43% auf 49%, Influenza von 37% auf 48%, Pneumokokken von 16% auf 36%, Herpes zoster von 22% auf 33%. Anteil vollständig geimpfter Patienten: 6% auf 16%.</w:t>
      </w:r>
    </w:p>
    <w:p>
      <w:r>
        <w:rPr>
          <w:b/>
          <w:sz w:val="19"/>
        </w:rPr>
        <w:t xml:space="preserve">Übertragbarkeit: </w:t>
      </w:r>
      <w:r>
        <w:rPr>
          <w:sz w:val="19"/>
        </w:rPr>
        <w:t>Deutschland, Universitätsklinik mit vergleichbarem Dokumentationssystem, Patient:innen mit Malignomen.</w:t>
      </w:r>
    </w:p>
    <w:p>
      <w:r>
        <w:rPr>
          <w:color w:val="5A7D3A"/>
          <w:sz w:val="18"/>
        </w:rPr>
        <w:t>https://pubmed.ncbi.nlm.nih.gov/42706520/</w:t>
      </w:r>
    </w:p>
    <w:p>
      <w:pPr>
        <w:pStyle w:val="Heading2"/>
      </w:pPr>
      <w:r>
        <w:t>COVID-19-Impfstoffsicherheit: Präklinische und klinische Pharmakovigilanz verglichen</w:t>
      </w:r>
    </w:p>
    <w:p>
      <w:r>
        <w:rPr>
          <w:i/>
          <w:color w:val="666666"/>
          <w:sz w:val="18"/>
        </w:rPr>
        <w:t>Gonin C et al.  ·  Regul Toxicol Pharmacol  ·  11.07.2026  ·  PMID 42435835</w:t>
      </w:r>
    </w:p>
    <w:p>
      <w:r>
        <w:t>Französische Behörde (ANSM) verglich Sicherheitsdaten aus Laborstudien und Arzneimittelüberwachung für fünf COVID-19-Impfstoffe auf Reaktogenität, Myokarditis und Thrombose.</w:t>
      </w:r>
    </w:p>
    <w:p>
      <w:r>
        <w:rPr>
          <w:b/>
        </w:rPr>
        <w:t xml:space="preserve">Ergebnis: </w:t>
      </w:r>
      <w:r>
        <w:t>Virale Vektorimpfstoffe zeigten höhere Reaktogenität. Myokarditis und Thrombose-Thrombozytopenie wurden nicht in präklinischen Studien vorhergesagt. Biomarker wie Troponin waren klinisch aussagekräftig; keine Korrelation zwischen präklinischen Parametern und klinischen Ergebnissen.</w:t>
      </w:r>
    </w:p>
    <w:p>
      <w:r>
        <w:rPr>
          <w:b/>
          <w:sz w:val="19"/>
        </w:rPr>
        <w:t xml:space="preserve">Übertragbarkeit: </w:t>
      </w:r>
      <w:r>
        <w:rPr>
          <w:sz w:val="19"/>
        </w:rPr>
        <w:t>Frankreich, nationale Pharmakovigilanz mit europäischem Zulassungskontext, auf Deutschland übertragbar.</w:t>
      </w:r>
    </w:p>
    <w:p>
      <w:r>
        <w:rPr>
          <w:color w:val="5A7D3A"/>
          <w:sz w:val="18"/>
        </w:rPr>
        <w:t>https://pubmed.ncbi.nlm.nih.gov/42435835/</w:t>
      </w:r>
    </w:p>
    <w:p>
      <w:pPr>
        <w:pStyle w:val="Heading2"/>
      </w:pPr>
      <w:r>
        <w:t>COVID-19- und Influenza-Impfung sequenziell in Dialyse-Patienten: Immunogenität stabil</w:t>
      </w:r>
    </w:p>
    <w:p>
      <w:r>
        <w:rPr>
          <w:i/>
          <w:color w:val="666666"/>
          <w:sz w:val="18"/>
        </w:rPr>
        <w:t>Bronder S et al.  ·  Sci Rep  ·  06.07.2026  ·  PMID 42410167</w:t>
      </w:r>
    </w:p>
    <w:p>
      <w:r>
        <w:t>Beobachtungsstudie mit 113 dialysepflichtigen Patienten zu sequenzieller Gabe von XBB.1.5-COVID-19-Impfung und Influenza-Impfung im Abstand von 14 Tagen.</w:t>
      </w:r>
    </w:p>
    <w:p>
      <w:r>
        <w:rPr>
          <w:b/>
        </w:rPr>
        <w:t xml:space="preserve">Ergebnis: </w:t>
      </w:r>
      <w:r>
        <w:t>Nach beiden Impfungen: robuste Steigerung humoraler und zellulärer Antworten. Influenza-Impfung beeinträchtigte Spike-spezifische Antikörper oder T-Zell-Antworten nicht. Spike-Reaktionen blieben 6 Monate stabil und über Niveau ungeimpfter Kontrollen.</w:t>
      </w:r>
    </w:p>
    <w:p>
      <w:r>
        <w:rPr>
          <w:b/>
          <w:sz w:val="19"/>
        </w:rPr>
        <w:t xml:space="preserve">Übertragbarkeit: </w:t>
      </w:r>
      <w:r>
        <w:rPr>
          <w:sz w:val="19"/>
        </w:rPr>
        <w:t>Deutschland, vergleichbares Dialyse-System, aber kleine Kohorte; Transfer auf Hochrisiko-Populationen möglich.</w:t>
      </w:r>
    </w:p>
    <w:p>
      <w:r>
        <w:rPr>
          <w:color w:val="5A7D3A"/>
          <w:sz w:val="18"/>
        </w:rPr>
        <w:t>https://pubmed.ncbi.nlm.nih.gov/42410167/</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Sicherheit von fünf COVID-19-Impfstoffen: Vergleich von Laborprüfung und Pharmakovigilanz</w:t>
      </w:r>
    </w:p>
    <w:p>
      <w:r>
        <w:rPr>
          <w:i/>
          <w:color w:val="666666"/>
          <w:sz w:val="18"/>
        </w:rPr>
        <w:t>Ren L et al.  ·  Trends Cancer  ·  09.07.2026  ·  PMID 42425835</w:t>
      </w:r>
    </w:p>
    <w:p>
      <w:r>
        <w:t>Vergleichende Analyse von Nichtkliniksicherheitsstudien und Pharmakovigilanzüberwachung zu fünf in Frankreich autorisierten COVID-19-Impfstoffen (Comirnaty, Spikevax, Vaxzevria, Jcovden, Nuvaxovid).</w:t>
      </w:r>
    </w:p>
    <w:p>
      <w:r>
        <w:rPr>
          <w:b/>
        </w:rPr>
        <w:t xml:space="preserve">Ergebnis: </w:t>
      </w:r>
      <w:r>
        <w:t>Reaktogenität bei Vektor-Impfstoffen höher als mRNA-Stoffen. Für seltene Ereignisse (Myokarditis, VITT) zeigten nichtklische Modelle begrenzte Vorhersagekraft. Troponin als klinischer Biomarker identifiziert; Harmonisierung der Biomarker-Überwachung empfohlen – klinische Phänomene wurden durch Labortests nicht vorhergesagt.</w:t>
      </w:r>
    </w:p>
    <w:p>
      <w:r>
        <w:rPr>
          <w:b/>
          <w:sz w:val="19"/>
        </w:rPr>
        <w:t xml:space="preserve">Übertragbarkeit: </w:t>
      </w:r>
      <w:r>
        <w:rPr>
          <w:sz w:val="19"/>
        </w:rPr>
        <w:t>Frankreich/Europa – europäische Zulassungsdaten, PV-Praktiken, pharmakovigilanzregeln vergleichbar</w:t>
      </w:r>
    </w:p>
    <w:p>
      <w:r>
        <w:rPr>
          <w:color w:val="5A7D3A"/>
          <w:sz w:val="18"/>
        </w:rPr>
        <w:t>https://pubmed.ncbi.nlm.nih.gov/42425835/</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Wirksamkeit nahm mit der Zeit seit Impfung ab (p&lt;0,001): 51,9% zwei bis acht Wochen nach Impfung, 44,6% nach 9-16 Wochen, 41,4% nach ≥16 Wochen. Höhere Effektivität bei Kindern 2-17 Jahre (60,8%) als bei Erwachsenen 18-64 Jahre (40,5%) oder ≥65 Jahre (42,3%).</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Impfpraevention</dc:title>
  <dc:subject/>
  <dc:creator>Monitor Versorgungsforschung</dc:creator>
  <cp:keywords/>
  <dc:description>generated by python-docx</dc:description>
  <cp:lastModifiedBy/>
  <cp:revision>1</cp:revision>
  <dcterms:created xsi:type="dcterms:W3CDTF">2026-09-20T06:00:00Z</dcterms:created>
  <dcterms:modified xsi:type="dcterms:W3CDTF">2026-09-20T06:00:00Z</dcterms:modified>
  <cp:category/>
</cp:coreProperties>
</file>