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06.10.2026  |  6 Studien  |  impfen.m-vf.de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Massenimpfkampagne gegen Tollwut: 70-Prozent-Abdeckung in Ghana erreicht</w:t>
      </w:r>
    </w:p>
    <w:p>
      <w:r>
        <w:rPr>
          <w:i/>
          <w:color w:val="666666"/>
          <w:sz w:val="18"/>
        </w:rPr>
        <w:t>Dwaah PK et al.  ·  PLoS Negl Trop Dis  ·  05.10.2026  ·  PMID 42832606</w:t>
      </w:r>
    </w:p>
    <w:p>
      <w:r>
        <w:t>Evaluationen einer Eintagskampagne zur Hundeimpfung gegen Tollwut im September 2024 in Techiman Metropolis, Ghana, mit gemischten Methoden.</w:t>
      </w:r>
    </w:p>
    <w:p>
      <w:r>
        <w:rPr>
          <w:b/>
        </w:rPr>
        <w:t xml:space="preserve">Ergebnis: </w:t>
      </w:r>
      <w:r>
        <w:t>Administrative Abdeckung: ca. 70 % (5.600 Hunde), basierend auf Bevölkerungsschätzungen. Bewusstsein für Tollwut (tödlich) stieg von 45 % auf 75 %, für Prävention von 40 % auf 70 %. Barrieren: Impfstoffversorgungsverzögerungen, unzureichende Kühlkette, limitierter Zugang für periurbane Gebiete, keine Strategien für freilebende Hunde.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Sub-Sahara-Afrika-Kontext; Erkenntnisse zu Logistik, Mehrsektor-Koordination und Monitoring übertragbar auf Impfkampagnen in Ländern mit begrenzter Infrastruktur.</w:t>
      </w:r>
    </w:p>
    <w:p>
      <w:r>
        <w:rPr>
          <w:color w:val="5A7D3A"/>
          <w:sz w:val="18"/>
        </w:rPr>
        <w:t>https://pubmed.ncbi.nlm.nih.gov/42832606/</w:t>
      </w:r>
    </w:p>
    <w:p>
      <w:pPr>
        <w:pStyle w:val="Heading2"/>
      </w:pPr>
      <w:r>
        <w:t>Impfkoordinator*innen: Erinnerungssysteme und flexible Termine erhöhen HPV-Quoten</w:t>
      </w:r>
    </w:p>
    <w:p>
      <w:r>
        <w:rPr>
          <w:i/>
          <w:color w:val="666666"/>
          <w:sz w:val="18"/>
        </w:rPr>
        <w:t>Khatri RA et al.  ·  Hum Vaccin Immunother  ·  05.10.2026  ·  PMID 42832184</w:t>
      </w:r>
    </w:p>
    <w:p>
      <w:r>
        <w:t>Qualitative Studie mit 24 Impfverantwortlichen aus Gesundheitsämtern in Indiana zu Barrieren und Förderern für HPV-Impfquoten bei Jugendlichen.</w:t>
      </w:r>
    </w:p>
    <w:p>
      <w:r>
        <w:rPr>
          <w:b/>
        </w:rPr>
        <w:t xml:space="preserve">Ergebnis: </w:t>
      </w:r>
      <w:r>
        <w:t>Hauptbarrieren für Abschluss der Serie: fehlende Information und Zeitmangel bei Eltern und Jugendlichen. Hauptförderung: automatische Erinnerungssysteme (Terminerinnerungen) und flexible Impfzeiten. Schulpolitik (HPV nicht Pflichtimpfung) wirkte als strukturelle Barriere.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Erkenntnisse zu Terminmanagement und Erinnerungswesen sind auf deutsches System mit QM-Anforderungen übertragbar.</w:t>
      </w:r>
    </w:p>
    <w:p>
      <w:r>
        <w:rPr>
          <w:color w:val="5A7D3A"/>
          <w:sz w:val="18"/>
        </w:rPr>
        <w:t>https://pubmed.ncbi.nlm.nih.gov/42832184/</w:t>
      </w:r>
    </w:p>
    <w:p>
      <w:pPr>
        <w:pStyle w:val="Heading2"/>
      </w:pPr>
      <w:r>
        <w:t>Hepatitis-B-Impfung in Kyrgyzstan: 3-%-Quote bei Erwachsenen, Barrieren identifiziert</w:t>
      </w:r>
    </w:p>
    <w:p>
      <w:r>
        <w:rPr>
          <w:i/>
          <w:color w:val="666666"/>
          <w:sz w:val="18"/>
        </w:rPr>
        <w:t>Zholdoshev S et al.  ·  Prague Med Rep  ·  2026  ·  PMID 42831606</w:t>
      </w:r>
    </w:p>
    <w:p>
      <w:r>
        <w:t>Screening-Studie in Jalal-Abad (Kirgisistan) zur Hepatitis-B-Impfquote Erwachsener und Barrieren für Immunisierungsprogramme.</w:t>
      </w:r>
    </w:p>
    <w:p>
      <w:r>
        <w:rPr>
          <w:b/>
        </w:rPr>
        <w:t xml:space="preserve">Ergebnis: </w:t>
      </w:r>
      <w:r>
        <w:t>Impfquote nur 3 % (Screening von 2.126 von 71.307 Erwachsenen); HBsAg-Prävalenz 3,3 %. Nach Kampagne 2.483 Personen geimpft, überwiegend Frauen (68,1 %) und Altersgruppe 50–59 Jahre. Barrieren: begrenzte Gesundheitsversorgung, mangelndes Bewusstsein, logistische Hürden. Interventionen: mobile Impfteams, integrierte öffentliche Dienste, kulturangepasste Kampagnen.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Zentralasien, begrenzte Ressourcen; Erkenntnisse zu Zugangsbarrieren und Geschlechterdisparitäten zeigen Ungleichheitsaspekte.</w:t>
      </w:r>
    </w:p>
    <w:p>
      <w:r>
        <w:rPr>
          <w:color w:val="5A7D3A"/>
          <w:sz w:val="18"/>
        </w:rPr>
        <w:t>https://pubmed.ncbi.nlm.nih.gov/42831606/</w:t>
      </w:r>
    </w:p>
    <w:p>
      <w:pPr>
        <w:pStyle w:val="Heading2"/>
      </w:pPr>
      <w:r>
        <w:t>Grippeimpfung bei Kindern: individuelle statt routinemäßige Entscheidung empfohlen</w:t>
      </w:r>
    </w:p>
    <w:p>
      <w:r>
        <w:rPr>
          <w:i/>
          <w:color w:val="666666"/>
          <w:sz w:val="18"/>
        </w:rPr>
        <w:t>Beneš J  ·  Cas Lek Cesk  ·  2026  ·  PMID 42829827</w:t>
      </w:r>
    </w:p>
    <w:p>
      <w:r>
        <w:t>Narrative Übersichtsarbeit zur Influenzaimpfung bei Kindern mit Analyse von Evidenz zu Effektivität und Indikationen.</w:t>
      </w:r>
    </w:p>
    <w:p>
      <w:r>
        <w:rPr>
          <w:b/>
        </w:rPr>
        <w:t xml:space="preserve">Ergebnis: </w:t>
      </w:r>
      <w:r>
        <w:t>Grippeimpfung reduziert Häufigkeit und Schweregrad, aber Effektivität variiert je nach Situation. Meta-analysen zeigen unzureichende Evidenz für routinemäßige Impfung gesunder Kinder. Impfung sinnvoll bei schweren Immundefekten oder Komorbiditäten. Routine-Schuleingangsimpfung bleibt umstritten.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Tschechien, vergleichbare europäische Impfkalender-Diskussionen; Befund zur fehlenden Routine-Evidenz bei Gesunden relevant für deutsches STIKO-Abwägen.</w:t>
      </w:r>
    </w:p>
    <w:p>
      <w:r>
        <w:rPr>
          <w:color w:val="5A7D3A"/>
          <w:sz w:val="18"/>
        </w:rPr>
        <w:t>https://pubmed.ncbi.nlm.nih.gov/42829827/</w:t>
      </w:r>
    </w:p>
    <w:p>
      <w:pPr>
        <w:pStyle w:val="Heading2"/>
      </w:pPr>
      <w:r>
        <w:t>Intranasale Interferon-α lenkt Impf-T-Zellen in obere Atemwege</w:t>
      </w:r>
    </w:p>
    <w:p>
      <w:r>
        <w:rPr>
          <w:i/>
          <w:color w:val="666666"/>
          <w:sz w:val="18"/>
        </w:rPr>
        <w:t>Fraser R et al.  ·  Front Immunol  ·  18.09.2026  ·  PMID 42827561</w:t>
      </w:r>
    </w:p>
    <w:p>
      <w:r>
        <w:t>Experimentelle Studie mit SARS-CoV-2-Vakzination als Testfall: intranasales exogenes IFN-α als Adjuvans zu systemischer Impfung.</w:t>
      </w:r>
    </w:p>
    <w:p>
      <w:r>
        <w:rPr>
          <w:b/>
        </w:rPr>
        <w:t xml:space="preserve">Ergebnis: </w:t>
      </w:r>
      <w:r>
        <w:t>Intranasale Gabe von IFN-α (ohne intranasales Antigen) lenkt impfspezifische T-Zell-Reaktionen in die oberen Atemwege, ohne auf intranasale Antigen-Delivery angewiesen zu sein. Neuartiger Weg, um lokale Immunität an Infektionsort zu generieren und Transmission zu unterbrechen.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UK-Studie, Konzept-proof; übertragbar auf respiratorische Impfprogramme für Influenza, RSV, andere Atemwegsinfekte mit lokalem Fokus.</w:t>
      </w:r>
    </w:p>
    <w:p>
      <w:r>
        <w:rPr>
          <w:color w:val="5A7D3A"/>
          <w:sz w:val="18"/>
        </w:rPr>
        <w:t>https://pubmed.ncbi.nlm.nih.gov/42827561/</w:t>
      </w:r>
    </w:p>
    <w:p>
      <w:pPr>
        <w:pStyle w:val="Heading2"/>
      </w:pPr>
      <w:r>
        <w:t>NK-Zell-Therapien: Europa betont klinische Translation und Sicherheit</w:t>
      </w:r>
    </w:p>
    <w:p>
      <w:r>
        <w:rPr>
          <w:i/>
          <w:color w:val="666666"/>
          <w:sz w:val="18"/>
        </w:rPr>
        <w:t>Knapp LR et al.  ·  Hum Gene Ther  ·  03.08.2026  ·  PMID 42544553</w:t>
      </w:r>
    </w:p>
    <w:p>
      <w:r>
        <w:t>Opinion Paper aus Europäischer Perspektive zur klinischen Translation von Natural-Killer-Zell-Therapien, Ergebnisse eines Workshops März 2026 in Deutschland.</w:t>
      </w:r>
    </w:p>
    <w:p>
      <w:r>
        <w:rPr>
          <w:b/>
        </w:rPr>
        <w:t xml:space="preserve">Ergebnis: </w:t>
      </w:r>
      <w:r>
        <w:t>Sieben CAR-T-Produkte in Europa zugelassen für B-Zell-Malignome. NK-Zellen und γδ T-Zellen zeigen starke intrinsische Zytotoxizität und günstiges Sicherheitsprofil, aber Implementierungshürden bleiben: Manufacturing-Constraints, Kostenbarrieren, begrenzte klinische Daten. Empfehlung: koordinierte internationale Arbeit zu Validierung und Regulatory Harmonisierung.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vergleichbare Regulierung; direkt anwendbar auf Implementierungsplanung.</w:t>
      </w:r>
    </w:p>
    <w:p>
      <w:r>
        <w:rPr>
          <w:color w:val="5A7D3A"/>
          <w:sz w:val="18"/>
        </w:rPr>
        <w:t>https://pubmed.ncbi.nlm.nih.gov/42544553/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