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Impfen und Impfpraevention</w:t>
      </w:r>
    </w:p>
    <w:p>
      <w:r>
        <w:rPr>
          <w:i/>
          <w:color w:val="666666"/>
          <w:sz w:val="18"/>
        </w:rPr>
        <w:t>Stand: 06.10.2026  |  269 Studien  |  impfen.m-vf.de</w:t>
      </w:r>
    </w:p>
    <w:p>
      <w:pPr>
        <w:pStyle w:val="Heading1"/>
      </w:pPr>
      <w:r>
        <w:t>Aufgenommen am 06.10.2026</w:t>
      </w:r>
    </w:p>
    <w:p>
      <w:pPr>
        <w:pStyle w:val="Heading2"/>
      </w:pPr>
      <w:r>
        <w:t>Massenimpfkampagne gegen Tollwut: 70-Prozent-Abdeckung in Ghana erreicht</w:t>
      </w:r>
    </w:p>
    <w:p>
      <w:r>
        <w:rPr>
          <w:i/>
          <w:color w:val="666666"/>
          <w:sz w:val="18"/>
        </w:rPr>
        <w:t>Dwaah PK et al.  ·  PLoS Negl Trop Dis  ·  05.10.2026  ·  PMID 42832606</w:t>
      </w:r>
    </w:p>
    <w:p>
      <w:r>
        <w:t>Evaluationen einer Eintagskampagne zur Hundeimpfung gegen Tollwut im September 2024 in Techiman Metropolis, Ghana, mit gemischten Methoden.</w:t>
      </w:r>
    </w:p>
    <w:p>
      <w:r>
        <w:rPr>
          <w:b/>
        </w:rPr>
        <w:t xml:space="preserve">Ergebnis: </w:t>
      </w:r>
      <w:r>
        <w:t>Administrative Abdeckung: ca. 70 % (5.600 Hunde), basierend auf Bevölkerungsschätzungen. Bewusstsein für Tollwut (tödlich) stieg von 45 % auf 75 %, für Prävention von 40 % auf 70 %. Barrieren: Impfstoffversorgungsverzögerungen, unzureichende Kühlkette, limitierter Zugang für periurbane Gebiete, keine Strategien für freilebende Hunde.</w:t>
      </w:r>
    </w:p>
    <w:p>
      <w:r>
        <w:rPr>
          <w:b/>
          <w:sz w:val="19"/>
        </w:rPr>
        <w:t xml:space="preserve">Übertragbarkeit: </w:t>
      </w:r>
      <w:r>
        <w:rPr>
          <w:sz w:val="19"/>
        </w:rPr>
        <w:t>Sub-Sahara-Afrika-Kontext; Erkenntnisse zu Logistik, Mehrsektor-Koordination und Monitoring übertragbar auf Impfkampagnen in Ländern mit begrenzter Infrastruktur.</w:t>
      </w:r>
    </w:p>
    <w:p>
      <w:r>
        <w:rPr>
          <w:color w:val="5A7D3A"/>
          <w:sz w:val="18"/>
        </w:rPr>
        <w:t>https://pubmed.ncbi.nlm.nih.gov/42832606/</w:t>
      </w:r>
    </w:p>
    <w:p>
      <w:pPr>
        <w:pStyle w:val="Heading2"/>
      </w:pPr>
      <w:r>
        <w:t>Impfkoordinator*innen: Erinnerungssysteme und flexible Termine erhöhen HPV-Quoten</w:t>
      </w:r>
    </w:p>
    <w:p>
      <w:r>
        <w:rPr>
          <w:i/>
          <w:color w:val="666666"/>
          <w:sz w:val="18"/>
        </w:rPr>
        <w:t>Khatri RA et al.  ·  Hum Vaccin Immunother  ·  05.10.2026  ·  PMID 42832184</w:t>
      </w:r>
    </w:p>
    <w:p>
      <w:r>
        <w:t>Qualitative Studie mit 24 Impfverantwortlichen aus Gesundheitsämtern in Indiana zu Barrieren und Förderern für HPV-Impfquoten bei Jugendlichen.</w:t>
      </w:r>
    </w:p>
    <w:p>
      <w:r>
        <w:rPr>
          <w:b/>
        </w:rPr>
        <w:t xml:space="preserve">Ergebnis: </w:t>
      </w:r>
      <w:r>
        <w:t>Hauptbarrieren für Abschluss der Serie: fehlende Information und Zeitmangel bei Eltern und Jugendlichen. Hauptförderung: automatische Erinnerungssysteme (Terminerinnerungen) und flexible Impfzeiten. Schulpolitik (HPV nicht Pflichtimpfung) wirkte als strukturelle Barriere.</w:t>
      </w:r>
    </w:p>
    <w:p>
      <w:r>
        <w:rPr>
          <w:b/>
          <w:sz w:val="19"/>
        </w:rPr>
        <w:t xml:space="preserve">Übertragbarkeit: </w:t>
      </w:r>
      <w:r>
        <w:rPr>
          <w:sz w:val="19"/>
        </w:rPr>
        <w:t>USA-Studie, aber Erkenntnisse zu Terminmanagement und Erinnerungswesen sind auf deutsches System mit QM-Anforderungen übertragbar.</w:t>
      </w:r>
    </w:p>
    <w:p>
      <w:r>
        <w:rPr>
          <w:color w:val="5A7D3A"/>
          <w:sz w:val="18"/>
        </w:rPr>
        <w:t>https://pubmed.ncbi.nlm.nih.gov/42832184/</w:t>
      </w:r>
    </w:p>
    <w:p>
      <w:pPr>
        <w:pStyle w:val="Heading2"/>
      </w:pPr>
      <w:r>
        <w:t>Hepatitis-B-Impfung in Kyrgyzstan: 3-%-Quote bei Erwachsenen, Barrieren identifiziert</w:t>
      </w:r>
    </w:p>
    <w:p>
      <w:r>
        <w:rPr>
          <w:i/>
          <w:color w:val="666666"/>
          <w:sz w:val="18"/>
        </w:rPr>
        <w:t>Zholdoshev S et al.  ·  Prague Med Rep  ·  2026  ·  PMID 42831606</w:t>
      </w:r>
    </w:p>
    <w:p>
      <w:r>
        <w:t>Screening-Studie in Jalal-Abad (Kirgisistan) zur Hepatitis-B-Impfquote Erwachsener und Barrieren für Immunisierungsprogramme.</w:t>
      </w:r>
    </w:p>
    <w:p>
      <w:r>
        <w:rPr>
          <w:b/>
        </w:rPr>
        <w:t xml:space="preserve">Ergebnis: </w:t>
      </w:r>
      <w:r>
        <w:t>Impfquote nur 3 % (Screening von 2.126 von 71.307 Erwachsenen); HBsAg-Prävalenz 3,3 %. Nach Kampagne 2.483 Personen geimpft, überwiegend Frauen (68,1 %) und Altersgruppe 50–59 Jahre. Barrieren: begrenzte Gesundheitsversorgung, mangelndes Bewusstsein, logistische Hürden. Interventionen: mobile Impfteams, integrierte öffentliche Dienste, kulturangepasste Kampagnen.</w:t>
      </w:r>
    </w:p>
    <w:p>
      <w:r>
        <w:rPr>
          <w:b/>
          <w:sz w:val="19"/>
        </w:rPr>
        <w:t xml:space="preserve">Übertragbarkeit: </w:t>
      </w:r>
      <w:r>
        <w:rPr>
          <w:sz w:val="19"/>
        </w:rPr>
        <w:t>Zentralasien, begrenzte Ressourcen; Erkenntnisse zu Zugangsbarrieren und Geschlechterdisparitäten zeigen Ungleichheitsaspekte.</w:t>
      </w:r>
    </w:p>
    <w:p>
      <w:r>
        <w:rPr>
          <w:color w:val="5A7D3A"/>
          <w:sz w:val="18"/>
        </w:rPr>
        <w:t>https://pubmed.ncbi.nlm.nih.gov/42831606/</w:t>
      </w:r>
    </w:p>
    <w:p>
      <w:pPr>
        <w:pStyle w:val="Heading2"/>
      </w:pPr>
      <w:r>
        <w:t>Grippeimpfung bei Kindern: individuelle statt routinemäßige Entscheidung empfohlen</w:t>
      </w:r>
    </w:p>
    <w:p>
      <w:r>
        <w:rPr>
          <w:i/>
          <w:color w:val="666666"/>
          <w:sz w:val="18"/>
        </w:rPr>
        <w:t>Beneš J  ·  Cas Lek Cesk  ·  2026  ·  PMID 42829827</w:t>
      </w:r>
    </w:p>
    <w:p>
      <w:r>
        <w:t>Narrative Übersichtsarbeit zur Influenzaimpfung bei Kindern mit Analyse von Evidenz zu Effektivität und Indikationen.</w:t>
      </w:r>
    </w:p>
    <w:p>
      <w:r>
        <w:rPr>
          <w:b/>
        </w:rPr>
        <w:t xml:space="preserve">Ergebnis: </w:t>
      </w:r>
      <w:r>
        <w:t>Grippeimpfung reduziert Häufigkeit und Schweregrad, aber Effektivität variiert je nach Situation. Meta-analysen zeigen unzureichende Evidenz für routinemäßige Impfung gesunder Kinder. Impfung sinnvoll bei schweren Immundefekten oder Komorbiditäten. Routine-Schuleingangsimpfung bleibt umstritten.</w:t>
      </w:r>
    </w:p>
    <w:p>
      <w:r>
        <w:rPr>
          <w:b/>
          <w:sz w:val="19"/>
        </w:rPr>
        <w:t xml:space="preserve">Übertragbarkeit: </w:t>
      </w:r>
      <w:r>
        <w:rPr>
          <w:sz w:val="19"/>
        </w:rPr>
        <w:t>Tschechien, vergleichbare europäische Impfkalender-Diskussionen; Befund zur fehlenden Routine-Evidenz bei Gesunden relevant für deutsches STIKO-Abwägen.</w:t>
      </w:r>
    </w:p>
    <w:p>
      <w:r>
        <w:rPr>
          <w:color w:val="5A7D3A"/>
          <w:sz w:val="18"/>
        </w:rPr>
        <w:t>https://pubmed.ncbi.nlm.nih.gov/42829827/</w:t>
      </w:r>
    </w:p>
    <w:p>
      <w:pPr>
        <w:pStyle w:val="Heading2"/>
      </w:pPr>
      <w:r>
        <w:t>Intranasale Interferon-α lenkt Impf-T-Zellen in obere Atemwege</w:t>
      </w:r>
    </w:p>
    <w:p>
      <w:r>
        <w:rPr>
          <w:i/>
          <w:color w:val="666666"/>
          <w:sz w:val="18"/>
        </w:rPr>
        <w:t>Fraser R et al.  ·  Front Immunol  ·  18.09.2026  ·  PMID 42827561</w:t>
      </w:r>
    </w:p>
    <w:p>
      <w:r>
        <w:t>Experimentelle Studie mit SARS-CoV-2-Vakzination als Testfall: intranasales exogenes IFN-α als Adjuvans zu systemischer Impfung.</w:t>
      </w:r>
    </w:p>
    <w:p>
      <w:r>
        <w:rPr>
          <w:b/>
        </w:rPr>
        <w:t xml:space="preserve">Ergebnis: </w:t>
      </w:r>
      <w:r>
        <w:t>Intranasale Gabe von IFN-α (ohne intranasales Antigen) lenkt impfspezifische T-Zell-Reaktionen in die oberen Atemwege, ohne auf intranasale Antigen-Delivery angewiesen zu sein. Neuartiger Weg, um lokale Immunität an Infektionsort zu generieren und Transmission zu unterbrechen.</w:t>
      </w:r>
    </w:p>
    <w:p>
      <w:r>
        <w:rPr>
          <w:b/>
          <w:sz w:val="19"/>
        </w:rPr>
        <w:t xml:space="preserve">Übertragbarkeit: </w:t>
      </w:r>
      <w:r>
        <w:rPr>
          <w:sz w:val="19"/>
        </w:rPr>
        <w:t>UK-Studie, Konzept-proof; übertragbar auf respiratorische Impfprogramme für Influenza, RSV, andere Atemwegsinfekte mit lokalem Fokus.</w:t>
      </w:r>
    </w:p>
    <w:p>
      <w:r>
        <w:rPr>
          <w:color w:val="5A7D3A"/>
          <w:sz w:val="18"/>
        </w:rPr>
        <w:t>https://pubmed.ncbi.nlm.nih.gov/42827561/</w:t>
      </w:r>
    </w:p>
    <w:p>
      <w:pPr>
        <w:pStyle w:val="Heading2"/>
      </w:pPr>
      <w:r>
        <w:t>NK-Zell-Therapien: Europa betont klinische Translation und Sicherheit</w:t>
      </w:r>
    </w:p>
    <w:p>
      <w:r>
        <w:rPr>
          <w:i/>
          <w:color w:val="666666"/>
          <w:sz w:val="18"/>
        </w:rPr>
        <w:t>Knapp LR et al.  ·  Hum Gene Ther  ·  03.08.2026  ·  PMID 42544553</w:t>
      </w:r>
    </w:p>
    <w:p>
      <w:r>
        <w:t>Opinion Paper aus Europäischer Perspektive zur klinischen Translation von Natural-Killer-Zell-Therapien, Ergebnisse eines Workshops März 2026 in Deutschland.</w:t>
      </w:r>
    </w:p>
    <w:p>
      <w:r>
        <w:rPr>
          <w:b/>
        </w:rPr>
        <w:t xml:space="preserve">Ergebnis: </w:t>
      </w:r>
      <w:r>
        <w:t>Sieben CAR-T-Produkte in Europa zugelassen für B-Zell-Malignome. NK-Zellen und γδ T-Zellen zeigen starke intrinsische Zytotoxizität und günstiges Sicherheitsprofil, aber Implementierungshürden bleiben: Manufacturing-Constraints, Kostenbarrieren, begrenzte klinische Daten. Empfehlung: koordinierte internationale Arbeit zu Validierung und Regulatory Harmonisierung.</w:t>
      </w:r>
    </w:p>
    <w:p>
      <w:r>
        <w:rPr>
          <w:b/>
          <w:sz w:val="19"/>
        </w:rPr>
        <w:t xml:space="preserve">Übertragbarkeit: </w:t>
      </w:r>
      <w:r>
        <w:rPr>
          <w:sz w:val="19"/>
        </w:rPr>
        <w:t>Deutsche und europäische Kliniken, vergleichbare Regulierung; direkt anwendbar auf Implementierungsplanung.</w:t>
      </w:r>
    </w:p>
    <w:p>
      <w:r>
        <w:rPr>
          <w:color w:val="5A7D3A"/>
          <w:sz w:val="18"/>
        </w:rPr>
        <w:t>https://pubmed.ncbi.nlm.nih.gov/42544553/</w:t>
      </w:r>
    </w:p>
    <w:p>
      <w:pPr>
        <w:pStyle w:val="Heading1"/>
      </w:pPr>
      <w:r>
        <w:t>Aufgenommen am 05.10.2026</w:t>
      </w:r>
    </w:p>
    <w:p>
      <w:pPr>
        <w:pStyle w:val="Heading2"/>
      </w:pPr>
      <w:r>
        <w:t>Torque-Teno-Virus-Viruslast verbessert Vorhersage der SARS-CoV-2-Serokonversion bei Nierentransplantation</w:t>
      </w:r>
    </w:p>
    <w:p>
      <w:r>
        <w:rPr>
          <w:i/>
          <w:color w:val="666666"/>
          <w:sz w:val="18"/>
        </w:rPr>
        <w:t>Hermida E et al.  ·  Clin Transplant  ·  Okt. 2026  ·  PMID 42829947</w:t>
      </w:r>
    </w:p>
    <w:p>
      <w:r>
        <w:t>Prospektive Kohortenstudie in argentinischen Nierentransplantierten (KTPs) zur Vorhersage der Serokonversion nach COVID-19-Impfung mittels TTV-Viruslast und klinischer Variablen.</w:t>
      </w:r>
    </w:p>
    <w:p>
      <w:r>
        <w:rPr>
          <w:b/>
        </w:rPr>
        <w:t xml:space="preserve">Ergebnis: </w:t>
      </w:r>
      <w:r>
        <w:t>Serokonversionsraten: 16,9% nach vollständiger Impfung, 21,9% nach einer Auffrischung, 55,5% nach zwei Auffrischungen. TTV-Viruslast allein zeigte bescheidene Vorhersagekraft (AUC 0,634). Ein erweitertes Modell mit TTV + klinischen/Impfvariablen verbesserte die Vorhersage erheblich (AUC 0,814) mit NPV 90,0%. Multifaktorielle Ansätze können Impfstrategien bei immungeschwächten Patienten optimieren.</w:t>
      </w:r>
    </w:p>
    <w:p>
      <w:r>
        <w:rPr>
          <w:b/>
          <w:sz w:val="19"/>
        </w:rPr>
        <w:t xml:space="preserve">Übertragbarkeit: </w:t>
      </w:r>
      <w:r>
        <w:rPr>
          <w:sz w:val="19"/>
        </w:rPr>
        <w:t>Argentinien, Transplantationsmedizin, Modellansatz auf deutsche Zentren übertragbar</w:t>
      </w:r>
    </w:p>
    <w:p>
      <w:r>
        <w:rPr>
          <w:color w:val="5A7D3A"/>
          <w:sz w:val="18"/>
        </w:rPr>
        <w:t>https://pubmed.ncbi.nlm.nih.gov/42829947/</w:t>
      </w:r>
    </w:p>
    <w:p>
      <w:pPr>
        <w:pStyle w:val="Heading2"/>
      </w:pPr>
      <w:r>
        <w:t>WHO-Fragebogen zu Verhaltensfaktoren bei Grippeimpfung validiert in Australien</w:t>
      </w:r>
    </w:p>
    <w:p>
      <w:r>
        <w:rPr>
          <w:i/>
          <w:color w:val="666666"/>
          <w:sz w:val="18"/>
        </w:rPr>
        <w:t>Sabahelzain MM et al.  ·  Hum Vaccin Immunother  ·  04.10.2026  ·  PMID 42829802</w:t>
      </w:r>
    </w:p>
    <w:p>
      <w:r>
        <w:t>Validierungsstudie des WHO-BeSD-Fragebogens zu sozialen und verhaltensbezogenen Treibern der Grippeimpfung in Australien mit kognitiven Interviews und psychometrischer Analyse.</w:t>
      </w:r>
    </w:p>
    <w:p>
      <w:r>
        <w:rPr>
          <w:b/>
        </w:rPr>
        <w:t xml:space="preserve">Ergebnis: </w:t>
      </w:r>
      <w:r>
        <w:t>Nach kognitiven Interviews mit 16 Erwachsenen wurden 9 von 31 Items überarbeitet. Psychometrische Auswertung von 2055 Respondenten identifizierte 5 Faktoren (Denken/Fühlen, soziale Prozesse, Motivation, praktische Fragen). Jedes Item korrelierte mit Impfintention, besonders Items zu wahrgenommener Impfwichtigkeit und sozialer Verantwortung. Fragebogen validiert, weitere Tests in verschiedenen Kontexten empfohlen.</w:t>
      </w:r>
    </w:p>
    <w:p>
      <w:r>
        <w:rPr>
          <w:b/>
          <w:sz w:val="19"/>
        </w:rPr>
        <w:t xml:space="preserve">Übertragbarkeit: </w:t>
      </w:r>
      <w:r>
        <w:rPr>
          <w:sz w:val="19"/>
        </w:rPr>
        <w:t>Australien, ähnlicher Versorgungskontext, Fragebogen-Tool transferierbar</w:t>
      </w:r>
    </w:p>
    <w:p>
      <w:r>
        <w:rPr>
          <w:color w:val="5A7D3A"/>
          <w:sz w:val="18"/>
        </w:rPr>
        <w:t>https://pubmed.ncbi.nlm.nih.gov/42829802/</w:t>
      </w:r>
    </w:p>
    <w:p>
      <w:pPr>
        <w:pStyle w:val="Heading2"/>
      </w:pPr>
      <w:r>
        <w:t>Türkische Eltern in den USA berichten Barrieren in der Impfaufklärung und Vertrauenslücken</w:t>
      </w:r>
    </w:p>
    <w:p>
      <w:r>
        <w:rPr>
          <w:i/>
          <w:color w:val="666666"/>
          <w:sz w:val="18"/>
        </w:rPr>
        <w:t>Çelik E et al.  ·  Front Public Health  ·  18.09.2026  ·  PMID 42827996</w:t>
      </w:r>
    </w:p>
    <w:p>
      <w:r>
        <w:t>Qualitative Interviewstudie mit 13 türkischen Migranteneltern in den USA zur Aufklärung und informed consent für Kinderimpfungen bei verpflichtender Schuleinschulung.</w:t>
      </w:r>
    </w:p>
    <w:p>
      <w:r>
        <w:rPr>
          <w:b/>
        </w:rPr>
        <w:t xml:space="preserve">Ergebnis: </w:t>
      </w:r>
      <w:r>
        <w:t>Vier Hauptthemen: (1) technische Sprache und Verständnisschwierigkeiten; (2) fehlende ethische Kompetenz in der klinischen Kommunikation; (3) Impfmandate verschieben Aufklärung zu bloßer Compliance; (4) Eltern suchen eigenständig religiöse und Zutat-Informationen, da klinische Beratung diese nicht abdeckt. Formale religiöse Leitlinien in USA wenig bekannt, anders als in muslimischen Ländern mit koordinierter Anleitung.</w:t>
      </w:r>
    </w:p>
    <w:p>
      <w:r>
        <w:rPr>
          <w:b/>
          <w:sz w:val="19"/>
        </w:rPr>
        <w:t xml:space="preserve">Übertragbarkeit: </w:t>
      </w:r>
      <w:r>
        <w:rPr>
          <w:sz w:val="19"/>
        </w:rPr>
        <w:t>USA-Kontext, aber Befunde zu Informationsgap und Sprachbarrieren für Deutschland relevant</w:t>
      </w:r>
    </w:p>
    <w:p>
      <w:r>
        <w:rPr>
          <w:color w:val="5A7D3A"/>
          <w:sz w:val="18"/>
        </w:rPr>
        <w:t>https://pubmed.ncbi.nlm.nih.gov/42827996/</w:t>
      </w:r>
    </w:p>
    <w:p>
      <w:pPr>
        <w:pStyle w:val="Heading2"/>
      </w:pPr>
      <w:r>
        <w:t>Impfquoten und Impfeinstellungen unterscheiden sich stark zwischen Stadt und Land in Polen</w:t>
      </w:r>
    </w:p>
    <w:p>
      <w:r>
        <w:rPr>
          <w:i/>
          <w:color w:val="666666"/>
          <w:sz w:val="18"/>
        </w:rPr>
        <w:t>Stefanicka-Wojtas D et al.  ·  Front Public Health  ·  18.09.2026  ·  PMID 42827868</w:t>
      </w:r>
    </w:p>
    <w:p>
      <w:r>
        <w:t>Querschnittsstudie in drei polnischen Hausarztpraxen (Großstadt, Kleinstadt, ländlich) zur Impfbereitschaft, selbstberichteten Nebenwirkungen und Determinanten der Grippeimpfung.</w:t>
      </w:r>
    </w:p>
    <w:p>
      <w:r>
        <w:rPr>
          <w:b/>
        </w:rPr>
        <w:t xml:space="preserve">Ergebnis: </w:t>
      </w:r>
      <w:r>
        <w:t>Impfquoten unterschieden sich deutlich nach Wohnort (p&lt;0,001): 100% im ländlichen Zentrum vs. 73–76% in städtischen Zentren. Selbstberichtete Nebenwirkungen waren selten auf dem Land (7,1%), am häufigsten in der Großstadt (20,0%, p&lt;0,001). In adjustierten Modellen: frühere Infektionserfahrung und respiratorische Komorbiditäten hingen mit höheren Odds für Grippe- (OR 11,0; 3,9) und COVID-19-Impfung (OR 3,6; 2,8) zusammen. Dies zeigt, dass Vertrauen in Gesundheitssystem und Informationsverfügbarkeit stark variieren und lokale Kommunikationsstrategien nötig sind.</w:t>
      </w:r>
    </w:p>
    <w:p>
      <w:r>
        <w:rPr>
          <w:b/>
          <w:sz w:val="19"/>
        </w:rPr>
        <w:t xml:space="preserve">Übertragbarkeit: </w:t>
      </w:r>
      <w:r>
        <w:rPr>
          <w:sz w:val="19"/>
        </w:rPr>
        <w:t>Polen, europäisches Primärversorgungssystem, direkt vergleichbar mit Deutschland</w:t>
      </w:r>
    </w:p>
    <w:p>
      <w:r>
        <w:rPr>
          <w:color w:val="5A7D3A"/>
          <w:sz w:val="18"/>
        </w:rPr>
        <w:t>https://pubmed.ncbi.nlm.nih.gov/42827868/</w:t>
      </w:r>
    </w:p>
    <w:p>
      <w:pPr>
        <w:pStyle w:val="Heading2"/>
      </w:pPr>
      <w:r>
        <w:t>Mütterliche RSV-Impfung schützt Säuglinge vor schweren Atemwegsinfektionen – Metaanalyse</w:t>
      </w:r>
    </w:p>
    <w:p>
      <w:r>
        <w:rPr>
          <w:i/>
          <w:color w:val="666666"/>
          <w:sz w:val="18"/>
        </w:rPr>
        <w:t>Kucukbas Ozonder GN et al.  ·  Front Public Health  ·  18.09.2026  ·  PMID 42827513</w:t>
      </w:r>
    </w:p>
    <w:p>
      <w:r>
        <w:t>Systematische Übersicht und Metaanalyse von 24 Studien (9 RCTs, 15 Beobachtungsstudien) zur Wirksamkeit maternaler RSV-Impfung gegen Säuglings-Bronchiolitis.</w:t>
      </w:r>
    </w:p>
    <w:p>
      <w:r>
        <w:rPr>
          <w:b/>
        </w:rPr>
        <w:t xml:space="preserve">Ergebnis: </w:t>
      </w:r>
      <w:r>
        <w:t>Gepoolte Impfeffektivität gegen RSV-assoziierte Krankenhauseinweisung 79,7% (95% KI 73,9–84,2) in den ersten 3 Monaten, 68,1% (57,1–76,3) bis 6 Monate. Randomisierte Effizienz gegen schwere RSV-LRTI 70%, gegen ärztlich behandelte RSV-LRTI 51,5% (36,3–63,1). Preterm-Geburten modest erhöht in RCTs (RR 1,17), aber Signal nicht robust. Evidenzsicherheit moderat.</w:t>
      </w:r>
    </w:p>
    <w:p>
      <w:r>
        <w:rPr>
          <w:b/>
          <w:sz w:val="19"/>
        </w:rPr>
        <w:t xml:space="preserve">Übertragbarkeit: </w:t>
      </w:r>
      <w:r>
        <w:rPr>
          <w:sz w:val="19"/>
        </w:rPr>
        <w:t>Randomisierte und reale Daten zeigen Übereinstimmung, international übertragbar</w:t>
      </w:r>
    </w:p>
    <w:p>
      <w:r>
        <w:rPr>
          <w:color w:val="5A7D3A"/>
          <w:sz w:val="18"/>
        </w:rPr>
        <w:t>https://pubmed.ncbi.nlm.nih.gov/42827513/</w:t>
      </w:r>
    </w:p>
    <w:p>
      <w:pPr>
        <w:pStyle w:val="Heading2"/>
      </w:pPr>
      <w:r>
        <w:t>Psychologische Faktoren bei Impfskepsis: Neuer Fragebogen zur Messung (PF-HBQ)</w:t>
      </w:r>
    </w:p>
    <w:p>
      <w:r>
        <w:rPr>
          <w:i/>
          <w:color w:val="666666"/>
          <w:sz w:val="18"/>
        </w:rPr>
        <w:t>De Biase R et al.  ·  Front Public Health  ·  18.09.2026  ·  PMID 42827459</w:t>
      </w:r>
    </w:p>
    <w:p>
      <w:r>
        <w:t>Psychometrische Entwicklung und Validierung des Psychological Factors in Healthcare Behavior Questionnaire (PF-HBQ) zur Erfassung psychologischer Einflussfaktoren auf Impfentscheidungen.</w:t>
      </w:r>
    </w:p>
    <w:p>
      <w:r>
        <w:rPr>
          <w:b/>
        </w:rPr>
        <w:t xml:space="preserve">Ergebnis: </w:t>
      </w:r>
      <w:r>
        <w:t>Zwei Studien: Study 1 (N=472) bestätigte 9 psychologische Faktoren (Misstrauen, Distress, Extraversion, Offenheit, Prokrastination, depressive Symptome, posttraumatische Symptome, zwanghafte Züge, emotionale Stabilität) mit guter Reliabilität. Study 2 (N=192) zeigte signifikante Unterschiede zwischen Impfskeptikern und Nicht-Skeptikern. PF-HBQ ist zuverlässiges Werkzeug zur Charakterisierung psychologischer Profile bei Impfentscheidungen.</w:t>
      </w:r>
    </w:p>
    <w:p>
      <w:r>
        <w:rPr>
          <w:b/>
          <w:sz w:val="19"/>
        </w:rPr>
        <w:t xml:space="preserve">Übertragbarkeit: </w:t>
      </w:r>
      <w:r>
        <w:rPr>
          <w:sz w:val="19"/>
        </w:rPr>
        <w:t>Italien, psychometrisches Instrument, kulturübergreifend adaptierbar</w:t>
      </w:r>
    </w:p>
    <w:p>
      <w:r>
        <w:rPr>
          <w:color w:val="5A7D3A"/>
          <w:sz w:val="18"/>
        </w:rPr>
        <w:t>https://pubmed.ncbi.nlm.nih.gov/42827459/</w:t>
      </w:r>
    </w:p>
    <w:p>
      <w:pPr>
        <w:pStyle w:val="Heading1"/>
      </w:pPr>
      <w:r>
        <w:t>Aufgenommen am 04.10.2026</w:t>
      </w:r>
    </w:p>
    <w:p>
      <w:pPr>
        <w:pStyle w:val="Heading2"/>
      </w:pPr>
      <w:r>
        <w:t>Impfverantwortung in Familie und System: Wie russische Mütter Impfentscheidungen treffen</w:t>
      </w:r>
    </w:p>
    <w:p>
      <w:r>
        <w:rPr>
          <w:i/>
          <w:color w:val="666666"/>
          <w:sz w:val="18"/>
        </w:rPr>
        <w:t>Borozdina E  ·  Sociol Health Illn  ·  Nov. 2026  ·  PMID 42823783</w:t>
      </w:r>
    </w:p>
    <w:p>
      <w:r>
        <w:t>Qualitative Interviews mit impfskeptischen russischen Müttern zeigten, dass Impfentscheidungen nicht individuell getroffen werden, sondern eingebettet sind in Familiennetzwerke und durch unzureichende institutionelle Unterstützung bei hoher Eigenverantwortung geprägt sind.</w:t>
      </w:r>
    </w:p>
    <w:p>
      <w:r>
        <w:rPr>
          <w:b/>
        </w:rPr>
        <w:t xml:space="preserve">Ergebnis: </w:t>
      </w:r>
      <w:r>
        <w:t>Impfskepsis entsteht nicht primär aus individualistischer Haltung, sondern aus dem Misstrauen gegenüber Institutionen, die Eigenverantwortung verlangen ohne sie zu unterstützen; familiäre Netzwerke sind zentral für Entscheidungsfindung.</w:t>
      </w:r>
    </w:p>
    <w:p>
      <w:r>
        <w:rPr>
          <w:b/>
          <w:sz w:val="19"/>
        </w:rPr>
        <w:t xml:space="preserve">Übertragbarkeit: </w:t>
      </w:r>
      <w:r>
        <w:rPr>
          <w:sz w:val="19"/>
        </w:rPr>
        <w:t>Russland – System mit neoliberalen Tendenzen und Staatskontrolle, teilweise vergleichbar zu osteuropäischen Transformationsgesellschaften</w:t>
      </w:r>
    </w:p>
    <w:p>
      <w:r>
        <w:rPr>
          <w:color w:val="5A7D3A"/>
          <w:sz w:val="18"/>
        </w:rPr>
        <w:t>https://pubmed.ncbi.nlm.nih.gov/42823783/</w:t>
      </w:r>
    </w:p>
    <w:p>
      <w:pPr>
        <w:pStyle w:val="Heading2"/>
      </w:pPr>
      <w:r>
        <w:t>Guillain-Barré-Syndrom nach RSV-Vakzinierung: Fallbericht und diagnostische Lektionen</w:t>
      </w:r>
    </w:p>
    <w:p>
      <w:r>
        <w:rPr>
          <w:i/>
          <w:color w:val="666666"/>
          <w:sz w:val="18"/>
        </w:rPr>
        <w:t>Hreiz S et al.  ·  BMJ Case Rep  ·  01.10.2026  ·  PMID 42823139</w:t>
      </w:r>
    </w:p>
    <w:p>
      <w:r>
        <w:t>Fallbericht einer älteren Patientin mit Guillain-Barré-Syndrom zwei Wochen nach RSV-Impfung, die zunächst fehldiagnostiziert wurde, intensive Behandlung mit IVIG erforderte und sich nur partiell erholte.</w:t>
      </w:r>
    </w:p>
    <w:p>
      <w:r>
        <w:rPr>
          <w:b/>
        </w:rPr>
        <w:t xml:space="preserve">Ergebnis: </w:t>
      </w:r>
      <w:r>
        <w:t>Ein dokumentierter Fall eines Guillain-Barré-Syndroms mit zeitlichem Zusammenhang zur RSV-Vakzinierung; seltene, aber wichtige Nebenwirkung, die Notwendigkeit serieller klinischer Beurteilung und früher Eskalation unterstreicht.</w:t>
      </w:r>
    </w:p>
    <w:p>
      <w:r>
        <w:rPr>
          <w:b/>
          <w:sz w:val="19"/>
        </w:rPr>
        <w:t xml:space="preserve">Übertragbarkeit: </w:t>
      </w:r>
      <w:r>
        <w:rPr>
          <w:sz w:val="19"/>
        </w:rPr>
        <w:t>Großbritannien – vergleichbares Gesundheitssystem, Vigilanzmeldung in europäischer Sicherheitsüberwachung relevant</w:t>
      </w:r>
    </w:p>
    <w:p>
      <w:r>
        <w:rPr>
          <w:color w:val="5A7D3A"/>
          <w:sz w:val="18"/>
        </w:rPr>
        <w:t>https://pubmed.ncbi.nlm.nih.gov/42823139/</w:t>
      </w:r>
    </w:p>
    <w:p>
      <w:pPr>
        <w:pStyle w:val="Heading2"/>
      </w:pPr>
      <w:r>
        <w:t>Hepatitis-B-Impfantwortraten bei Hämodialysepatienten: Prädiktoren und Responderraten</w:t>
      </w:r>
    </w:p>
    <w:p>
      <w:r>
        <w:rPr>
          <w:i/>
          <w:color w:val="666666"/>
          <w:sz w:val="18"/>
        </w:rPr>
        <w:t>Gupta RD et al.  ·  Mymensingh Med J  ·  Okt. 2026  ·  PMID 42811835</w:t>
      </w:r>
    </w:p>
    <w:p>
      <w:r>
        <w:t>Querschnittstudie mit 50 Hämodialysepatienten in Bangladesch zur Messung von Anti-HBs-Titern nach Hepatitis-B-Impfung und Identifikation von Prädiktoren der Impfantwort.</w:t>
      </w:r>
    </w:p>
    <w:p>
      <w:r>
        <w:rPr>
          <w:b/>
        </w:rPr>
        <w:t xml:space="preserve">Ergebnis: </w:t>
      </w:r>
      <w:r>
        <w:t>Gesamtansprechquote 64%: 38% Hochresponder (Anti-HBs ≥100 mIU/ml), 26% schwache Responder (≥10 bis &lt;100 mIU/ml), 36% Nicht-Responder (&lt;10 mIU/ml); Alter &gt;50 Jahre, Diabetes und niedriges Serumalbmin waren signifikante Prädiktoren für schwache/keine Antwort (p&lt;0,05).</w:t>
      </w:r>
    </w:p>
    <w:p>
      <w:r>
        <w:rPr>
          <w:b/>
          <w:sz w:val="19"/>
        </w:rPr>
        <w:t xml:space="preserve">Übertragbarkeit: </w:t>
      </w:r>
      <w:r>
        <w:rPr>
          <w:sz w:val="19"/>
        </w:rPr>
        <w:t>Bangladesch – ähnliche Dialysepopulation, generalisierbar auf Hochrisikogruppen mit Malnutrition</w:t>
      </w:r>
    </w:p>
    <w:p>
      <w:r>
        <w:rPr>
          <w:color w:val="5A7D3A"/>
          <w:sz w:val="18"/>
        </w:rPr>
        <w:t>https://pubmed.ncbi.nlm.nih.gov/42811835/</w:t>
      </w:r>
    </w:p>
    <w:p>
      <w:pPr>
        <w:pStyle w:val="Heading2"/>
      </w:pPr>
      <w:r>
        <w:t>COVID-19-Impfeffektivität unter Alltagsbedingungen: Direkte und indirekte Effekte in Victoria, Australien</w:t>
      </w:r>
    </w:p>
    <w:p>
      <w:r>
        <w:rPr>
          <w:i/>
          <w:color w:val="666666"/>
          <w:sz w:val="18"/>
        </w:rPr>
        <w:t>Lin L et al.  ·  J R Soc Interface  ·  30.09.2026  ·  PMID 42811612</w:t>
      </w:r>
    </w:p>
    <w:p>
      <w:r>
        <w:t>Bevölkerungsbasierte Modellstudie mit 6,44 Millionen Einwohnern Victorias zur Quantifizierung der direkten und indirekten (Herden-)Schutzeffekte von COVID-19-Impfung während der Delta-Welle 2021.</w:t>
      </w:r>
    </w:p>
    <w:p>
      <w:r>
        <w:rPr>
          <w:b/>
        </w:rPr>
        <w:t xml:space="preserve">Ergebnis: </w:t>
      </w:r>
      <w:r>
        <w:t>Konservativ geschätzt: 315.000 Infektionen (95% BCI: 231k–406k), 33.400 Hospitalisierungen (95% BCI: 22k–46k) und 4.900 Todesfälle (95% BCI: 2,8k–7,2k) vermieden; diese Zahlen sind 4,0–, 7,5– und 8,0-fach höher als die beobachtete Fallzahl. Etwa die Hälfte der vermiedenen Infektionen und ein Viertel der Hospitalisierungen/Todesfälle gingen auf indirekten Schutz zurück.</w:t>
      </w:r>
    </w:p>
    <w:p>
      <w:r>
        <w:rPr>
          <w:b/>
          <w:sz w:val="19"/>
        </w:rPr>
        <w:t xml:space="preserve">Übertragbarkeit: </w:t>
      </w:r>
      <w:r>
        <w:rPr>
          <w:sz w:val="19"/>
        </w:rPr>
        <w:t>Australien – ähnliche Impfinfrastruktur wie Westeuropa, Bevölkerungsdaten robust</w:t>
      </w:r>
    </w:p>
    <w:p>
      <w:r>
        <w:rPr>
          <w:color w:val="5A7D3A"/>
          <w:sz w:val="18"/>
        </w:rPr>
        <w:t>https://pubmed.ncbi.nlm.nih.gov/42811612/</w:t>
      </w:r>
    </w:p>
    <w:p>
      <w:pPr>
        <w:pStyle w:val="Heading2"/>
      </w:pPr>
      <w:r>
        <w:t>HPV-Impfwissen und -akzeptanz bei Studierenden in Malaysia: Lücken trotz positiver Einstellung</w:t>
      </w:r>
    </w:p>
    <w:p>
      <w:r>
        <w:rPr>
          <w:i/>
          <w:color w:val="666666"/>
          <w:sz w:val="18"/>
        </w:rPr>
        <w:t>Lim MSH et al.  ·  Asian Pac J Cancer Prev  ·  01.09.2026  ·  PMID 42808405</w:t>
      </w:r>
    </w:p>
    <w:p>
      <w:r>
        <w:t>Querschnittstudie mit 382 Undergraduate-Studierenden in Sarawak zur Erhebung von HPV-Wissen, Einstellungen und Impfquoten; 55% waren ungeimpft.</w:t>
      </w:r>
    </w:p>
    <w:p>
      <w:r>
        <w:rPr>
          <w:b/>
        </w:rPr>
        <w:t xml:space="preserve">Ergebnis: </w:t>
      </w:r>
      <w:r>
        <w:t>HPV-Wissen moderat: Studierende aus Gesundheitsfachrichtungen zeigten höheres Wissen (aOR 2,0, 95% CI 1,1–3,5); Geimpfte hatten signifikant höheres Wissen (aOR 1,9, 95% CI 1,2–3,0). Einstellungen überwiegend positiv, aber Bedenken bezüglich Kosten, Sicherheit und sozialer Stigmatisierung blieben bestehen.</w:t>
      </w:r>
    </w:p>
    <w:p>
      <w:r>
        <w:rPr>
          <w:b/>
          <w:sz w:val="19"/>
        </w:rPr>
        <w:t xml:space="preserve">Übertragbarkeit: </w:t>
      </w:r>
      <w:r>
        <w:rPr>
          <w:sz w:val="19"/>
        </w:rPr>
        <w:t>Malaysia – mittleres Einkommen, nationales HPV-Programm, ähnliche schulische Erreichbarkeit wie Schwellenländer</w:t>
      </w:r>
    </w:p>
    <w:p>
      <w:r>
        <w:rPr>
          <w:color w:val="5A7D3A"/>
          <w:sz w:val="18"/>
        </w:rPr>
        <w:t>https://pubmed.ncbi.nlm.nih.gov/42808405/</w:t>
      </w:r>
    </w:p>
    <w:p>
      <w:pPr>
        <w:pStyle w:val="Heading2"/>
      </w:pPr>
      <w:r>
        <w:t>Masernimpfversagen bei Reiserückkehrern: Zwei Fallbeispiele aus Deutschland</w:t>
      </w:r>
    </w:p>
    <w:p>
      <w:r>
        <w:rPr>
          <w:i/>
          <w:color w:val="666666"/>
          <w:sz w:val="18"/>
        </w:rPr>
        <w:t>Schnell AP et al.  ·  Inn Med (Heidelb)  ·  08.09.2026  ·  PMID 42709141</w:t>
      </w:r>
    </w:p>
    <w:p>
      <w:r>
        <w:t>Fallbericht von zwei Masernpatienten nach Auslandsreisen, davon einer mit primärem Impfversagen nach Einfachimpfung mit schwerer Pneumonitis und einer mit sekundärem Impfversagen und atypischem Exanthem bei vermuteter Immundefizienz.</w:t>
      </w:r>
    </w:p>
    <w:p>
      <w:r>
        <w:rPr>
          <w:b/>
        </w:rPr>
        <w:t xml:space="preserve">Ergebnis: </w:t>
      </w:r>
      <w:r>
        <w:t>Zwei dokumentierte Masernfälle in Deutschland trotz Impfung – ein Fall mit primärem, einer mit sekundärem Impfversagen; Masern bleiben relevante Differenzialdiagnose auch bei Geimpften, reisemedizinische Beratung sollte Impfstatus erfassen.</w:t>
      </w:r>
    </w:p>
    <w:p>
      <w:r>
        <w:rPr>
          <w:b/>
          <w:sz w:val="19"/>
        </w:rPr>
        <w:t xml:space="preserve">Übertragbarkeit: </w:t>
      </w:r>
      <w:r>
        <w:rPr>
          <w:sz w:val="19"/>
        </w:rPr>
        <w:t>Deutsche Klinikdaten mit reisemedizinischem Bezug und Impfversagensursachen klinisch relevant</w:t>
      </w:r>
    </w:p>
    <w:p>
      <w:r>
        <w:rPr>
          <w:color w:val="5A7D3A"/>
          <w:sz w:val="18"/>
        </w:rPr>
        <w:t>https://pubmed.ncbi.nlm.nih.gov/42709141/</w:t>
      </w:r>
    </w:p>
    <w:p>
      <w:pPr>
        <w:pStyle w:val="Heading1"/>
      </w:pPr>
      <w:r>
        <w:t>Aufgenommen am 03.10.2026</w:t>
      </w:r>
    </w:p>
    <w:p>
      <w:pPr>
        <w:pStyle w:val="Heading2"/>
      </w:pPr>
      <w:r>
        <w:t>Impfquoten bei erwachsenen Diabetespatienten auf den Philippinen: Impfhürden und Chancen</w:t>
      </w:r>
    </w:p>
    <w:p>
      <w:r>
        <w:rPr>
          <w:i/>
          <w:color w:val="666666"/>
          <w:sz w:val="18"/>
        </w:rPr>
        <w:t>Jacobo RJB et al.  ·  Hum Vaccin Immunother  ·  02.10.2026  ·  PMID 42826175</w:t>
      </w:r>
    </w:p>
    <w:p>
      <w:r>
        <w:t>Querschnittstudie mit 284 philippinischen Erwachsenen mit Diabetes zur Erfassung von Impfquoten gegen Influenza, Pneumokokken, Herpes zoster, Hepatitis B, Tetanus und COVID-19 sowie Prädiktoren für Impfung.</w:t>
      </w:r>
    </w:p>
    <w:p>
      <w:r>
        <w:rPr>
          <w:b/>
        </w:rPr>
        <w:t xml:space="preserve">Ergebnis: </w:t>
      </w:r>
      <w:r>
        <w:t>Impfquoten: Influenza 44,4 %, Pneumokokken 49,6 %, Herpes zoster 18,1 %, Hepatitis B 15,5 %, Td/Tdap 23,2 %, COVID-19 97,9 %. Männliches Geschlecht, niedrigeres Alter und niedrigeres Einkommen waren mit niedrigeren Quoten assoziiert. Ärztliche Empfehlung war stärkster Prädiktor für alle Impfungen. Häufigste Gründe für Nicht-Impfung: fehlende Empfehlung (62–82 %), finanzielle Hürden (36–52 %), Impfen nicht als Priorität.</w:t>
      </w:r>
    </w:p>
    <w:p>
      <w:r>
        <w:rPr>
          <w:b/>
          <w:sz w:val="19"/>
        </w:rPr>
        <w:t xml:space="preserve">Übertragbarkeit: </w:t>
      </w:r>
      <w:r>
        <w:rPr>
          <w:sz w:val="19"/>
        </w:rPr>
        <w:t>Niedrig-mittleres Einkommen; Befunde zu Barrierenadressierung auf DACH begrenzt übertragbar</w:t>
      </w:r>
    </w:p>
    <w:p>
      <w:r>
        <w:rPr>
          <w:color w:val="5A7D3A"/>
          <w:sz w:val="18"/>
        </w:rPr>
        <w:t>https://pubmed.ncbi.nlm.nih.gov/42826175/</w:t>
      </w:r>
    </w:p>
    <w:p>
      <w:pPr>
        <w:pStyle w:val="Heading2"/>
      </w:pPr>
      <w:r>
        <w:t>Influenza-Impfeffektivität bei älteren Erwachsenen während Delta-Dominanz in China 2024–2025</w:t>
      </w:r>
    </w:p>
    <w:p>
      <w:r>
        <w:rPr>
          <w:i/>
          <w:color w:val="666666"/>
          <w:sz w:val="18"/>
        </w:rPr>
        <w:t>Liu X et al.  ·  BMC Geriatr  ·  25.07.2026  ·  PMID 42823662</w:t>
      </w:r>
    </w:p>
    <w:p>
      <w:r>
        <w:t>Multizenter Test-Negativ-Studie mit 4.694 älteren Patienten (≥60 Jahre) in der Provinz Zhejiang zur Messung der Impfeffektivität gegen A(H1N1)pdm09 unter Routinebedingungen.</w:t>
      </w:r>
    </w:p>
    <w:p>
      <w:r>
        <w:rPr>
          <w:b/>
        </w:rPr>
        <w:t xml:space="preserve">Ergebnis: </w:t>
      </w:r>
      <w:r>
        <w:t>Gesamteffektivität 53,3 % (95%-KI 45,4–60,2), nach Altersgruppe 56,9 % (60–69 Jahre), 51,2 % (70–79 Jahre), 57,7 % (≥80 Jahre). Effektivität gegen Hospitalisierung 53,9 % (95%-KI 37,3–66,0), gegen moderate bis schwere Influenza 68,8 % (95%-KI 50,0–80,6). Schutz sank von 58,0 % (37–71 Tage post-vakzination) auf 42,8 % (60–180 Tage). Impfquote 32,7 %.</w:t>
      </w:r>
    </w:p>
    <w:p>
      <w:r>
        <w:rPr>
          <w:b/>
          <w:sz w:val="19"/>
        </w:rPr>
        <w:t xml:space="preserve">Übertragbarkeit: </w:t>
      </w:r>
      <w:r>
        <w:rPr>
          <w:sz w:val="19"/>
        </w:rPr>
        <w:t>China-Studie; Labor-Bestätigung und Test-Negativ-Design sind übertragbar</w:t>
      </w:r>
    </w:p>
    <w:p>
      <w:r>
        <w:rPr>
          <w:color w:val="5A7D3A"/>
          <w:sz w:val="18"/>
        </w:rPr>
        <w:t>https://pubmed.ncbi.nlm.nih.gov/42823662/</w:t>
      </w:r>
    </w:p>
    <w:p>
      <w:pPr>
        <w:pStyle w:val="Heading2"/>
      </w:pPr>
      <w:r>
        <w:t>CAR-T-Therapie versus allogene Stammzelltransplantation bei refraktärem großzelligem B-Lymphom</w:t>
      </w:r>
    </w:p>
    <w:p>
      <w:r>
        <w:rPr>
          <w:i/>
          <w:color w:val="666666"/>
          <w:sz w:val="18"/>
        </w:rPr>
        <w:t>Maulhardt M et al.  ·  Clin Lymphoma Myeloma Leuk  ·  07.08.2026  ·  PMID 42686451</w:t>
      </w:r>
    </w:p>
    <w:p>
      <w:r>
        <w:t>Retrospektive Auswertung von 187 Patienten mit refraktärem großzelligem B-Lymphom, die entweder CAR-T-Zelltherapie (Axicabtagene Ciloleucel) oder allogene Transplantation erhielten, zur Vergleichbarkeit von Überleben und Nebenwirkungen.</w:t>
      </w:r>
    </w:p>
    <w:p>
      <w:r>
        <w:rPr>
          <w:b/>
        </w:rPr>
        <w:t xml:space="preserve">Ergebnis: </w:t>
      </w:r>
      <w:r>
        <w:t>12-Monats-progressionsfreies Überleben 50,1 % (CAR-T) vs. 33,8 % (Transplantation, p&lt;0,05); 12-Monats-Gesamtüberleben 60,5 % vs. 43,2 % (p&lt;0,05). Nicht-Rezidiv-Mortalität deutlich höher nach Transplantation (36 % vs. 12 %, p&lt;0,001), hauptsächlich durch Infektionen und Graft-versus-Host-Erkrankung. CAR-T zeigte Überlebensvorteil durch niedrigere Behandlungsmortalität.</w:t>
      </w:r>
    </w:p>
    <w:p>
      <w:r>
        <w:rPr>
          <w:b/>
          <w:sz w:val="19"/>
        </w:rPr>
        <w:t xml:space="preserve">Übertragbarkeit: </w:t>
      </w:r>
      <w:r>
        <w:rPr>
          <w:sz w:val="19"/>
        </w:rPr>
        <w:t>Deutsches Single-Center-Register mit vergleichbarem Versicherungssystem</w:t>
      </w:r>
    </w:p>
    <w:p>
      <w:r>
        <w:rPr>
          <w:color w:val="5A7D3A"/>
          <w:sz w:val="18"/>
        </w:rPr>
        <w:t>https://pubmed.ncbi.nlm.nih.gov/42686451/</w:t>
      </w:r>
    </w:p>
    <w:p>
      <w:pPr>
        <w:pStyle w:val="Heading2"/>
      </w:pPr>
      <w:r>
        <w:t>Attenuierter Influenzaimpfstoff erhöht Pneumokokken-Besiedlung und Übertragung in Haushalten</w:t>
      </w:r>
    </w:p>
    <w:p>
      <w:r>
        <w:rPr>
          <w:i/>
          <w:color w:val="666666"/>
          <w:sz w:val="18"/>
        </w:rPr>
        <w:t>Metz J et al.  ·  Lancet Microbe  ·  18.08.2026  ·  PMID 42612652</w:t>
      </w:r>
    </w:p>
    <w:p>
      <w:r>
        <w:t>Randomisierte UK-Studie mit 405 Familien (1.379 Personen), die untersuchte, ob der lebendabgeschwächte Influenzaimpfstoff bei Kleinkindern die Dichte von Streptococcus-pneumoniae-Besiedlung und deren Übertragung auf Haushaltskontakte erhöht.</w:t>
      </w:r>
    </w:p>
    <w:p>
      <w:r>
        <w:rPr>
          <w:b/>
        </w:rPr>
        <w:t xml:space="preserve">Ergebnis: </w:t>
      </w:r>
      <w:r>
        <w:t>Bei geimpften Kindern 2,5-fach erhöhte Odds für Anstieg der Pneumokokken-Dichte nach 14 Tagen (95%-KI 1,5–4,3, p=0,0008) und 2,0-fach erhöhte Odds für Pneumokokken-Erwerb bei Haushaltskonten (95%-KI 1,2–3,5, p=0,015). Effekte weitgehend abgeklungen bis Tag 28. Impfquote bei Studienende 96 %, Studienvollendung 96 %.</w:t>
      </w:r>
    </w:p>
    <w:p>
      <w:r>
        <w:rPr>
          <w:b/>
          <w:sz w:val="19"/>
        </w:rPr>
        <w:t xml:space="preserve">Übertragbarkeit: </w:t>
      </w:r>
      <w:r>
        <w:rPr>
          <w:sz w:val="19"/>
        </w:rPr>
        <w:t>UK-Register mit vergleichbarer Haushaltsstruktur, Übertragbarkeit auf Deutschland eingeschränkt</w:t>
      </w:r>
    </w:p>
    <w:p>
      <w:r>
        <w:rPr>
          <w:color w:val="5A7D3A"/>
          <w:sz w:val="18"/>
        </w:rPr>
        <w:t>https://pubmed.ncbi.nlm.nih.gov/42612652/</w:t>
      </w:r>
    </w:p>
    <w:p>
      <w:pPr>
        <w:pStyle w:val="Heading2"/>
      </w:pPr>
      <w:r>
        <w:t>Frühe CAR-T-Intensivierung bei hochrisiko-Mantelzelllymphom: CARMAN-Protokoll</w:t>
      </w:r>
    </w:p>
    <w:p>
      <w:r>
        <w:rPr>
          <w:i/>
          <w:color w:val="666666"/>
          <w:sz w:val="18"/>
        </w:rPr>
        <w:t>Tilch MK et al.  ·  BMC Cancer  ·  11.08.2026  ·  PMID 42581349</w:t>
      </w:r>
    </w:p>
    <w:p>
      <w:r>
        <w:t>Randomisierte Phase-II-Studie zur Prüfung, ob eine Verkürzung der Induktionschemotherapie gefolgt von CAR-T-Zelltherapie das Überleben bei hochrisiko-Mantelzelllymphom verbessert – als Alternative zu Standardtherapie.</w:t>
      </w:r>
    </w:p>
    <w:p>
      <w:r>
        <w:rPr>
          <w:b/>
        </w:rPr>
        <w:t xml:space="preserve">Ergebnis: </w:t>
      </w:r>
      <w:r>
        <w:t>Rekrutierung 2026 abgeschlossen; 150 Patienten aus 5 europäischen Ländern randomisiert 1:1. Primärer Endpunkt ist ‚Failure-free survival'; Sekundärendpunkte umfassen Gesamtresponserate, komplette Remissionsrate, Sicherheit und Lebensqualität. Ergebnisse stehen aus.</w:t>
      </w:r>
    </w:p>
    <w:p>
      <w:r>
        <w:rPr>
          <w:b/>
          <w:sz w:val="19"/>
        </w:rPr>
        <w:t xml:space="preserve">Übertragbarkeit: </w:t>
      </w:r>
      <w:r>
        <w:rPr>
          <w:sz w:val="19"/>
        </w:rPr>
        <w:t>Multizenter europäische Studie mit vergleichbarem Gesundheitssystem</w:t>
      </w:r>
    </w:p>
    <w:p>
      <w:r>
        <w:rPr>
          <w:color w:val="5A7D3A"/>
          <w:sz w:val="18"/>
        </w:rPr>
        <w:t>https://pubmed.ncbi.nlm.nih.gov/42581349/</w:t>
      </w:r>
    </w:p>
    <w:p>
      <w:pPr>
        <w:pStyle w:val="Heading2"/>
      </w:pPr>
      <w:r>
        <w:t>Wirtschaftliche Präferenzen vorhersagen COVID-19-Impfabsicht und Verhalten</w:t>
      </w:r>
    </w:p>
    <w:p>
      <w:r>
        <w:rPr>
          <w:i/>
          <w:color w:val="666666"/>
          <w:sz w:val="18"/>
        </w:rPr>
        <w:t>Angerer S et al.  ·  Health Econ  ·  30.07.2026  ·  PMID 42533263</w:t>
      </w:r>
    </w:p>
    <w:p>
      <w:r>
        <w:t>Bevölkerungsstudie mit &gt;5.000 Personen in Deutschland, die die Beziehung zwischen Temperament (Altruismus, Geduld, Risikobereitschaft, Vertrauen) und COVID-19-Impfbereitschaft untersuchte.</w:t>
      </w:r>
    </w:p>
    <w:p>
      <w:r>
        <w:rPr>
          <w:b/>
        </w:rPr>
        <w:t xml:space="preserve">Ergebnis: </w:t>
      </w:r>
      <w:r>
        <w:t>Robuste positive Assoziationen zwischen Impfbereitschaft und Geduld sowie Vertrauen. Altruismus zeigte positive Beziehung zur Impfbereitschaft, die jedoch bei Kontrolle anderer Präferenzen verschwand. Risikobereitschaft zeigte keine konsistenten Effekte. Befunde unterstreichen Bedeutung von Vertrauen und zeitlichem Denken für Impfentscheidungen.</w:t>
      </w:r>
    </w:p>
    <w:p>
      <w:r>
        <w:rPr>
          <w:b/>
          <w:sz w:val="19"/>
        </w:rPr>
        <w:t xml:space="preserve">Übertragbarkeit: </w:t>
      </w:r>
      <w:r>
        <w:rPr>
          <w:sz w:val="19"/>
        </w:rPr>
        <w:t>Deutsche Bevölkerungsstichprobe, direkt auf deutsches Gesundheitssystem übertragbar</w:t>
      </w:r>
    </w:p>
    <w:p>
      <w:r>
        <w:rPr>
          <w:color w:val="5A7D3A"/>
          <w:sz w:val="18"/>
        </w:rPr>
        <w:t>https://pubmed.ncbi.nlm.nih.gov/42533263/</w:t>
      </w:r>
    </w:p>
    <w:p>
      <w:pPr>
        <w:pStyle w:val="Heading1"/>
      </w:pPr>
      <w:r>
        <w:t>Aufgenommen am 02.10.2026</w:t>
      </w:r>
    </w:p>
    <w:p>
      <w:pPr>
        <w:pStyle w:val="Heading2"/>
      </w:pPr>
      <w:r>
        <w:t>COVID-19-Auffrischungsimpfung reduzierte Rehospitalisierungsrisiko um 39 Prozent</w:t>
      </w:r>
    </w:p>
    <w:p>
      <w:r>
        <w:rPr>
          <w:i/>
          <w:color w:val="666666"/>
          <w:sz w:val="18"/>
        </w:rPr>
        <w:t>Neves RKAD et al.  ·  PLoS One  ·  01.10.2026  ·  PMID 42821558</w:t>
      </w:r>
    </w:p>
    <w:p>
      <w:r>
        <w:t>Kohortenstudie in Rio de Janeiro untersuchte, ob Impfstatus die Rehospitalisierung wegen COVID-19-Reinfektionen zwischen 2020 und 2022 beeinflusste.</w:t>
      </w:r>
    </w:p>
    <w:p>
      <w:r>
        <w:rPr>
          <w:b/>
        </w:rPr>
        <w:t xml:space="preserve">Ergebnis: </w:t>
      </w:r>
      <w:r>
        <w:t>Vollständige Impfung mit Auffrischung (≥3 Dosen) reduzierte das Rehospitalisierungsrisiko um 39 Prozent (sHR: 0,61; 95 %-KI: 0,52–0,73). Älteres Alter, Multimorbidität und Black race waren unabhängige Risikofaktoren. Die Herdenimmunität durch hohe Impfquoten hätte Ergebnisse um circa 25 Prozent verbessert.</w:t>
      </w:r>
    </w:p>
    <w:p>
      <w:r>
        <w:rPr>
          <w:b/>
          <w:sz w:val="19"/>
        </w:rPr>
        <w:t xml:space="preserve">Übertragbarkeit: </w:t>
      </w:r>
      <w:r>
        <w:rPr>
          <w:sz w:val="19"/>
        </w:rPr>
        <w:t>Brasilien, aber Effektmaß unabhängig von Systemen, Versorgungsdaten</w:t>
      </w:r>
    </w:p>
    <w:p>
      <w:r>
        <w:rPr>
          <w:color w:val="5A7D3A"/>
          <w:sz w:val="18"/>
        </w:rPr>
        <w:t>https://pubmed.ncbi.nlm.nih.gov/42821558/</w:t>
      </w:r>
    </w:p>
    <w:p>
      <w:pPr>
        <w:pStyle w:val="Heading2"/>
      </w:pPr>
      <w:r>
        <w:t>Impfverzögerungen bei Kleinkindern in Bagdad: Wissen und Verfügbarkeit als Schlüsselfaktoren</w:t>
      </w:r>
    </w:p>
    <w:p>
      <w:r>
        <w:rPr>
          <w:i/>
          <w:color w:val="666666"/>
          <w:sz w:val="18"/>
        </w:rPr>
        <w:t>Shah SSAM et al.  ·  PLoS One  ·  01.10.2026  ·  PMID 42821556</w:t>
      </w:r>
    </w:p>
    <w:p>
      <w:r>
        <w:t>Querschnittsstudie mit dokumentierten Impfkarten bei 168 Kindern (18–24 Monate) in Bagdad prüfte Zeitlichkeit und Verzögerungsgründe.</w:t>
      </w:r>
    </w:p>
    <w:p>
      <w:r>
        <w:rPr>
          <w:b/>
        </w:rPr>
        <w:t xml:space="preserve">Ergebnis: </w:t>
      </w:r>
      <w:r>
        <w:t>Nur 8,3 Prozent erhielten alle Impfungen pünktlich; 91,7 Prozent Verzögerungen (75 Prozent an mehreren Terminen). Fehlende Kenntnisse zum Impfplan (aOR: 3,85; 95 %-KI: 1,04–14,24) und wahrgenommene Impfstoffverfügbarkeit (aOR: 4,74; 95 %-KI: 1,09–20,51) waren Hauptrisiken. Keine Soziodemografika signifikant.</w:t>
      </w:r>
    </w:p>
    <w:p>
      <w:r>
        <w:rPr>
          <w:b/>
          <w:sz w:val="19"/>
        </w:rPr>
        <w:t xml:space="preserve">Übertragbarkeit: </w:t>
      </w:r>
      <w:r>
        <w:rPr>
          <w:sz w:val="19"/>
        </w:rPr>
        <w:t>Postkonflikt-Setting, aber Identifikation gestaltbarer Hindernisse (Wissen, Logistik) übertragbar</w:t>
      </w:r>
    </w:p>
    <w:p>
      <w:r>
        <w:rPr>
          <w:color w:val="5A7D3A"/>
          <w:sz w:val="18"/>
        </w:rPr>
        <w:t>https://pubmed.ncbi.nlm.nih.gov/42821556/</w:t>
      </w:r>
    </w:p>
    <w:p>
      <w:pPr>
        <w:pStyle w:val="Heading2"/>
      </w:pPr>
      <w:r>
        <w:t>Impffehler in der Primärversorgung: Systemischer Ansatz statt Individualisierung</w:t>
      </w:r>
    </w:p>
    <w:p>
      <w:r>
        <w:rPr>
          <w:i/>
          <w:color w:val="666666"/>
          <w:sz w:val="18"/>
        </w:rPr>
        <w:t>Cirino FMSB et al.  ·  Rev Bras Enferm  ·  28.09.2026  ·  PMID 42820566</w:t>
      </w:r>
    </w:p>
    <w:p>
      <w:r>
        <w:t>Reflexive Studie zur Rolle von Überlastung und prekären Arbeitsbedingungen als Systemtreiber von Impffehlern in der Primärversorgung Brasiliens.</w:t>
      </w:r>
    </w:p>
    <w:p>
      <w:r>
        <w:rPr>
          <w:b/>
        </w:rPr>
        <w:t xml:space="preserve">Ergebnis: </w:t>
      </w:r>
      <w:r>
        <w:t>Impffehler sind Ausdruck von Burnout und Überbelastung bei Pflegefachpersonen, nicht nur technische oder individuelle Versäumnisse. Prävention verlangt Systemansatz (Autonomie, Arbeitsbedingungen, kritische Reflexionsräume), nicht nur Einzelverantwortlichkeit.</w:t>
      </w:r>
    </w:p>
    <w:p>
      <w:r>
        <w:rPr>
          <w:b/>
          <w:sz w:val="19"/>
        </w:rPr>
        <w:t xml:space="preserve">Übertragbarkeit: </w:t>
      </w:r>
      <w:r>
        <w:rPr>
          <w:sz w:val="19"/>
        </w:rPr>
        <w:t>Brasilien, aber systemische Sicht auf Impfqualität gilt überall; Personalressourcen und Arbeitsbedingungen zentral</w:t>
      </w:r>
    </w:p>
    <w:p>
      <w:r>
        <w:rPr>
          <w:color w:val="5A7D3A"/>
          <w:sz w:val="18"/>
        </w:rPr>
        <w:t>https://pubmed.ncbi.nlm.nih.gov/42820566/</w:t>
      </w:r>
    </w:p>
    <w:p>
      <w:pPr>
        <w:pStyle w:val="Heading2"/>
      </w:pPr>
      <w:r>
        <w:t>HPV-Impfbereitschaft bei Eltern in China: 63 % bereit, nur 18 % tatsächlich geimpft</w:t>
      </w:r>
    </w:p>
    <w:p>
      <w:r>
        <w:rPr>
          <w:i/>
          <w:color w:val="666666"/>
          <w:sz w:val="18"/>
        </w:rPr>
        <w:t>Li Y et al.  ·  Front Public Health  ·  16.09.2026  ·  PMID 42819398</w:t>
      </w:r>
    </w:p>
    <w:p>
      <w:r>
        <w:t>Querschnittsstudie mit 506 Eltern von Schülerinnen (China) prüfte nach Theory of Planned Behavior, welche Faktoren HPV-Impfwilligkeit und tatsächliche Inanspruchnahme vorhersagen.</w:t>
      </w:r>
    </w:p>
    <w:p>
      <w:r>
        <w:rPr>
          <w:b/>
        </w:rPr>
        <w:t xml:space="preserve">Ergebnis: </w:t>
      </w:r>
      <w:r>
        <w:t>63,24 Prozent zeigten Bereitschaft, aber nur 17,98 Prozent tatsächliche Impfquote. Höhere Elternbildung, Haushaltseinkommen 5.000–10.000 RMB, Familiengeschichte Krebs und positive Einstellung waren Prädiktoren. Wahrgenommene Verhaltenskontrolle (Barrieren) zeigte negatives Pfadkoeffizient (β = –0,10, p &lt; 0,01).</w:t>
      </w:r>
    </w:p>
    <w:p>
      <w:r>
        <w:rPr>
          <w:b/>
          <w:sz w:val="19"/>
        </w:rPr>
        <w:t xml:space="preserve">Übertragbarkeit: </w:t>
      </w:r>
      <w:r>
        <w:rPr>
          <w:sz w:val="19"/>
        </w:rPr>
        <w:t>China, aber Theory of Planned Behavior universell anwendbar; Gap zwischen Bereitschaft und Umsetzung ist globales Problem</w:t>
      </w:r>
    </w:p>
    <w:p>
      <w:r>
        <w:rPr>
          <w:color w:val="5A7D3A"/>
          <w:sz w:val="18"/>
        </w:rPr>
        <w:t>https://pubmed.ncbi.nlm.nih.gov/42819398/</w:t>
      </w:r>
    </w:p>
    <w:p>
      <w:pPr>
        <w:pStyle w:val="Heading2"/>
      </w:pPr>
      <w:r>
        <w:t>Zero-Dose-Kinder in Ländern mit niedrigem Einkommen: Hausgeburten top Risikofaktor</w:t>
      </w:r>
    </w:p>
    <w:p>
      <w:r>
        <w:rPr>
          <w:i/>
          <w:color w:val="666666"/>
          <w:sz w:val="18"/>
        </w:rPr>
        <w:t>Bobo FT et al.  ·  Int J Equity Health  ·  04.08.2026  ·  PMID 42816851</w:t>
      </w:r>
    </w:p>
    <w:p>
      <w:r>
        <w:t>Sekundäranalyse von zwei DHS-Runden aus zehn Ländern mit niedrigem/unterem Einkommen prüfte Trends bei Kinder ohne Grundimmunisierung und bevölkerungszuschreibbare Risikofaktoren.</w:t>
      </w:r>
    </w:p>
    <w:p>
      <w:r>
        <w:rPr>
          <w:b/>
        </w:rPr>
        <w:t xml:space="preserve">Ergebnis: </w:t>
      </w:r>
      <w:r>
        <w:t>Zero-Dose-Prävalenz stieg in fünf Ländern signifikant (z. B. Mosambik 4,8 % auf 14,2 %, Madagaskar 13,3 % auf 18,1 %). Hausgeburt hatte höchste PAF (17,1 %; 95 %-KI: 14,1–19,6), gefolgt von &lt;4 ANC-Kontakten (8,6 %; 95 %-KI: 7,2–10,0). Reproductive Health Services kombiniert: PAF 29,4 Prozent. Vermögen-bedingte Ungleichheit überall signifikant.</w:t>
      </w:r>
    </w:p>
    <w:p>
      <w:r>
        <w:rPr>
          <w:b/>
          <w:sz w:val="19"/>
        </w:rPr>
        <w:t xml:space="preserve">Übertragbarkeit: </w:t>
      </w:r>
      <w:r>
        <w:rPr>
          <w:sz w:val="19"/>
        </w:rPr>
        <w:t>LLMIC, aber bevölkerungszuschreibbare Anteile und Kausalkettenlogik helfen Priorisierung in ähnlichen Systemen</w:t>
      </w:r>
    </w:p>
    <w:p>
      <w:r>
        <w:rPr>
          <w:color w:val="5A7D3A"/>
          <w:sz w:val="18"/>
        </w:rPr>
        <w:t>https://pubmed.ncbi.nlm.nih.gov/42816851/</w:t>
      </w:r>
    </w:p>
    <w:p>
      <w:pPr>
        <w:pStyle w:val="Heading2"/>
      </w:pPr>
      <w:r>
        <w:t>Impfskepsis in Pakistan: Mehrstufig randomisierte Surveys zeigen 33,8 Prozent Hesitancy</w:t>
      </w:r>
    </w:p>
    <w:p>
      <w:r>
        <w:rPr>
          <w:i/>
          <w:color w:val="666666"/>
          <w:sz w:val="18"/>
        </w:rPr>
        <w:t>Honghe L et al.  ·  J Epidemiol Glob Health  ·  12.08.2026  ·  PMID 42809170</w:t>
      </w:r>
    </w:p>
    <w:p>
      <w:r>
        <w:t>Querschnittsstudie mit 1.200 Teilnehmern (Pakistan, Juni–August 2021) nutzte mehrstufig stratifizierte Paired-Response-Frameworks, um Impfskepsis und Underreporting zu quantifizieren.</w:t>
      </w:r>
    </w:p>
    <w:p>
      <w:r>
        <w:rPr>
          <w:b/>
        </w:rPr>
        <w:t xml:space="preserve">Ergebnis: </w:t>
      </w:r>
      <w:r>
        <w:t>Impfskepsis wurde mit MSPRF-I auf 33,8 Prozent (vs. 24,3 % in konventionellen Befragungen) geschätzt, mit 290–399 % höherer Effizienz. Urban-rural-Unterschiede bei Offenbarungsbereitschaft, aber systematische Unterschätzung in Routineerhebungen.</w:t>
      </w:r>
    </w:p>
    <w:p>
      <w:r>
        <w:rPr>
          <w:b/>
          <w:sz w:val="19"/>
        </w:rPr>
        <w:t xml:space="preserve">Übertragbarkeit: </w:t>
      </w:r>
      <w:r>
        <w:rPr>
          <w:sz w:val="19"/>
        </w:rPr>
        <w:t>Pakistan, neue Methodik zur Erfassung von Hesitancy auch in Hochrisiko-Settings nutzbar</w:t>
      </w:r>
    </w:p>
    <w:p>
      <w:r>
        <w:rPr>
          <w:color w:val="5A7D3A"/>
          <w:sz w:val="18"/>
        </w:rPr>
        <w:t>https://pubmed.ncbi.nlm.nih.gov/42809170/</w:t>
      </w:r>
    </w:p>
    <w:p>
      <w:pPr>
        <w:pStyle w:val="Heading1"/>
      </w:pPr>
      <w:r>
        <w:t>Aufgenommen am 01.10.2026</w:t>
      </w:r>
    </w:p>
    <w:p>
      <w:pPr>
        <w:pStyle w:val="Heading2"/>
      </w:pPr>
      <w:r>
        <w:t>Impfprogramme in Konfliktzonen: intrinsischer, instrumentaler und symbolischer Wert</w:t>
      </w:r>
    </w:p>
    <w:p>
      <w:r>
        <w:rPr>
          <w:i/>
          <w:color w:val="666666"/>
          <w:sz w:val="18"/>
        </w:rPr>
        <w:t>Sabahelzain MM et al.  ·  Hum Vaccin Immunother  ·  30.09.2026  ·  PMID 42814974</w:t>
      </w:r>
    </w:p>
    <w:p>
      <w:r>
        <w:t>Qualitative Analyse, welche die Werte von Impfprogrammen in humanitären Krisen aus ethischer Perspektive untersucht und plädiert für deren Verstetigung als Frage der Gerechtigkeit.</w:t>
      </w:r>
    </w:p>
    <w:p>
      <w:r>
        <w:rPr>
          <w:b/>
        </w:rPr>
        <w:t xml:space="preserve">Ergebnis: </w:t>
      </w:r>
      <w:r>
        <w:t>Die Autoren argumentieren, dass Impfungen in Konfliktzonen über die Notfallreaktion hinaus als intrinsisch wertvoll (Menschenrecht auf Gesundheit), instrumentell wertvoll (Krankheitsvorbeugung) und symbolisch wertvoll (Vertrauenszeichen des Staates) anzusehen sind. Diese dreifache Wertigkeit rechtfertigt die Priorisierung ihrer Verstetigung zur Stärkung der Gesundheitssystemresilienz.</w:t>
      </w:r>
    </w:p>
    <w:p>
      <w:r>
        <w:rPr>
          <w:b/>
          <w:sz w:val="19"/>
        </w:rPr>
        <w:t xml:space="preserve">Übertragbarkeit: </w:t>
      </w:r>
      <w:r>
        <w:rPr>
          <w:sz w:val="19"/>
        </w:rPr>
        <w:t>Qualitatives Konzeptpapier; Übertragbarkeit hängt von nationalen Impfkalender und Sicherheitslage ab.</w:t>
      </w:r>
    </w:p>
    <w:p>
      <w:r>
        <w:rPr>
          <w:color w:val="5A7D3A"/>
          <w:sz w:val="18"/>
        </w:rPr>
        <w:t>https://pubmed.ncbi.nlm.nih.gov/42814974/</w:t>
      </w:r>
    </w:p>
    <w:p>
      <w:pPr>
        <w:pStyle w:val="Heading2"/>
      </w:pPr>
      <w:r>
        <w:t>Tollwutpostexpositionsprophylaxe im Iran: Registerdaten und Adhärenz</w:t>
      </w:r>
    </w:p>
    <w:p>
      <w:r>
        <w:rPr>
          <w:i/>
          <w:color w:val="666666"/>
          <w:sz w:val="18"/>
        </w:rPr>
        <w:t>Babaee E et al.  ·  PLoS Negl Trop Dis  ·  30.09.2026  ·  PMID 42814726</w:t>
      </w:r>
    </w:p>
    <w:p>
      <w:r>
        <w:t>Sekundäranalyse von 507.404 Tierbissvorfällen aus dem iranischen Tollwut-Impfregister (März 2022 – September 2023) zur Dokumentation der Adhärenz zu Impf- und Immunglobulin-Richtlinien.</w:t>
      </w:r>
    </w:p>
    <w:p>
      <w:r>
        <w:rPr>
          <w:b/>
        </w:rPr>
        <w:t xml:space="preserve">Ergebnis: </w:t>
      </w:r>
      <w:r>
        <w:t>73,6% Männer; häufigste Altersgruppe 31–40 Jahre (19,8%). Hunde verursachten 76,2%, Katzen 20,8% der Expositionen. Höchste Inzidenz in Nordprovinzen (North Khorasan 773/100.000, Golestan 767/100.000 Einwohner). Wundreinigung dokumentiert bei 94,3%; erste Impfdosis innerhalb 48 h bei 96,4%. Gesamte Impfserie: 68,1% erhielten drei Dosen, 24,2% vier. Immunglobulin wurde bei 95,6% der Kategorie-III-Expositionen gegeben, aber auch unangemessen bei Kategorie I (6,1%) und II (4,7%). Bei Fledermauskontakt nur 36,8% als Kategorie III klassifiziert und 38,7% mit Immunglobulin versorgt.</w:t>
      </w:r>
    </w:p>
    <w:p>
      <w:r>
        <w:rPr>
          <w:b/>
          <w:sz w:val="19"/>
        </w:rPr>
        <w:t xml:space="preserve">Übertragbarkeit: </w:t>
      </w:r>
      <w:r>
        <w:rPr>
          <w:sz w:val="19"/>
        </w:rPr>
        <w:t>Iran, Registerdaten; mittlere Übertragbarkeit auf Deutschland (unterschiedliche epidemiologische Lage).</w:t>
      </w:r>
    </w:p>
    <w:p>
      <w:r>
        <w:rPr>
          <w:color w:val="5A7D3A"/>
          <w:sz w:val="18"/>
        </w:rPr>
        <w:t>https://pubmed.ncbi.nlm.nih.gov/42814726/</w:t>
      </w:r>
    </w:p>
    <w:p>
      <w:pPr>
        <w:pStyle w:val="Heading2"/>
      </w:pPr>
      <w:r>
        <w:t>Auditive Nebenwirkungen und COVID-19-Impfung: Signalbewertung im US-VAERS</w:t>
      </w:r>
    </w:p>
    <w:p>
      <w:r>
        <w:rPr>
          <w:i/>
          <w:color w:val="666666"/>
          <w:sz w:val="18"/>
        </w:rPr>
        <w:t>Wu J et al.  ·  Front Public Health  ·  15.09.2026  ·  PMID 42812531</w:t>
      </w:r>
    </w:p>
    <w:p>
      <w:r>
        <w:t>Unterbrochene Zeitreihenanalyse von US-VAERS-Daten (2018–2025) zur Frage, ob Meldungen auditorischer Nebenwirkungen nach COVID-19-Impf-Zulassung zunahmen und ob dies einen echten Sicherheitssignal oder Meldeverzerrung widerspiegelt.</w:t>
      </w:r>
    </w:p>
    <w:p>
      <w:r>
        <w:rPr>
          <w:b/>
        </w:rPr>
        <w:t xml:space="preserve">Ergebnis: </w:t>
      </w:r>
      <w:r>
        <w:t>Von 1.347.820 Berichten betrafen 27.750 auditorische Nebenwirkungen. Nach der COVID-19-Zulassung stiegen Meldungsraten an (β=2.317,4, 95%-KI 1.079,1–3.555,6; p&lt;0,001). Quasi-Poisson-Modelle zeigten IRR von 5,62–7,36 (p≤0,015). Effekt war heterogen nach Alter: stark bei 18–64 Jahren (p=0,010) und ≥65 Jahren (p=0,0004), nicht signifikant &lt;18 Jahren (p=0,67). Dermatologie-Sentinel (Kontrolle) zeigte keine Änderung (IRR 1,09, p=0,83). Auditorische Nebenwirkungen waren in COVID-19-Berichten häufiger (2,42%) als Influenza (0,88%) oder andere Impfstoffe (0,84%).</w:t>
      </w:r>
    </w:p>
    <w:p>
      <w:r>
        <w:rPr>
          <w:b/>
          <w:sz w:val="19"/>
        </w:rPr>
        <w:t xml:space="preserve">Übertragbarkeit: </w:t>
      </w:r>
      <w:r>
        <w:rPr>
          <w:sz w:val="19"/>
        </w:rPr>
        <w:t>US-Passive-Surveillance-Daten; Übertragbarkeit auf Deutschland eingeschränkt (anderes Meldesystem).</w:t>
      </w:r>
    </w:p>
    <w:p>
      <w:r>
        <w:rPr>
          <w:color w:val="5A7D3A"/>
          <w:sz w:val="18"/>
        </w:rPr>
        <w:t>https://pubmed.ncbi.nlm.nih.gov/42812531/</w:t>
      </w:r>
    </w:p>
    <w:p>
      <w:pPr>
        <w:pStyle w:val="Heading2"/>
      </w:pPr>
      <w:r>
        <w:t>Reaktogenität mRNA- vs. proteinbasierter COVID-19-Impfstoffe 2023–2024: BEEHIVE-Studie</w:t>
      </w:r>
    </w:p>
    <w:p>
      <w:r>
        <w:rPr>
          <w:i/>
          <w:color w:val="666666"/>
          <w:sz w:val="18"/>
        </w:rPr>
        <w:t>Yoon SK et al.  ·  Hum Vaccin Immunother  ·  29.09.2026  ·  PMID 42811742</w:t>
      </w:r>
    </w:p>
    <w:p>
      <w:r>
        <w:t>Doppelblinde randomisierte Studie (NCT06065176) vergleicht Reaktogenität von Novavax (Protein) mit Pfizer-BioNTech (mRNA) XBB.1.5-Impfstoff bei Personen mit ≥2 vorherigen mRNA-Dosen.</w:t>
      </w:r>
    </w:p>
    <w:p>
      <w:r>
        <w:rPr>
          <w:b/>
        </w:rPr>
        <w:t xml:space="preserve">Ergebnis: </w:t>
      </w:r>
      <w:r>
        <w:t>Novavax (n=448) vs. Pfizer (n=453): Am Tag 1 berichteten signifikant weniger Novavax-Empfänger systemische Reaktogenität (62,1% vs. 75,7%; Risikodifferenz −13,7%, 95%-KI −19,6% bis −7,7%, p&lt;0,0001) und lokale Reaktionen (81,0% vs. 92,7%; Risikodifferenz −11,7%, 95%-KI −16,0% bis −7,3%, p&lt;0,0001). Mittlere Ereigniszahl pro Person am Tag 1 und 2 signifikant niedriger für Novavax (je p&lt;0,0001). Die meisten Ereignisse waren mild. Am Tag 6 hatten &gt;80% bzw. &gt;94% keine systemischen oder lokalen Reaktionen.</w:t>
      </w:r>
    </w:p>
    <w:p>
      <w:r>
        <w:rPr>
          <w:b/>
          <w:sz w:val="19"/>
        </w:rPr>
        <w:t xml:space="preserve">Übertragbarkeit: </w:t>
      </w:r>
      <w:r>
        <w:rPr>
          <w:sz w:val="19"/>
        </w:rPr>
        <w:t>USA-Studie, aber primär Sicherheitsfrage – übertragbar auf Deutsche Zulassungsbewertung.</w:t>
      </w:r>
    </w:p>
    <w:p>
      <w:r>
        <w:rPr>
          <w:color w:val="5A7D3A"/>
          <w:sz w:val="18"/>
        </w:rPr>
        <w:t>https://pubmed.ncbi.nlm.nih.gov/42811742/</w:t>
      </w:r>
    </w:p>
    <w:p>
      <w:pPr>
        <w:pStyle w:val="Heading2"/>
      </w:pPr>
      <w:r>
        <w:t>Hybridimmunität gegen SARS-CoV-2: Langzeitdynamik bei Angehörigen der Gesundheitsberufe</w:t>
      </w:r>
    </w:p>
    <w:p>
      <w:r>
        <w:rPr>
          <w:i/>
          <w:color w:val="666666"/>
          <w:sz w:val="18"/>
        </w:rPr>
        <w:t>Tekinsoy M et al.  ·  Viruses  ·  19.09.2026  ·  PMID 42797871</w:t>
      </w:r>
    </w:p>
    <w:p>
      <w:r>
        <w:t>Vierjährige Kohortenstudie (2020–Juni 2024) von Gesundheitsarbeitern, die zwischen Hybrid- (Infektion + Impfung) und reiner Impfimmunität unterscheidet und Antikörperhaltbarkeit bewertet.</w:t>
      </w:r>
    </w:p>
    <w:p>
      <w:r>
        <w:rPr>
          <w:b/>
        </w:rPr>
        <w:t xml:space="preserve">Ergebnis: </w:t>
      </w:r>
      <w:r>
        <w:t>142 Personen mit Längsdaten (1180 Tage Nachverfolgung): 66,2% erlebten mindestens eine Durchbruchinfektion, 14,1% zwei. Anti-N-Antikörper sanken nach Infektion 2,3-fach zwischen Monat 3 und 6; Seropositiv-Rate fiel von 82% auf 40,4% (Median bis Seronegatitivät: 179 Tage). Hybridimmunität mit zwei Dosen hatte Anti-S-IgG und sVNT-Titer vergleichbar mit drei reinen Impfungen. Dritte Dosis verstärkte Anti-S-Persistenz signifikant nach 9 Monaten.</w:t>
      </w:r>
    </w:p>
    <w:p>
      <w:r>
        <w:rPr>
          <w:b/>
          <w:sz w:val="19"/>
        </w:rPr>
        <w:t xml:space="preserve">Übertragbarkeit: </w:t>
      </w:r>
      <w:r>
        <w:rPr>
          <w:sz w:val="19"/>
        </w:rPr>
        <w:t>Deutschland, vergleichbare Gesundheitssettings, aber COVID-Spezifik.</w:t>
      </w:r>
    </w:p>
    <w:p>
      <w:r>
        <w:rPr>
          <w:color w:val="5A7D3A"/>
          <w:sz w:val="18"/>
        </w:rPr>
        <w:t>https://pubmed.ncbi.nlm.nih.gov/42797871/</w:t>
      </w:r>
    </w:p>
    <w:p>
      <w:pPr>
        <w:pStyle w:val="Heading2"/>
      </w:pPr>
      <w:r>
        <w:t>Pneumokokkenimpfstoffe (PCV15/PCV20) gegen PCV13 im UK-Impfplan: Studienprotokoll</w:t>
      </w:r>
    </w:p>
    <w:p>
      <w:r>
        <w:rPr>
          <w:i/>
          <w:color w:val="666666"/>
          <w:sz w:val="18"/>
        </w:rPr>
        <w:t>Aslam R et al.  ·  BMJ Open  ·  22.09.2026  ·  PMID 42772879</w:t>
      </w:r>
    </w:p>
    <w:p>
      <w:r>
        <w:t>Randomisierte Studie zur Nicht-Unterlegenheit von PCV15 und PCV20 gegenüber PCV13 bei 600 Säuglingen im britischen 1+1- und 2+1-Impfschema.</w:t>
      </w:r>
    </w:p>
    <w:p>
      <w:r>
        <w:rPr>
          <w:b/>
        </w:rPr>
        <w:t xml:space="preserve">Ergebnis: </w:t>
      </w:r>
      <w:r>
        <w:t>Studienprotokoll ohne Ergebnisse; primärer Endpunkt ist Nicht-Unterlegenheit der PCV13-Serotpyen-spezifischen Antikörperresponses nach PCV15/PCV20 vs. PCV13. Sekundär werden Trägerschaft und Schleimhaut-IgG gemessen. Rekrutierung abgeschlossen (600 Patienten randomisiert).</w:t>
      </w:r>
    </w:p>
    <w:p>
      <w:r>
        <w:rPr>
          <w:b/>
          <w:sz w:val="19"/>
        </w:rPr>
        <w:t xml:space="preserve">Übertragbarkeit: </w:t>
      </w:r>
      <w:r>
        <w:rPr>
          <w:sz w:val="19"/>
        </w:rPr>
        <w:t>UK-Impfplan, europäisches Gesundheitssystem, vergleichbare Versorgungsstruktur.</w:t>
      </w:r>
    </w:p>
    <w:p>
      <w:r>
        <w:rPr>
          <w:color w:val="5A7D3A"/>
          <w:sz w:val="18"/>
        </w:rPr>
        <w:t>https://pubmed.ncbi.nlm.nih.gov/42772879/</w:t>
      </w:r>
    </w:p>
    <w:p>
      <w:pPr>
        <w:pStyle w:val="Heading2"/>
      </w:pPr>
      <w:r>
        <w:t>Adipositas schwächt Antikörperantwort nach Grippeimpfung: deutsche Explorationsstudie</w:t>
      </w:r>
    </w:p>
    <w:p>
      <w:r>
        <w:rPr>
          <w:i/>
          <w:color w:val="666666"/>
          <w:sz w:val="18"/>
        </w:rPr>
        <w:t>Böll S et al.  ·  BMC Immunol  ·  10.09.2026  ·  PMID 42760530</w:t>
      </w:r>
    </w:p>
    <w:p>
      <w:r>
        <w:t>Deutsche Kohortenstudie untersucht, ob Adipositas die humorale und zelluläre Immunantwort nach Influenzaimpfung beeinträchtigt.</w:t>
      </w:r>
    </w:p>
    <w:p>
      <w:r>
        <w:rPr>
          <w:b/>
        </w:rPr>
        <w:t xml:space="preserve">Ergebnis: </w:t>
      </w:r>
      <w:r>
        <w:t>Kleine Stichprobe (n=25: 18 normalgewichtig, 7 adipös) über 9 Monate. Nach Impfung stiegen Antikörpertiter in beiden Gruppen an und blieben erhöht. Bei normalgewichtigen Personen unterschieden sich alle vier Antikörper signifikant über die Besuche; bei adipösen Personen nur zwei. Adipöse zeigten abnehmende Treg-Anteile (nicht signifikant) und keine klaren Gruppenunterschiede in T-Zell-Zahl. Autoren betonen, dass die Stichprobengröße explorativ ist; größere Studien sind notwendig.</w:t>
      </w:r>
    </w:p>
    <w:p>
      <w:r>
        <w:rPr>
          <w:b/>
          <w:sz w:val="19"/>
        </w:rPr>
        <w:t xml:space="preserve">Übertragbarkeit: </w:t>
      </w:r>
      <w:r>
        <w:rPr>
          <w:sz w:val="19"/>
        </w:rPr>
        <w:t>Deutsche Klinikdaten, aber kleine Stichprobe – Ergebnisse sind vorläufig.</w:t>
      </w:r>
    </w:p>
    <w:p>
      <w:r>
        <w:rPr>
          <w:color w:val="5A7D3A"/>
          <w:sz w:val="18"/>
        </w:rPr>
        <w:t>https://pubmed.ncbi.nlm.nih.gov/42760530/</w:t>
      </w:r>
    </w:p>
    <w:p>
      <w:pPr>
        <w:pStyle w:val="Heading1"/>
      </w:pPr>
      <w:r>
        <w:t>Aufgenommen am 30.09.2026</w:t>
      </w:r>
    </w:p>
    <w:p>
      <w:pPr>
        <w:pStyle w:val="Heading2"/>
      </w:pPr>
      <w:r>
        <w:t>Psychologische Treiber der Impfskepsis gegen HPV in Polen prägen Kampagnen</w:t>
      </w:r>
    </w:p>
    <w:p>
      <w:r>
        <w:rPr>
          <w:i/>
          <w:color w:val="666666"/>
          <w:sz w:val="18"/>
        </w:rPr>
        <w:t>Siebielec J et al.  ·  Front Public Health  ·  14.09.2026  ·  PMID 42807115</w:t>
      </w:r>
    </w:p>
    <w:p>
      <w:r>
        <w:t>Qualitative Analyse von 4.440 Facebook-Einträgen zum HPV-Impfen zwischen Oktober 2020 und Oktober 2023 unter polnischen Sprechern mit Kodierung nach dem 5C-Modell (Confidence, Complacency, Constraints, Calculation, Collective responsibility).</w:t>
      </w:r>
    </w:p>
    <w:p>
      <w:r>
        <w:rPr>
          <w:b/>
        </w:rPr>
        <w:t xml:space="preserve">Ergebnis: </w:t>
      </w:r>
      <w:r>
        <w:t>51 % aller Einträge erschienen 2023 (Programmstart). 42 % ließen sich Kategorien zuordnen; Calculation (60 %) und Confidence (47 %) am häufigsten, in 13 % beide. Psychologische Faktoren: extensive Informationssuche, Verschwörungstheorie-Anfälligkeit, Vertrauensfragen zu Impfstoff und Behörden. Facebook-Kampagnen sollten diverse psychologische Profile ansprechen und zuverlässige Information verständlich darstellen.</w:t>
      </w:r>
    </w:p>
    <w:p>
      <w:r>
        <w:rPr>
          <w:b/>
          <w:sz w:val="19"/>
        </w:rPr>
        <w:t xml:space="preserve">Übertragbarkeit: </w:t>
      </w:r>
      <w:r>
        <w:rPr>
          <w:sz w:val="19"/>
        </w:rPr>
        <w:t>Qualitative Erkenntnis aus Europa (Polen), übertragbar für deutschsprachige Impf­kommunikation.</w:t>
      </w:r>
    </w:p>
    <w:p>
      <w:r>
        <w:rPr>
          <w:color w:val="5A7D3A"/>
          <w:sz w:val="18"/>
        </w:rPr>
        <w:t>https://pubmed.ncbi.nlm.nih.gov/42807115/</w:t>
      </w:r>
    </w:p>
    <w:p>
      <w:pPr>
        <w:pStyle w:val="Heading2"/>
      </w:pPr>
      <w:r>
        <w:t>BCG-Impfung senkt Tuberkulose-Risiko bei bangladeschischen Kindern um 57 %</w:t>
      </w:r>
    </w:p>
    <w:p>
      <w:r>
        <w:rPr>
          <w:i/>
          <w:color w:val="666666"/>
          <w:sz w:val="18"/>
        </w:rPr>
        <w:t>Rahman T et al.  ·  BMC Infect Dis  ·  27.07.2026  ·  PMID 42806320</w:t>
      </w:r>
    </w:p>
    <w:p>
      <w:r>
        <w:t>Gemeindebasierte Fall-Kontroll-Studie bei 207 TB-Fällen und 207 Kontrollen (2–14 Jahre) in Moulavibazar, Bangladesch, Januar–April 2023 mit multivariater logistischer Regression.</w:t>
      </w:r>
    </w:p>
    <w:p>
      <w:r>
        <w:rPr>
          <w:b/>
        </w:rPr>
        <w:t xml:space="preserve">Ergebnis: </w:t>
      </w:r>
      <w:r>
        <w:t>BCG-Impfung: aOR 0,43 (95%-KI 0,20–0,93), Schutz 57 %. Zusätzliche Risikofaktoren: Adoleszenz (11–14 vs. 2–5 Jahre: aOR 2,53), männliches Geschlecht (aOR 1,79), TB in Familie &lt;6 Monate (aOR 1,92). Random-Forest-Modell: Accuracy 71,6 %, AUC 0,74. Impfung bleibt zentral für Kindertuberkulose-Kontrolle.</w:t>
      </w:r>
    </w:p>
    <w:p>
      <w:r>
        <w:rPr>
          <w:b/>
          <w:sz w:val="19"/>
        </w:rPr>
        <w:t xml:space="preserve">Übertragbarkeit: </w:t>
      </w:r>
      <w:r>
        <w:rPr>
          <w:sz w:val="19"/>
        </w:rPr>
        <w:t>Südasien mit epidemiologischen Daten, aber hohe Transmissionslage dort anders als Deutschland.</w:t>
      </w:r>
    </w:p>
    <w:p>
      <w:r>
        <w:rPr>
          <w:color w:val="5A7D3A"/>
          <w:sz w:val="18"/>
        </w:rPr>
        <w:t>https://pubmed.ncbi.nlm.nih.gov/42806320/</w:t>
      </w:r>
    </w:p>
    <w:p>
      <w:pPr>
        <w:pStyle w:val="Heading2"/>
      </w:pPr>
      <w:r>
        <w:t>Masernherd-Schwelle in Florida durch Impfquoten unterschritten – Risiko rapider Ausbrüche</w:t>
      </w:r>
    </w:p>
    <w:p>
      <w:r>
        <w:rPr>
          <w:i/>
          <w:color w:val="666666"/>
          <w:sz w:val="18"/>
        </w:rPr>
        <w:t>Oveson A et al.  ·  Proc Natl Acad Sci U S A  ·  06.10.2026  ·  PMID 42804627</w:t>
      </w:r>
    </w:p>
    <w:p>
      <w:r>
        <w:t>Altersstrukturiertes Masern-Transmissionsmodell für Florida kalibriert mit Daten des Gaines-County-Ausbruchs 2025, untersucht Effekt von Aufhebung schulischer Impfpflicht.</w:t>
      </w:r>
    </w:p>
    <w:p>
      <w:r>
        <w:rPr>
          <w:b/>
        </w:rPr>
        <w:t xml:space="preserve">Ergebnis: </w:t>
      </w:r>
      <w:r>
        <w:t>Aktuelle Masern-Mumps-Röteln-Quote in Florida unterschreitet bereits die Herdenimmunitätsschwelle. Modellierte Quoten­rückgänge nach Aufhebung der Schulanforderung projizieren Ausbruchsgrößen wie vor Impfära, mit signifikanter Kindersterblichkeit in fünf Jahren. Sensitivitätsanalyse: kleine Quoten­rückgänge führen zu disproportional großen Ausbruchszunahmen, besonders bei starker Mischung unter Kindern.</w:t>
      </w:r>
    </w:p>
    <w:p>
      <w:r>
        <w:rPr>
          <w:b/>
          <w:sz w:val="19"/>
        </w:rPr>
        <w:t xml:space="preserve">Übertragbarkeit: </w:t>
      </w:r>
      <w:r>
        <w:rPr>
          <w:sz w:val="19"/>
        </w:rPr>
        <w:t>USA, epidemiologisches Modell – Mechanismus übertragbar auf deutsche Risiko­szenarios.</w:t>
      </w:r>
    </w:p>
    <w:p>
      <w:r>
        <w:rPr>
          <w:color w:val="5A7D3A"/>
          <w:sz w:val="18"/>
        </w:rPr>
        <w:t>https://pubmed.ncbi.nlm.nih.gov/42804627/</w:t>
      </w:r>
    </w:p>
    <w:p>
      <w:pPr>
        <w:pStyle w:val="Heading2"/>
      </w:pPr>
      <w:r>
        <w:t>RSV-Hospitalisierungen bei Kindern sinken nach gezieltem Nirsevimab-Einsatz</w:t>
      </w:r>
    </w:p>
    <w:p>
      <w:r>
        <w:rPr>
          <w:i/>
          <w:color w:val="666666"/>
          <w:sz w:val="18"/>
        </w:rPr>
        <w:t>Attaianese F et al.  ·  Int J Infect Dis  ·  27.08.2026  ·  PMID 42660409</w:t>
      </w:r>
    </w:p>
    <w:p>
      <w:r>
        <w:t>Italienische Studie zu RSV-Infektionen bei Kindern &lt;18 Jahren über sechs Saisons mit Analyse der Auswirkung regionaler Nirsevimab-Impfstrategien zwischen Januar 2019 und März 2025.</w:t>
      </w:r>
    </w:p>
    <w:p>
      <w:r>
        <w:rPr>
          <w:b/>
        </w:rPr>
        <w:t xml:space="preserve">Ergebnis: </w:t>
      </w:r>
      <w:r>
        <w:t>In der Saison 2024–2025 sanken RSV-Hospitalisierungen um insgesamt 43,6 %. Mit breiten Zugangs­kriterien und frühem Einsatz (Gruppe B) betrug das Reduktionsverhältnis 0,28 (95%-KI 0,22–0,36), mit einzelnem Zentrum (Gruppe F) 0,24. Beschränktere Strategien (Gruppen C–E) zeigten moderatere Rückgänge (Quoten 0,58–0,70). Die Studie bestätigt zeitliche Assoziation zwischen Rollout und verringerter Hospitalisierung.</w:t>
      </w:r>
    </w:p>
    <w:p>
      <w:r>
        <w:rPr>
          <w:b/>
          <w:sz w:val="19"/>
        </w:rPr>
        <w:t xml:space="preserve">Übertragbarkeit: </w:t>
      </w:r>
      <w:r>
        <w:rPr>
          <w:sz w:val="19"/>
        </w:rPr>
        <w:t>Italien mit vergleichbaren Krankenhausdaten und Meldesystemen.</w:t>
      </w:r>
    </w:p>
    <w:p>
      <w:r>
        <w:rPr>
          <w:color w:val="5A7D3A"/>
          <w:sz w:val="18"/>
        </w:rPr>
        <w:t>https://pubmed.ncbi.nlm.nih.gov/42660409/</w:t>
      </w:r>
    </w:p>
    <w:p>
      <w:pPr>
        <w:pStyle w:val="Heading2"/>
      </w:pPr>
      <w:r>
        <w:t>Nirsevimab und RSV-Mutterimpfung schützen Säuglinge hocheffektiv</w:t>
      </w:r>
    </w:p>
    <w:p>
      <w:r>
        <w:rPr>
          <w:i/>
          <w:color w:val="666666"/>
          <w:sz w:val="18"/>
        </w:rPr>
        <w:t>Treston B et al.  ·  Int J Infect Dis  ·  06.08.2026  ·  PMID 42562126</w:t>
      </w:r>
    </w:p>
    <w:p>
      <w:r>
        <w:t>Test-negativ Fall-Kontroll-Studie über zwei RSV-Schutzstrategien auf der irischen Insel in der Saison 2024/25 bei Säuglingen &lt;6 Monaten mit akuter Atemwegserkrankung.</w:t>
      </w:r>
    </w:p>
    <w:p>
      <w:r>
        <w:rPr>
          <w:b/>
        </w:rPr>
        <w:t xml:space="preserve">Ergebnis: </w:t>
      </w:r>
      <w:r>
        <w:t>Nirsevimab-Effektivität gegen Hospitalisierung 90,7 % (95%-KI 80,7–95,8) in der Republik Irland bei 83 % Abdeckung; RSVpreF-Effektivität 83,9 % (95%-KI 41,5–96,6) in Nordirland bei 30 % Abdeckung. Notfall­ambulanz-Bronchiolitis-Besuche sanken um 52 % (ROI) und 37 % (NI). Unterschiedliche Abdeckung führte zu unterschiedlichem Bevölkerungseffekt.</w:t>
      </w:r>
    </w:p>
    <w:p>
      <w:r>
        <w:rPr>
          <w:b/>
          <w:sz w:val="19"/>
        </w:rPr>
        <w:t xml:space="preserve">Übertragbarkeit: </w:t>
      </w:r>
      <w:r>
        <w:rPr>
          <w:sz w:val="19"/>
        </w:rPr>
        <w:t>UK-System mit Notfalldaten, aber Strategie-Unterschiede zeigen Implementierungs­priorität.</w:t>
      </w:r>
    </w:p>
    <w:p>
      <w:r>
        <w:rPr>
          <w:color w:val="5A7D3A"/>
          <w:sz w:val="18"/>
        </w:rPr>
        <w:t>https://pubmed.ncbi.nlm.nih.gov/42562126/</w:t>
      </w:r>
    </w:p>
    <w:p>
      <w:pPr>
        <w:pStyle w:val="Heading2"/>
      </w:pPr>
      <w:r>
        <w:t>Keine erhöhte Notfall-Hospitalisierungsrate durch Impfung bei immunologischen Erkrankungen</w:t>
      </w:r>
    </w:p>
    <w:p>
      <w:r>
        <w:rPr>
          <w:i/>
          <w:color w:val="666666"/>
          <w:sz w:val="18"/>
        </w:rPr>
        <w:t>Meiszl K et al.  ·  Int J Infect Dis  ·  25.07.2026  ·  PMID 42501818</w:t>
      </w:r>
    </w:p>
    <w:p>
      <w:r>
        <w:t>Deutsche Register-Kohortenstudie mit sechs Kausalziel-Emulatoren zu Pneumokokken- und Influenza-Impfung bei 432.768 Patienten mit Multipler Sklerose, entzündlich-rheumatischen oder Darmerkrankungen zwischen 2013 und 2019.</w:t>
      </w:r>
    </w:p>
    <w:p>
      <w:r>
        <w:rPr>
          <w:b/>
        </w:rPr>
        <w:t xml:space="preserve">Ergebnis: </w:t>
      </w:r>
      <w:r>
        <w:t>Pneumokokken: HR 0,91 (MS), 0,60 (rheumatisch), 0,89 (IBD). Influenza: HR 0,94 (MS), 0,79 (rheumatisch), 0,83 (IBD) – keine erhöhte Verschlechterung, teilweise Risikoreduktion. Modell-Kalibrierung adequate (Hosmer-Lemeshow-Test). Befund stützt Sicherheit der Immunisierung in diesen Populationen.</w:t>
      </w:r>
    </w:p>
    <w:p>
      <w:r>
        <w:rPr>
          <w:b/>
          <w:sz w:val="19"/>
        </w:rPr>
        <w:t xml:space="preserve">Übertragbarkeit: </w:t>
      </w:r>
      <w:r>
        <w:rPr>
          <w:sz w:val="19"/>
        </w:rPr>
        <w:t>Deutsche Kassenabrechnung (BARMER), direkter Bevölkerungsbezug.</w:t>
      </w:r>
    </w:p>
    <w:p>
      <w:r>
        <w:rPr>
          <w:color w:val="5A7D3A"/>
          <w:sz w:val="18"/>
        </w:rPr>
        <w:t>https://pubmed.ncbi.nlm.nih.gov/42501818/</w:t>
      </w:r>
    </w:p>
    <w:p>
      <w:pPr>
        <w:pStyle w:val="Heading1"/>
      </w:pPr>
      <w:r>
        <w:t>Aufgenommen am 29.09.2026</w:t>
      </w:r>
    </w:p>
    <w:p>
      <w:pPr>
        <w:pStyle w:val="Heading2"/>
      </w:pPr>
      <w:r>
        <w:t>Wirksamkeit der Herpes-zoster-Impfung bei entzündlichen Darmerkrankungen</w:t>
      </w:r>
    </w:p>
    <w:p>
      <w:r>
        <w:rPr>
          <w:i/>
          <w:color w:val="666666"/>
          <w:sz w:val="18"/>
        </w:rPr>
        <w:t>Humayun M et al.  ·  Hum Vaccin Immunother  ·  28.09.2026  ·  PMID 42804491</w:t>
      </w:r>
    </w:p>
    <w:p>
      <w:r>
        <w:t>Matched-cohort und selbstkontrollierte Fall-Serie bei 8.485 IBD-Patienten ≥18 Jahren in Kaiser-Permanente Southern California (2018–2024) zur Effektivität und Sicherheit der rekombinanten Zoster-Impfung (RZV).</w:t>
      </w:r>
    </w:p>
    <w:p>
      <w:r>
        <w:rPr>
          <w:b/>
        </w:rPr>
        <w:t xml:space="preserve">Ergebnis: </w:t>
      </w:r>
      <w:r>
        <w:t>VE gegen Herpes zoster nach 2 RZV-Dosen: 65,4% (95%-KI 40,6–79,9%); in Colitis-Patienten 62,7%, in Morbus-Crohn-Patienten 70,2%. IBD-Schübe im 30-Tage-Fenster nach Impfung (RR 0,80) nicht erhöht.</w:t>
      </w:r>
    </w:p>
    <w:p>
      <w:r>
        <w:rPr>
          <w:b/>
          <w:sz w:val="19"/>
        </w:rPr>
        <w:t xml:space="preserve">Übertragbarkeit: </w:t>
      </w:r>
      <w:r>
        <w:rPr>
          <w:sz w:val="19"/>
        </w:rPr>
        <w:t>USA-Krankenversicherungsdaten, ähnliche Ausgangslage, aber starke Fragmentation möglich – für deutsche Versorgung mit Krankenkassen-Daten parallel machbar</w:t>
      </w:r>
    </w:p>
    <w:p>
      <w:r>
        <w:rPr>
          <w:color w:val="5A7D3A"/>
          <w:sz w:val="18"/>
        </w:rPr>
        <w:t>https://pubmed.ncbi.nlm.nih.gov/42804491/</w:t>
      </w:r>
    </w:p>
    <w:p>
      <w:pPr>
        <w:pStyle w:val="Heading2"/>
      </w:pPr>
      <w:r>
        <w:t>Schutzwirkung Mumps-haltiger Impfstoffe bei Kindern unter 15 Jahren in China</w:t>
      </w:r>
    </w:p>
    <w:p>
      <w:r>
        <w:rPr>
          <w:i/>
          <w:color w:val="666666"/>
          <w:sz w:val="18"/>
        </w:rPr>
        <w:t>Liu H et al.  ·  PLoS One  ·  28.09.2026  ·  PMID 42804452</w:t>
      </w:r>
    </w:p>
    <w:p>
      <w:r>
        <w:t>Matched-case-control-Studie bei 1.405 klinisch oder laborbestätigten Mumps-Fällen und 2.810 Kontrollen (2021–2025) in Taizhou, China, zur Effektivität Mumps-haltiger Impfstoffe nach Schulalter und Impfintervallen.</w:t>
      </w:r>
    </w:p>
    <w:p>
      <w:r>
        <w:rPr>
          <w:b/>
        </w:rPr>
        <w:t xml:space="preserve">Ergebnis: </w:t>
      </w:r>
      <w:r>
        <w:t>Gesamtimpfeffektivität nach ≥1 Dosis: 75,7% (95%-KI 64,8–83,2%). VE stieg mit Alter: 3–5 Jahre 55,2%, 6–11 Jahre 86,7%, ≥12 Jahre 92,9%. Einfach-Dosis-Regime: VE 80,4%; Zwei-Dosis-Periode zeigt VE nicht signifikant (durch hohe Coverage und wenige Ungeimpfte verzerrt).</w:t>
      </w:r>
    </w:p>
    <w:p>
      <w:r>
        <w:rPr>
          <w:b/>
          <w:sz w:val="19"/>
        </w:rPr>
        <w:t xml:space="preserve">Übertragbarkeit: </w:t>
      </w:r>
      <w:r>
        <w:rPr>
          <w:sz w:val="19"/>
        </w:rPr>
        <w:t>China, aber Impfregister-Daten und standardisierte Falldef. übertragbar – Frage zur optimalen Dosierung international relevant</w:t>
      </w:r>
    </w:p>
    <w:p>
      <w:r>
        <w:rPr>
          <w:color w:val="5A7D3A"/>
          <w:sz w:val="18"/>
        </w:rPr>
        <w:t>https://pubmed.ncbi.nlm.nih.gov/42804452/</w:t>
      </w:r>
    </w:p>
    <w:p>
      <w:pPr>
        <w:pStyle w:val="Heading2"/>
      </w:pPr>
      <w:r>
        <w:t>Impfquoten bei HPV-Geimpften sinken bei niedriger Schulbildung und Einkommen der Eltern</w:t>
      </w:r>
    </w:p>
    <w:p>
      <w:r>
        <w:rPr>
          <w:i/>
          <w:color w:val="666666"/>
          <w:sz w:val="18"/>
        </w:rPr>
        <w:t>Appelqvist E et al.  ·  Vaccine  ·  24.10.2026  ·  PMID 42727401</w:t>
      </w:r>
    </w:p>
    <w:p>
      <w:r>
        <w:t>Schwedische Registerstudie mit 492.997 Mädchen (Jahrgänge 2002–2010) zu Faktoren der HPV-Impfquote im Schulprogramm und Catch-up-Impfungen bis Alter 19 Jahren.</w:t>
      </w:r>
    </w:p>
    <w:p>
      <w:r>
        <w:rPr>
          <w:b/>
        </w:rPr>
        <w:t xml:space="preserve">Ergebnis: </w:t>
      </w:r>
      <w:r>
        <w:t>Eltern mit niedrigem Bildungsabschluss (OR 1,3) oder niedrigem Einkommen (OR 1,9) hatten geringere Impfquoten; im Ausland geborene Mädchen oder mit im Ausland geborenen Eltern zeigten OR 1,7. Die meisten ungeimpften Mädchen erhielten später keine Catch-up-Impfung, unabhängig von Schuljahr.</w:t>
      </w:r>
    </w:p>
    <w:p>
      <w:r>
        <w:rPr>
          <w:b/>
          <w:sz w:val="19"/>
        </w:rPr>
        <w:t xml:space="preserve">Übertragbarkeit: </w:t>
      </w:r>
      <w:r>
        <w:rPr>
          <w:sz w:val="19"/>
        </w:rPr>
        <w:t>Schweden, Impfregister und Schulimpfprogramm, Hinweis auf Ungleichheitsachsen auch in deutschen Bundesländern ohne Register</w:t>
      </w:r>
    </w:p>
    <w:p>
      <w:r>
        <w:rPr>
          <w:color w:val="5A7D3A"/>
          <w:sz w:val="18"/>
        </w:rPr>
        <w:t>https://pubmed.ncbi.nlm.nih.gov/42727401/</w:t>
      </w:r>
    </w:p>
    <w:p>
      <w:pPr>
        <w:pStyle w:val="Heading2"/>
      </w:pPr>
      <w:r>
        <w:t>Wirksamkeit und Waning der vierten COVID-19-mRNA-Impfdosis gegen Hospitalisierung</w:t>
      </w:r>
    </w:p>
    <w:p>
      <w:r>
        <w:rPr>
          <w:i/>
          <w:color w:val="666666"/>
          <w:sz w:val="18"/>
        </w:rPr>
        <w:t>Li X et al.  ·  J Infect  ·  05.08.2026  ·  PMID 42556476</w:t>
      </w:r>
    </w:p>
    <w:p>
      <w:r>
        <w:t>Multizentrische Kohortenstudie aus UK, Niederlanden und Spanien (DARWIN EU) an 975.496 geimpften Personen ab 12 Jahren zur Effektivität der vierten Dosis gegen SARS-CoV-2-bedingte Hospitalisierung und Tod.</w:t>
      </w:r>
    </w:p>
    <w:p>
      <w:r>
        <w:rPr>
          <w:b/>
        </w:rPr>
        <w:t xml:space="preserve">Ergebnis: </w:t>
      </w:r>
      <w:r>
        <w:t>VE vierte vs. dritte Dosis gegen Tod 30% (95%-KI 9–46); gegen Hospitalisierung 26% (Spanien) bis 46% (Niederlande). Waning begann bei 4–8 Wochen. Periodische Auffrischungen wurden empfohlen.</w:t>
      </w:r>
    </w:p>
    <w:p>
      <w:r>
        <w:rPr>
          <w:b/>
          <w:sz w:val="19"/>
        </w:rPr>
        <w:t xml:space="preserve">Übertragbarkeit: </w:t>
      </w:r>
      <w:r>
        <w:rPr>
          <w:sz w:val="19"/>
        </w:rPr>
        <w:t>Niederlande, Spanien, UK mit kompletten elektronischen Gesundheitsaufzeichnungen, übertragbar auf deutsche Versorgung</w:t>
      </w:r>
    </w:p>
    <w:p>
      <w:r>
        <w:rPr>
          <w:color w:val="5A7D3A"/>
          <w:sz w:val="18"/>
        </w:rPr>
        <w:t>https://pubmed.ncbi.nlm.nih.gov/42556476/</w:t>
      </w:r>
    </w:p>
    <w:p>
      <w:pPr>
        <w:pStyle w:val="Heading2"/>
      </w:pPr>
      <w:r>
        <w:t>Influenza-Impfquote und Impfskepsis bei Patienten mit Lebererkrankung in Griechenland</w:t>
      </w:r>
    </w:p>
    <w:p>
      <w:r>
        <w:rPr>
          <w:i/>
          <w:color w:val="666666"/>
          <w:sz w:val="18"/>
        </w:rPr>
        <w:t>Dafnou P et al.  ·  Gastroenterol Nurs  ·  21.07.2026  ·  PMID 42484114</w:t>
      </w:r>
    </w:p>
    <w:p>
      <w:r>
        <w:t>Querschnittstudie bei 152 Patienten mit Lebererkrankung in Griechenland (2025) zur Influenza-Impfquote, Einstellungen und Einflussfaktoren.</w:t>
      </w:r>
    </w:p>
    <w:p>
      <w:r>
        <w:rPr>
          <w:b/>
        </w:rPr>
        <w:t xml:space="preserve">Ergebnis: </w:t>
      </w:r>
      <w:r>
        <w:t>58,6% erhielten Influenza-Impfung. Prädiktoren der Impfung: höheres Alter (OR 1,07), vorangegangene Pneumokokken-Impfung (OR 17,98), COVID-19-Impfung (OR 5,77). Etwa die Hälfte ließen sich jährlich impfen. Kliniker als vertrauenswürdige Informanten könnten Quote heben.</w:t>
      </w:r>
    </w:p>
    <w:p>
      <w:r>
        <w:rPr>
          <w:b/>
          <w:sz w:val="19"/>
        </w:rPr>
        <w:t xml:space="preserve">Übertragbarkeit: </w:t>
      </w:r>
      <w:r>
        <w:rPr>
          <w:sz w:val="19"/>
        </w:rPr>
        <w:t>Griechenland, ähnliche Gesundheitssysteme, Fokus auf vulnerable Gruppen und Beratung auch für Deutschland relevant</w:t>
      </w:r>
    </w:p>
    <w:p>
      <w:r>
        <w:rPr>
          <w:color w:val="5A7D3A"/>
          <w:sz w:val="18"/>
        </w:rPr>
        <w:t>https://pubmed.ncbi.nlm.nih.gov/42484114/</w:t>
      </w:r>
    </w:p>
    <w:p>
      <w:pPr>
        <w:pStyle w:val="Heading1"/>
      </w:pPr>
      <w:r>
        <w:t>Aufgenommen am 28.09.2026</w:t>
      </w:r>
    </w:p>
    <w:p>
      <w:pPr>
        <w:pStyle w:val="Heading2"/>
      </w:pPr>
      <w:r>
        <w:t>MMR-Impfung und idiopathische thrombozytopenische Purpura: Risiko nach erster und zweiter Dosis bei englischen Kindern</w:t>
      </w:r>
    </w:p>
    <w:p>
      <w:r>
        <w:rPr>
          <w:i/>
          <w:color w:val="666666"/>
          <w:sz w:val="18"/>
        </w:rPr>
        <w:t>Andrews N et al.  ·  Vaccine  ·  24.10.2026  ·  PMID 42771940</w:t>
      </w:r>
    </w:p>
    <w:p>
      <w:r>
        <w:t>Retrospektive Kohortenstudie anhand von verknüpften Krankenhausdaten zu Blutungskomplikationen nach MMR-Impfung bei 3,9 Millionen Kindern in England 2000-2019.</w:t>
      </w:r>
    </w:p>
    <w:p>
      <w:r>
        <w:rPr>
          <w:b/>
        </w:rPr>
        <w:t xml:space="preserve">Ergebnis: </w:t>
      </w:r>
      <w:r>
        <w:t>Nach erster MMR-Dosis erhöhtes ITP-Risiko (relatives Risiko 2,38; 95%-KI 2,12–2,67), entsprechend 1 Fall pro 42.900 Dosen. Nach zweiter Dosis kein erhöhtes Risiko (RR 0,96; 95%-KI 0,81–1,13). Kinder mit ITP nach Dosis 1 zeigten kein zusätzliches Risiko nach Dosis 2; eine Wiederimpfung ist sicher.</w:t>
      </w:r>
    </w:p>
    <w:p>
      <w:r>
        <w:rPr>
          <w:b/>
          <w:sz w:val="19"/>
        </w:rPr>
        <w:t xml:space="preserve">Übertragbarkeit: </w:t>
      </w:r>
      <w:r>
        <w:rPr>
          <w:sz w:val="19"/>
        </w:rPr>
        <w:t>Englische Klinikdaten, vergleichbare Dokumentationspflichten mit Deutschland.</w:t>
      </w:r>
    </w:p>
    <w:p>
      <w:r>
        <w:rPr>
          <w:color w:val="5A7D3A"/>
          <w:sz w:val="18"/>
        </w:rPr>
        <w:t>https://pubmed.ncbi.nlm.nih.gov/42771940/</w:t>
      </w:r>
    </w:p>
    <w:p>
      <w:pPr>
        <w:pStyle w:val="Heading2"/>
      </w:pPr>
      <w:r>
        <w:t>HPV-Impfquote und Ungleichheit in Süditalien: Sozioökonomische Faktoren und Organisationsbarrieren</w:t>
      </w:r>
    </w:p>
    <w:p>
      <w:r>
        <w:rPr>
          <w:i/>
          <w:color w:val="666666"/>
          <w:sz w:val="18"/>
        </w:rPr>
        <w:t>Mercogliano M et al.  ·  Vaccine  ·  24.10.2026  ·  PMID 42763966</w:t>
      </w:r>
    </w:p>
    <w:p>
      <w:r>
        <w:t>Bevölkerungsbasierte Längsschnittanalyse mit Impfregister-Daten aus Kampanien 2006–2023 zu Einflussfaktoren auf HPV-Impfquoten bei Mädchen und Jungen.</w:t>
      </w:r>
    </w:p>
    <w:p>
      <w:r>
        <w:rPr>
          <w:b/>
        </w:rPr>
        <w:t xml:space="preserve">Ergebnis: </w:t>
      </w:r>
      <w:r>
        <w:t>Ein-Dosis-Quote Mädchen max. 68,5%, Jungen max. 41,1%. Vollständige Immunisierung Mädchen 62,2%, Jungen 29,9%. Sozioökonomische Deprivation senkte Impfquoten bei Jungen (Koeffizient −1,56 für Eine-Dosis-Quote), nicht aber bei routiner Impfung von Mädchen. Nachholimpfung stark von Deprivation betroffen. Impfdichtevariation über Bezirke hinweg unabhängig von Zentrenanzahl.</w:t>
      </w:r>
    </w:p>
    <w:p>
      <w:r>
        <w:rPr>
          <w:b/>
          <w:sz w:val="19"/>
        </w:rPr>
        <w:t xml:space="preserve">Übertragbarkeit: </w:t>
      </w:r>
      <w:r>
        <w:rPr>
          <w:sz w:val="19"/>
        </w:rPr>
        <w:t>Italien, vergleichbares Versicherungssystem und Impfprogramm mit Deutschland.</w:t>
      </w:r>
    </w:p>
    <w:p>
      <w:r>
        <w:rPr>
          <w:color w:val="5A7D3A"/>
          <w:sz w:val="18"/>
        </w:rPr>
        <w:t>https://pubmed.ncbi.nlm.nih.gov/42763966/</w:t>
      </w:r>
    </w:p>
    <w:p>
      <w:pPr>
        <w:pStyle w:val="Heading2"/>
      </w:pPr>
      <w:r>
        <w:t>Impfplan-Adhärenz in Deutschland: Komplexität im 1. Lebensjahr senkt Quote</w:t>
      </w:r>
    </w:p>
    <w:p>
      <w:r>
        <w:rPr>
          <w:i/>
          <w:color w:val="666666"/>
          <w:sz w:val="18"/>
        </w:rPr>
        <w:t>Arede M et al.  ·  Vaccine  ·  24.10.2026  ·  PMID 42759250</w:t>
      </w:r>
    </w:p>
    <w:p>
      <w:r>
        <w:t>Querschnitts- und Längsschnittanalyse aus KUNO-Kids-Studie (Bayern 2015–2020) zur Erreichung und zeitgerechten Durchführung des deutschen Impfkalenders bei 2.044 Kindern.</w:t>
      </w:r>
    </w:p>
    <w:p>
      <w:r>
        <w:rPr>
          <w:b/>
        </w:rPr>
        <w:t xml:space="preserve">Ergebnis: </w:t>
      </w:r>
      <w:r>
        <w:t>Bei 24 Monaten: Hexavalent-Impfquoten 71–76%, MMR 86–87%; keine Vakzine erreichte 90–95%-Ziel. Vollständige Kalender-Adhärenz bei 50–55% mit 2 Jahren, 59–76% mit 4 Jahren. Hexavalent-Quote bei 4 Jahren nur 84%, Nachholimpfung geringer als für MMR. Komplexe Mehrfach-Dosis-Schemata im 1. Lebensjahr assoziiert mit verzögerter Adhärenz.</w:t>
      </w:r>
    </w:p>
    <w:p>
      <w:r>
        <w:rPr>
          <w:b/>
          <w:sz w:val="19"/>
        </w:rPr>
        <w:t xml:space="preserve">Übertragbarkeit: </w:t>
      </w:r>
      <w:r>
        <w:rPr>
          <w:sz w:val="19"/>
        </w:rPr>
        <w:t>Deutsche Daten direkt, Versorgungsforschung im eigenen Gesundheitssystem.</w:t>
      </w:r>
    </w:p>
    <w:p>
      <w:r>
        <w:rPr>
          <w:color w:val="5A7D3A"/>
          <w:sz w:val="18"/>
        </w:rPr>
        <w:t>https://pubmed.ncbi.nlm.nih.gov/42759250/</w:t>
      </w:r>
    </w:p>
    <w:p>
      <w:pPr>
        <w:pStyle w:val="Heading2"/>
      </w:pPr>
      <w:r>
        <w:t>Grippe-Impfquoten senken Sterblichkeit älterer Europäer messbar</w:t>
      </w:r>
    </w:p>
    <w:p>
      <w:r>
        <w:rPr>
          <w:i/>
          <w:color w:val="666666"/>
          <w:sz w:val="18"/>
        </w:rPr>
        <w:t>Zhou B et al.  ·  Vaccine  ·  24.10.2026  ·  PMID 42759249</w:t>
      </w:r>
    </w:p>
    <w:p>
      <w:r>
        <w:t>Ökologische Panel-Analyse mit Surveys (SHARE) und GBD-Daten aus 21 EU/EEA-Ländern, Schweiz und Israel (2019/20 und 2021/22) zur Assoziation von Impfquoten mit Mortalität und Morbidität.</w:t>
      </w:r>
    </w:p>
    <w:p>
      <w:r>
        <w:rPr>
          <w:b/>
        </w:rPr>
        <w:t xml:space="preserve">Ergebnis: </w:t>
      </w:r>
      <w:r>
        <w:t>Mittlere Impfquote stieg von 34,5% auf 47,6%, blieb unter 75%-Ziel. Pro 1%-Punkt höhere Impfquote: 14,9 weniger Todesfälle/100.000 Ältere (95%-KI −22,8 bis −7,1), 328,1 weniger Gesamt-DALYs/100.000 (95%-KI −480,4 bis −175,8), 6,3 weniger LRTI-DALYs/100.000. Assoziationen auch für Diabetes-DALYs (−12,1).</w:t>
      </w:r>
    </w:p>
    <w:p>
      <w:r>
        <w:rPr>
          <w:b/>
          <w:sz w:val="19"/>
        </w:rPr>
        <w:t xml:space="preserve">Übertragbarkeit: </w:t>
      </w:r>
      <w:r>
        <w:rPr>
          <w:sz w:val="19"/>
        </w:rPr>
        <w:t>21 europäische Länder, vergleichbare Gesundheitssysteme und Erfassungsmethoden.</w:t>
      </w:r>
    </w:p>
    <w:p>
      <w:r>
        <w:rPr>
          <w:color w:val="5A7D3A"/>
          <w:sz w:val="18"/>
        </w:rPr>
        <w:t>https://pubmed.ncbi.nlm.nih.gov/42759249/</w:t>
      </w:r>
    </w:p>
    <w:p>
      <w:pPr>
        <w:pStyle w:val="Heading2"/>
      </w:pPr>
      <w:r>
        <w:t>Schulische HPV-Impfaufklärung hebt Impfquoten: Was wirkt wirklich?</w:t>
      </w:r>
    </w:p>
    <w:p>
      <w:r>
        <w:rPr>
          <w:i/>
          <w:color w:val="666666"/>
          <w:sz w:val="18"/>
        </w:rPr>
        <w:t>Munoz A et al.  ·  Vaccine  ·  24.10.2026  ·  PMID 42753385</w:t>
      </w:r>
    </w:p>
    <w:p>
      <w:r>
        <w:t>Randomisierte Interventionsstudie mit 2.758 Schülern in 39 französischen Schulen zur Mediation von Effekten zwischen Wissens-, Einstellungs- und Verhaltensänderungen und HPV-Impfakzeptanz.</w:t>
      </w:r>
    </w:p>
    <w:p>
      <w:r>
        <w:rPr>
          <w:b/>
        </w:rPr>
        <w:t xml:space="preserve">Ergebnis: </w:t>
      </w:r>
      <w:r>
        <w:t>Gemeinsame Aufklärung (EMM) erhöhte Impfakzeptanz/Impfabsicht (OR 1,57; 95%-KI 1,02–2,41). Stärkste Mediationswirkungen durch verbesserte Nutzen-Risiko-Einstellung (OR 1,14), Sicherheitswahrnehmung (OR 1,12), Zugänglichkeit (OR 1,11), Peer-Diskussionen (OR 1,11) und Selbsteingeschätztes Wissen (OR 1,10). Haltungsänderungen wichtiger als reine Wissenseerhöhung.</w:t>
      </w:r>
    </w:p>
    <w:p>
      <w:r>
        <w:rPr>
          <w:b/>
          <w:sz w:val="19"/>
        </w:rPr>
        <w:t xml:space="preserve">Übertragbarkeit: </w:t>
      </w:r>
      <w:r>
        <w:rPr>
          <w:sz w:val="19"/>
        </w:rPr>
        <w:t>Frankreich, vergleichbare Schulstrukturen und Impfprogramme.</w:t>
      </w:r>
    </w:p>
    <w:p>
      <w:r>
        <w:rPr>
          <w:color w:val="5A7D3A"/>
          <w:sz w:val="18"/>
        </w:rPr>
        <w:t>https://pubmed.ncbi.nlm.nih.gov/42753385/</w:t>
      </w:r>
    </w:p>
    <w:p>
      <w:pPr>
        <w:pStyle w:val="Heading2"/>
      </w:pPr>
      <w:r>
        <w:t>Pertussis-Impfung in der Schwangerschaft: Einflussfaktoren und Impfskepsis in den Niederlanden</w:t>
      </w:r>
    </w:p>
    <w:p>
      <w:r>
        <w:rPr>
          <w:i/>
          <w:color w:val="666666"/>
          <w:sz w:val="18"/>
        </w:rPr>
        <w:t>van Vreeswijk-van Donselaar L et al.  ·  Vaccine  ·  24.10.2026  ·  PMID 42743752</w:t>
      </w:r>
    </w:p>
    <w:p>
      <w:r>
        <w:t>Retrospektive Kohortenstudie mit 17.513 Müttern aus Jugendgesundheitszentren (Niederlande 2020–März 2025) zu Determinanten der Impfakzeptanz und Gründen für Ablehnung.</w:t>
      </w:r>
    </w:p>
    <w:p>
      <w:r>
        <w:rPr>
          <w:b/>
        </w:rPr>
        <w:t xml:space="preserve">Ergebnis: </w:t>
      </w:r>
      <w:r>
        <w:t>Höhere Impfquote mit älterem Alter (OR 1,78–2,70), Beschäftigung (OR 2,55). Niedrigere Quote bei geringerer Bildung (OR 0,41), Mehrparität (OR 0,61), Geburt außerhalb NL. Mütter ≥41 Jahre lehnten öfter wegen Graviditätsbedenken ab (OR 2,61). Nicht-niederländische Muttersprache führte zu fehlender Info von Fachleuten (OR 2,19–2,96). Impfskepsis verteilt sich über alle soziodemografischen Gruppen.</w:t>
      </w:r>
    </w:p>
    <w:p>
      <w:r>
        <w:rPr>
          <w:b/>
          <w:sz w:val="19"/>
        </w:rPr>
        <w:t xml:space="preserve">Übertragbarkeit: </w:t>
      </w:r>
      <w:r>
        <w:rPr>
          <w:sz w:val="19"/>
        </w:rPr>
        <w:t>Niederlande, ähnliches Versicherungssystem und Impfprogramm.</w:t>
      </w:r>
    </w:p>
    <w:p>
      <w:r>
        <w:rPr>
          <w:color w:val="5A7D3A"/>
          <w:sz w:val="18"/>
        </w:rPr>
        <w:t>https://pubmed.ncbi.nlm.nih.gov/42743752/</w:t>
      </w:r>
    </w:p>
    <w:p>
      <w:pPr>
        <w:pStyle w:val="Heading2"/>
      </w:pPr>
      <w:r>
        <w:t>HPV-Impfung bei Männern senkt Analkrebs-Viren: Effekte sichtbar</w:t>
      </w:r>
    </w:p>
    <w:p>
      <w:r>
        <w:rPr>
          <w:i/>
          <w:color w:val="666666"/>
          <w:sz w:val="18"/>
        </w:rPr>
        <w:t>Checchi M et al.  ·  Vaccine  ·  24.10.2026  ·  PMID 42702144</w:t>
      </w:r>
    </w:p>
    <w:p>
      <w:r>
        <w:t>Überwachungsstudie mit 5.787 Rektaltupfern bei Männern, die Sex mit Männern haben (England 2017–2024, zwei Phasen) zum HPV-Serotyp-Rückgang nach Impfprogrammstart 2016.</w:t>
      </w:r>
    </w:p>
    <w:p>
      <w:r>
        <w:rPr>
          <w:b/>
        </w:rPr>
        <w:t xml:space="preserve">Ergebnis: </w:t>
      </w:r>
      <w:r>
        <w:t>36% Rückgang von HPV16/18-Prävalenz zwischen Phase 1 (2017–19, 3.291 Proben) und Phase 2 (2021–24, 2.496 Proben). HPV16/18-Prävalenz ähnlich in geimpften (16,6%; 95%-KI 15,2–18,1) und ungeimpften (15,8%; 95%-KI 14,5–17,1) Männern. Nachweis von Herdenimmunität und vermutlich Untererfassung von Impfmeldungen.</w:t>
      </w:r>
    </w:p>
    <w:p>
      <w:r>
        <w:rPr>
          <w:b/>
          <w:sz w:val="19"/>
        </w:rPr>
        <w:t xml:space="preserve">Übertragbarkeit: </w:t>
      </w:r>
      <w:r>
        <w:rPr>
          <w:sz w:val="19"/>
        </w:rPr>
        <w:t>England mit Impfregister; Datenqualität höher als Deutschland ohne Register.</w:t>
      </w:r>
    </w:p>
    <w:p>
      <w:r>
        <w:rPr>
          <w:color w:val="5A7D3A"/>
          <w:sz w:val="18"/>
        </w:rPr>
        <w:t>https://pubmed.ncbi.nlm.nih.gov/42702144/</w:t>
      </w:r>
    </w:p>
    <w:p>
      <w:pPr>
        <w:pStyle w:val="Heading1"/>
      </w:pPr>
      <w:r>
        <w:t>Aufgenommen am 27.09.2026</w:t>
      </w:r>
    </w:p>
    <w:p>
      <w:pPr>
        <w:pStyle w:val="Heading2"/>
      </w:pPr>
      <w:r>
        <w:t>Nirsevimab-Immunisierung senkte RSV-Hospitalisierung bei Neugeborenen um 78 %</w:t>
      </w:r>
    </w:p>
    <w:p>
      <w:r>
        <w:rPr>
          <w:i/>
          <w:color w:val="666666"/>
          <w:sz w:val="18"/>
        </w:rPr>
        <w:t>Auriti C et al.  ·  Viruses  ·  07.09.2026  ·  PMID 42797813</w:t>
      </w:r>
    </w:p>
    <w:p>
      <w:r>
        <w:t>Italienische Studie zur Wirksamkeit der universellen Nirsevimab-Prophylaxe gegen RSV-assoziierte Krankenhauseinweisungen bei Neugeborenen im Routinebetrieb.</w:t>
      </w:r>
    </w:p>
    <w:p>
      <w:r>
        <w:rPr>
          <w:b/>
        </w:rPr>
        <w:t xml:space="preserve">Ergebnis: </w:t>
      </w:r>
      <w:r>
        <w:t>78,3 % Wirksamkeit gegen RSV-assoziierte Hospitalisierung; Nirsevimab-geimpfte Infanten hatten niedrigere RSV-Infektionsrate (33,99 % vs. 68,21 %; p&lt;0,001) und benötigten seltener Atemunterstützung (55,23 % vs. 70,07 %; p&lt;0,001). Unter hospitalisierten Infanten zeigte sich ein 80,2 % Rückgang der Atemunterstützung und 64,3 % weniger NICU-Aufnahmen durch Impfung.</w:t>
      </w:r>
    </w:p>
    <w:p>
      <w:r>
        <w:rPr>
          <w:b/>
          <w:sz w:val="19"/>
        </w:rPr>
        <w:t xml:space="preserve">Übertragbarkeit: </w:t>
      </w:r>
      <w:r>
        <w:rPr>
          <w:sz w:val="19"/>
        </w:rPr>
        <w:t>Italien, vergleichbares Versicherungssystem und Impfkalender wie DACH</w:t>
      </w:r>
    </w:p>
    <w:p>
      <w:r>
        <w:rPr>
          <w:color w:val="5A7D3A"/>
          <w:sz w:val="18"/>
        </w:rPr>
        <w:t>https://pubmed.ncbi.nlm.nih.gov/42797813/</w:t>
      </w:r>
    </w:p>
    <w:p>
      <w:pPr>
        <w:pStyle w:val="Heading2"/>
      </w:pPr>
      <w:r>
        <w:t>Pneumokokken-Nasopharyngeal-Besiedlung bei hospitalisierten Kindern in Lettland</w:t>
      </w:r>
    </w:p>
    <w:p>
      <w:r>
        <w:rPr>
          <w:i/>
          <w:color w:val="666666"/>
          <w:sz w:val="18"/>
        </w:rPr>
        <w:t>Cupeca H et al.  ·  PLoS One  ·  25.09.2026  ·  PMID 42789531</w:t>
      </w:r>
    </w:p>
    <w:p>
      <w:r>
        <w:t>Querschnittsstudie zur Prävalenz und Serotyp-Verteilung von Pneumokokken-Besiedlung bei hospitalisierten Kindern während des Übergangs von PCV13 zu PCV15/PCV20.</w:t>
      </w:r>
    </w:p>
    <w:p>
      <w:r>
        <w:rPr>
          <w:b/>
        </w:rPr>
        <w:t xml:space="preserve">Ergebnis: </w:t>
      </w:r>
      <w:r>
        <w:t>Gesamtprävalenz der Besiedlung 21,8 % (70/321; 95%-KI: 17,6–26,6%); PCV-Impfquote 63,2 % (203/321), überwiegend PCV10; kein signifikanter Unterschied zwischen geimpften und ungeimpften Kindern (25,6 % vs. 16,7 %; p=0,138); häufigste Serotypen 20, 13, 48 – keine in PCV13-abgedeckt.</w:t>
      </w:r>
    </w:p>
    <w:p>
      <w:r>
        <w:rPr>
          <w:b/>
          <w:sz w:val="19"/>
        </w:rPr>
        <w:t xml:space="preserve">Übertragbarkeit: </w:t>
      </w:r>
      <w:r>
        <w:rPr>
          <w:sz w:val="19"/>
        </w:rPr>
        <w:t>Baltische Region, aber Daten übertragbar auf deutschsprachige Länder bei ähnlichem PCV-Übergang</w:t>
      </w:r>
    </w:p>
    <w:p>
      <w:r>
        <w:rPr>
          <w:color w:val="5A7D3A"/>
          <w:sz w:val="18"/>
        </w:rPr>
        <w:t>https://pubmed.ncbi.nlm.nih.gov/42789531/</w:t>
      </w:r>
    </w:p>
    <w:p>
      <w:pPr>
        <w:pStyle w:val="Heading2"/>
      </w:pPr>
      <w:r>
        <w:t>Vertrauen und mRNA-Impfstoffakzeptanz durch deliberative Dialoge stärken</w:t>
      </w:r>
    </w:p>
    <w:p>
      <w:r>
        <w:rPr>
          <w:i/>
          <w:color w:val="666666"/>
          <w:sz w:val="18"/>
        </w:rPr>
        <w:t>Plamondon K et al.  ·  JMIR Res Protoc  ·  25.09.2026  ·  PMID 42789402</w:t>
      </w:r>
    </w:p>
    <w:p>
      <w:r>
        <w:t>Protokoll einer sequenziellen deliberativen Dialogstudie zu Bedingungen für informierte Öffentlichkeitsbeteiligung, Vertrauen und Akzeptanz emergenter Vakzin-Technologien am Beispiel mRNA-Impfstoffe.</w:t>
      </w:r>
    </w:p>
    <w:p>
      <w:r>
        <w:rPr>
          <w:b/>
        </w:rPr>
        <w:t xml:space="preserve">Ergebnis: </w:t>
      </w:r>
      <w:r>
        <w:t>Bis Juni 2026: 10 deliberative Dialoge und 1 selbstgeleiteter Dialog mit 77 Beteiligten durchgeführt; 2 summative Dialoge mit 18 Teilnehmern; erwartete Publikation Zweite Hälfte 2026; Fokus auf Verbesserung von Wissenschaftskompetenz, tailored Kommunikation unter Berücksichtigung historischer Ungleichheiten und Navigation von Polarisierung rund um Impfung.</w:t>
      </w:r>
    </w:p>
    <w:p>
      <w:r>
        <w:rPr>
          <w:b/>
          <w:sz w:val="19"/>
        </w:rPr>
        <w:t xml:space="preserve">Übertragbarkeit: </w:t>
      </w:r>
      <w:r>
        <w:rPr>
          <w:sz w:val="19"/>
        </w:rPr>
        <w:t>Kanada, aber deliberative Methode und Vertrauensfragen universal auf deutschsprachige Systeme übertragbar</w:t>
      </w:r>
    </w:p>
    <w:p>
      <w:r>
        <w:rPr>
          <w:color w:val="5A7D3A"/>
          <w:sz w:val="18"/>
        </w:rPr>
        <w:t>https://pubmed.ncbi.nlm.nih.gov/42789402/</w:t>
      </w:r>
    </w:p>
    <w:p>
      <w:pPr>
        <w:pStyle w:val="Heading2"/>
      </w:pPr>
      <w:r>
        <w:t>Hochdosis-Influenzaimpfung für kardiovaskuläre Prävention bei älteren Patienten</w:t>
      </w:r>
    </w:p>
    <w:p>
      <w:r>
        <w:rPr>
          <w:i/>
          <w:color w:val="666666"/>
          <w:sz w:val="18"/>
        </w:rPr>
        <w:t>Volpe M et al.  ·  G Ital Cardiol (Rome)  ·  Okt. 2026  ·  PMID 42788302</w:t>
      </w:r>
    </w:p>
    <w:p>
      <w:r>
        <w:t>Konsens-Papier fünf italienischer Fachgesellschaften zur Influenzaimpfung als Prävention kardiovaskulärer Komplikationen bei Risikopatienten, basierend auf FLUNITY-HD-Daten.</w:t>
      </w:r>
    </w:p>
    <w:p>
      <w:r>
        <w:rPr>
          <w:b/>
        </w:rPr>
        <w:t xml:space="preserve">Ergebnis: </w:t>
      </w:r>
      <w:r>
        <w:t>Hochdosis-Influenzaimpfung zeigt signifikante Vorteile gegenüber Standarddosis; Empfehlung für ältere Patienten und solche mit kardiovaskulärer Erkrankung zur Stärkung der Immunantwort und besseren kardiovaskulären Schutz.</w:t>
      </w:r>
    </w:p>
    <w:p>
      <w:r>
        <w:rPr>
          <w:b/>
          <w:sz w:val="19"/>
        </w:rPr>
        <w:t xml:space="preserve">Übertragbarkeit: </w:t>
      </w:r>
      <w:r>
        <w:rPr>
          <w:sz w:val="19"/>
        </w:rPr>
        <w:t>Italien, aber zunehmende Evidenz aus großen europäischen Studien; übertragbar auf deutsche Impfpraxis</w:t>
      </w:r>
    </w:p>
    <w:p>
      <w:r>
        <w:rPr>
          <w:color w:val="5A7D3A"/>
          <w:sz w:val="18"/>
        </w:rPr>
        <w:t>https://pubmed.ncbi.nlm.nih.gov/42788302/</w:t>
      </w:r>
    </w:p>
    <w:p>
      <w:pPr>
        <w:pStyle w:val="Heading2"/>
      </w:pPr>
      <w:r>
        <w:t>Anti-CD19-CAR-T-Therapie in SLE: Keine Signale für beeinträchtigte Eierstockreserve</w:t>
      </w:r>
    </w:p>
    <w:p>
      <w:r>
        <w:rPr>
          <w:i/>
          <w:color w:val="666666"/>
          <w:sz w:val="18"/>
        </w:rPr>
        <w:t>Pecher AC et al.  ·  Rheumatology (Oxford)  ·  01.08.2026  ·  PMID 42584071</w:t>
      </w:r>
    </w:p>
    <w:p>
      <w:r>
        <w:t>Longitudinale Studie zu reproduktiven Hormonmarkern bei 13 Frauen mit schwerem, therapierefraktärem SLE nach anti-CD19-CAR-T-Zelltherapie.</w:t>
      </w:r>
    </w:p>
    <w:p>
      <w:r>
        <w:rPr>
          <w:b/>
        </w:rPr>
        <w:t xml:space="preserve">Ergebnis: </w:t>
      </w:r>
      <w:r>
        <w:t>AMH-Level stabil (1,54 ng/ml [IQR 0,64–3,15] vs. 2,14 ng/ml [0,63–3,26]; p=0,886); FSH moderat erhöht (6,60 IU/l [4,00–7,90] vs. 7,20 IU/l [4,50–9,90]; p=0,033), aber ohne begleitenden AMH-Rückgang; keine Signale einer beeinträchtigten Eierstockreserve unter Standardlymphodepletion.</w:t>
      </w:r>
    </w:p>
    <w:p>
      <w:r>
        <w:rPr>
          <w:b/>
          <w:sz w:val="19"/>
        </w:rPr>
        <w:t xml:space="preserve">Übertragbarkeit: </w:t>
      </w:r>
      <w:r>
        <w:rPr>
          <w:sz w:val="19"/>
        </w:rPr>
        <w:t>Deutschland, Schweiz, Österreich – Immuntherapie-Zentren mit ähnlicher CAR-T-Infrastruktur</w:t>
      </w:r>
    </w:p>
    <w:p>
      <w:r>
        <w:rPr>
          <w:color w:val="5A7D3A"/>
          <w:sz w:val="18"/>
        </w:rPr>
        <w:t>https://pubmed.ncbi.nlm.nih.gov/42584071/</w:t>
      </w:r>
    </w:p>
    <w:p>
      <w:pPr>
        <w:pStyle w:val="Heading2"/>
      </w:pPr>
      <w:r>
        <w:t>Internetnutzung hat ambivalente Effekte auf Impfskepsis: Hochschulrechnung mit 48.538 Personen</w:t>
      </w:r>
    </w:p>
    <w:p>
      <w:r>
        <w:rPr>
          <w:i/>
          <w:color w:val="666666"/>
          <w:sz w:val="18"/>
        </w:rPr>
        <w:t>Helbing A et al.  ·  J Community Health  ·  16.07.2026  ·  PMID 42461515</w:t>
      </w:r>
    </w:p>
    <w:p>
      <w:r>
        <w:t>Multilevel-Logit-Analyse zu Zusammenhang zwischen Internetnutzung, digitaler Gesundheitskompetenz (DHL) und Impfskepsis auf Basis der ISSP 2021-Daten.</w:t>
      </w:r>
    </w:p>
    <w:p>
      <w:r>
        <w:rPr>
          <w:b/>
        </w:rPr>
        <w:t xml:space="preserve">Ergebnis: </w:t>
      </w:r>
      <w:r>
        <w:t>Nicht-lineare Beziehung: Personen ohne Internetzugang und solche mit sehr häufiger Online-Suche nach Impfinformation zeigen höhere Skepsis; niedrige DHL konsistent mit mehr Impfskepsis assoziiert; Unzufriedenheit mit Gesundheitssystem und niedrigere nationale Gesundheitsqualität verstärken Skepsis; Internetnutzung ist sowohl Bildungs- als auch Fehlinformationspotenzial.</w:t>
      </w:r>
    </w:p>
    <w:p>
      <w:r>
        <w:rPr>
          <w:b/>
          <w:sz w:val="19"/>
        </w:rPr>
        <w:t xml:space="preserve">Übertragbarkeit: </w:t>
      </w:r>
      <w:r>
        <w:rPr>
          <w:sz w:val="19"/>
        </w:rPr>
        <w:t>48 Länder (ISSP), inklusive Deutschland; vergleichbare Sozialversicherungssysteme</w:t>
      </w:r>
    </w:p>
    <w:p>
      <w:r>
        <w:rPr>
          <w:color w:val="5A7D3A"/>
          <w:sz w:val="18"/>
        </w:rPr>
        <w:t>https://pubmed.ncbi.nlm.nih.gov/42461515/</w:t>
      </w:r>
    </w:p>
    <w:p>
      <w:pPr>
        <w:pStyle w:val="Heading1"/>
      </w:pPr>
      <w:r>
        <w:t>Aufgenommen am 26.09.2026</w:t>
      </w:r>
    </w:p>
    <w:p>
      <w:pPr>
        <w:pStyle w:val="Heading2"/>
      </w:pPr>
      <w:r>
        <w:t>Tollwutimpfung bei Kindern in Thailand: Prävention mit Kosten-Nutzen-Vorteilen</w:t>
      </w:r>
    </w:p>
    <w:p>
      <w:r>
        <w:rPr>
          <w:i/>
          <w:color w:val="666666"/>
          <w:sz w:val="18"/>
        </w:rPr>
        <w:t>Soopairin S et al.  ·  BMJ Glob Health  ·  25.09.2026  ·  PMID 42791044</w:t>
      </w:r>
    </w:p>
    <w:p>
      <w:r>
        <w:t>Entscheidungsmodell-Analyse zum Kosten-Nutzen-Verhältnis einer Tollwut-Präexpositionsprophylaxe (PrEP) plus Postexpositionsprophylaxe (PEP) versus PEP allein bei 5-Jährigen in Thailand.</w:t>
      </w:r>
    </w:p>
    <w:p>
      <w:r>
        <w:rPr>
          <w:b/>
        </w:rPr>
        <w:t xml:space="preserve">Ergebnis: </w:t>
      </w:r>
      <w:r>
        <w:t>PrEP+PEP intrakutan mit inaktiviertem Hühnerzellvakzin war kosteneffektiv mit 40.977 THB (~1.161 USD) pro qualitätsbereinigtem Lebensjahr vs. PEP allein. Jährliche Bissinzidenz war einflussreichster Parameter; Kosten-Effektivität bleib robust über weitere Parameter.</w:t>
      </w:r>
    </w:p>
    <w:p>
      <w:r>
        <w:rPr>
          <w:b/>
          <w:sz w:val="19"/>
        </w:rPr>
        <w:t xml:space="preserve">Übertragbarkeit: </w:t>
      </w:r>
      <w:r>
        <w:rPr>
          <w:sz w:val="19"/>
        </w:rPr>
        <w:t>Thailand, außereuropäisches System; Kosten-Nutzen-Befund ist methodisch übertragbar für Priorisierung in Impfprogrammen.</w:t>
      </w:r>
    </w:p>
    <w:p>
      <w:r>
        <w:rPr>
          <w:color w:val="5A7D3A"/>
          <w:sz w:val="18"/>
        </w:rPr>
        <w:t>https://pubmed.ncbi.nlm.nih.gov/42791044/</w:t>
      </w:r>
    </w:p>
    <w:p>
      <w:pPr>
        <w:pStyle w:val="Heading2"/>
      </w:pPr>
      <w:r>
        <w:t>Influenza-Impfquoten in der Praxis: Defizite bei hochwertigen Impfstoffen</w:t>
      </w:r>
    </w:p>
    <w:p>
      <w:r>
        <w:rPr>
          <w:i/>
          <w:color w:val="666666"/>
          <w:sz w:val="18"/>
        </w:rPr>
        <w:t>Amicizia D et al.  ·  Hum Vaccin Immunother  ·  25.09.2026  ·  PMID 42788870</w:t>
      </w:r>
    </w:p>
    <w:p>
      <w:r>
        <w:t>Italienische Studie zur Influenzaimpfung ≥60-Jähriger in zwei Saisons (2023/24 und 2024/25), die den Wechsel zu dezentraler Versorgung durch Apotheken und Hausärzte untersucht.</w:t>
      </w:r>
    </w:p>
    <w:p>
      <w:r>
        <w:rPr>
          <w:b/>
        </w:rPr>
        <w:t xml:space="preserve">Ergebnis: </w:t>
      </w:r>
      <w:r>
        <w:t>Gesamtquote sank um 6% zwischen den Saisons; nur 65% (2023/24) bzw. 73% (2024/25) der ≥65-Jährigen erhielten altersgerechte hochdosierte Impfstoffe. Dezentrale Versorgung steigerte zwar Erreichbarkeit, führte aber zu erheblicher Varianz bei der Impfstoffwahl und suboptimalen Plattformen bei Hochrisikogruppen.</w:t>
      </w:r>
    </w:p>
    <w:p>
      <w:r>
        <w:rPr>
          <w:b/>
          <w:sz w:val="19"/>
        </w:rPr>
        <w:t xml:space="preserve">Übertragbarkeit: </w:t>
      </w:r>
      <w:r>
        <w:rPr>
          <w:sz w:val="19"/>
        </w:rPr>
        <w:t>Italien, vergleichbares Gesundheitssystem; zeigt Hürden bei Umsetzung von Leitlinien in dezentraler Versorgung.</w:t>
      </w:r>
    </w:p>
    <w:p>
      <w:r>
        <w:rPr>
          <w:color w:val="5A7D3A"/>
          <w:sz w:val="18"/>
        </w:rPr>
        <w:t>https://pubmed.ncbi.nlm.nih.gov/42788870/</w:t>
      </w:r>
    </w:p>
    <w:p>
      <w:pPr>
        <w:pStyle w:val="Heading2"/>
      </w:pPr>
      <w:r>
        <w:t>HPV-Impfung und Krebsvorsorge in Brasilien: Pandemie-Folgen bei Ungleichheit</w:t>
      </w:r>
    </w:p>
    <w:p>
      <w:r>
        <w:rPr>
          <w:i/>
          <w:color w:val="666666"/>
          <w:sz w:val="18"/>
        </w:rPr>
        <w:t>Carvalho TS et al.  ·  Rev Inst Med Trop Sao Paulo  ·  18.09.2026  ·  PMID 42788601</w:t>
      </w:r>
    </w:p>
    <w:p>
      <w:r>
        <w:t>Ökologische Studie (2016–2021) zur Auswirkung der COVID-19-Pandemie auf HPV-Impfquoten und Pap-Abstrich-Screening in Sao Paulo State mittels öffentlicher Datenbank.</w:t>
      </w:r>
    </w:p>
    <w:p>
      <w:r>
        <w:rPr>
          <w:b/>
        </w:rPr>
        <w:t xml:space="preserve">Ergebnis: </w:t>
      </w:r>
      <w:r>
        <w:t>HPV-Impfquoten stiegen 2020, hielten aber 2021 nicht an. Pap-Abstriche sanken 2020 und erholten sich 2021 nur teilweise, besonders in Gemeinden mit niedrigen sozioökonomischen Indikatoren. Anzahl der COVID-19-Fälle war nicht stark assoziiert mit Schwankungen in Präventionsdiensten.</w:t>
      </w:r>
    </w:p>
    <w:p>
      <w:r>
        <w:rPr>
          <w:b/>
          <w:sz w:val="19"/>
        </w:rPr>
        <w:t xml:space="preserve">Übertragbarkeit: </w:t>
      </w:r>
      <w:r>
        <w:rPr>
          <w:sz w:val="19"/>
        </w:rPr>
        <w:t>Brasilien, öffentliche Gesundheitsverwaltung; zeigt Resilienz-Probleme bei integrierten Präventionsprogrammen unter Krise, besonders bei vulnerablen Bevölkerungen.</w:t>
      </w:r>
    </w:p>
    <w:p>
      <w:r>
        <w:rPr>
          <w:color w:val="5A7D3A"/>
          <w:sz w:val="18"/>
        </w:rPr>
        <w:t>https://pubmed.ncbi.nlm.nih.gov/42788601/</w:t>
      </w:r>
    </w:p>
    <w:p>
      <w:pPr>
        <w:pStyle w:val="Heading2"/>
      </w:pPr>
      <w:r>
        <w:t>Sicherheit von HPV-Impfstoffen in China: Verträglichkeit unter Alltag</w:t>
      </w:r>
    </w:p>
    <w:p>
      <w:r>
        <w:rPr>
          <w:i/>
          <w:color w:val="666666"/>
          <w:sz w:val="18"/>
        </w:rPr>
        <w:t>Xie M et al.  ·  Hum Vaccin Immunother  ·  25.09.2026  ·  PMID 42788243</w:t>
      </w:r>
    </w:p>
    <w:p>
      <w:r>
        <w:t>Postmarketing-Sicherheitsüberwachung von HPV-Impfstoffen in Shandong 2017–2025 mittels Nebenwirkungsmeldungen.</w:t>
      </w:r>
    </w:p>
    <w:p>
      <w:r>
        <w:rPr>
          <w:b/>
        </w:rPr>
        <w:t xml:space="preserve">Ergebnis: </w:t>
      </w:r>
      <w:r>
        <w:t>1.056 Meldungen bei ~13,2 Millionen Dosen (Quote 7,99 pro 100.000 Dosen); 95,46% leichte Reaktionen, 1,42% seltene unerwünschte Ereignisse (u.a. Myalgie, Induration &gt;5 cm, Immunthrombozytopenie). Sicherheitsprofil insgesamt gut.</w:t>
      </w:r>
    </w:p>
    <w:p>
      <w:r>
        <w:rPr>
          <w:b/>
          <w:sz w:val="19"/>
        </w:rPr>
        <w:t xml:space="preserve">Übertragbarkeit: </w:t>
      </w:r>
      <w:r>
        <w:rPr>
          <w:sz w:val="19"/>
        </w:rPr>
        <w:t>China, anderes Meldesystem; bestätigt gutes Sicherheitsprofil auch bei Millionenfach-Anwendung.</w:t>
      </w:r>
    </w:p>
    <w:p>
      <w:r>
        <w:rPr>
          <w:color w:val="5A7D3A"/>
          <w:sz w:val="18"/>
        </w:rPr>
        <w:t>https://pubmed.ncbi.nlm.nih.gov/42788243/</w:t>
      </w:r>
    </w:p>
    <w:p>
      <w:pPr>
        <w:pStyle w:val="Heading2"/>
      </w:pPr>
      <w:r>
        <w:t>Enterovirus-71-Impfung senkt Fallzahlen von Hand-Fuß-Mund-Krankheit</w:t>
      </w:r>
    </w:p>
    <w:p>
      <w:r>
        <w:rPr>
          <w:i/>
          <w:color w:val="666666"/>
          <w:sz w:val="18"/>
        </w:rPr>
        <w:t>Li K et al.  ·  JMIR Public Health Surveill  ·  24.09.2026  ·  PMID 42785728</w:t>
      </w:r>
    </w:p>
    <w:p>
      <w:r>
        <w:t>Überwachungsstudie (2008–2023) in Anhui, China zur Epidemiologie von Hand-Fuß-Mund-Krankheit (HFMD) nach Einführung der EV71-Impfung und während COVID-19-Pandemie.</w:t>
      </w:r>
    </w:p>
    <w:p>
      <w:r>
        <w:rPr>
          <w:b/>
        </w:rPr>
        <w:t xml:space="preserve">Ergebnis: </w:t>
      </w:r>
      <w:r>
        <w:t>Typisierte EV71-Fälle sanken von 45,8% (vor Impfung) auf 3,4% (während COVID-19); Vorhersagemodelle für 2017–2019 zeigten 470 beobachtete vs. 659 vorhergesagte EV71-Fälle 2017 (95%-PI 467–933). Gesamtlast HFMD während COVID-19 substanziell unter Prognose, Todesfälle ab 2020 keine gemeldet.</w:t>
      </w:r>
    </w:p>
    <w:p>
      <w:r>
        <w:rPr>
          <w:b/>
          <w:sz w:val="19"/>
        </w:rPr>
        <w:t xml:space="preserve">Übertragbarkeit: </w:t>
      </w:r>
      <w:r>
        <w:rPr>
          <w:sz w:val="19"/>
        </w:rPr>
        <w:t>China, Überwachungsdaten; zeigt reale Impfeffektivität bei Bevölkerungsergebnissen unter Alltagsbedingungen.</w:t>
      </w:r>
    </w:p>
    <w:p>
      <w:r>
        <w:rPr>
          <w:color w:val="5A7D3A"/>
          <w:sz w:val="18"/>
        </w:rPr>
        <w:t>https://pubmed.ncbi.nlm.nih.gov/42785728/</w:t>
      </w:r>
    </w:p>
    <w:p>
      <w:pPr>
        <w:pStyle w:val="Heading2"/>
      </w:pPr>
      <w:r>
        <w:t>COVID-19-Impfung überwindet HLA-bedingte Unterschiede in Antikörper-Breite</w:t>
      </w:r>
    </w:p>
    <w:p>
      <w:r>
        <w:rPr>
          <w:i/>
          <w:color w:val="666666"/>
          <w:sz w:val="18"/>
        </w:rPr>
        <w:t>Nguyen TTN et al.  ·  Front Immunol  ·  08.09.2026  ·  PMID 42774458</w:t>
      </w:r>
    </w:p>
    <w:p>
      <w:r>
        <w:t>Longitudinale Kohortenstudie an 189 vietnamesischen Erwachsenen vor und nach COVID-19-Impfung, mit HLA-Genotypisierung und Neutralisierungstests gegen Variants of Concern.</w:t>
      </w:r>
    </w:p>
    <w:p>
      <w:r>
        <w:rPr>
          <w:b/>
        </w:rPr>
        <w:t xml:space="preserve">Ergebnis: </w:t>
      </w:r>
      <w:r>
        <w:t>Impfung erhöhte Antikörpertiter gegen Wuhan um 132-fach und gegen Omikron 10-fach; Neutralisierungbreite erweiterte sich substanziell. HLA-Assoziationen bei Zeitpunkt 1 beobachtet, aber Impfung erwies sich als stärkster Faktor für Neutralisierungsbreite bei Monat 15 (p&lt;0,001 in multivariablen Modellen).</w:t>
      </w:r>
    </w:p>
    <w:p>
      <w:r>
        <w:rPr>
          <w:b/>
          <w:sz w:val="19"/>
        </w:rPr>
        <w:t xml:space="preserve">Übertragbarkeit: </w:t>
      </w:r>
      <w:r>
        <w:rPr>
          <w:sz w:val="19"/>
        </w:rPr>
        <w:t>Vietnam, Hybridimmunität; zeigt, dass Impfung genetische Heterogenität in Antikörper-Breite überlagert und Population-spezifische Langzeitimmunität aufbaut.</w:t>
      </w:r>
    </w:p>
    <w:p>
      <w:r>
        <w:rPr>
          <w:color w:val="5A7D3A"/>
          <w:sz w:val="18"/>
        </w:rPr>
        <w:t>https://pubmed.ncbi.nlm.nih.gov/42774458/</w:t>
      </w:r>
    </w:p>
    <w:p>
      <w:pPr>
        <w:pStyle w:val="Heading1"/>
      </w:pPr>
      <w:r>
        <w:t>Aufgenommen am 25.09.2026</w:t>
      </w:r>
    </w:p>
    <w:p>
      <w:pPr>
        <w:pStyle w:val="Heading2"/>
      </w:pPr>
      <w:r>
        <w:t>SARS-CoV-2-Impfstoffverfügbarkeit in ruralen Regionen sub-Sahara-Afrikas – systematisches Reviewprotokoll</w:t>
      </w:r>
    </w:p>
    <w:p>
      <w:r>
        <w:rPr>
          <w:i/>
          <w:color w:val="666666"/>
          <w:sz w:val="18"/>
        </w:rPr>
        <w:t>Nyangi E et al.  ·  BMJ Open  ·  24.09.2026  ·  PMID 42785944</w:t>
      </w:r>
    </w:p>
    <w:p>
      <w:r>
        <w:t>Systematisches Reviewprotokoll zu Verfügbarkeit und Erreichbarkeit von COVID-19-Impfstoffen bei ruraler Bevölkerung in sub-Sahara-Afrika (Suche Oktober 2025–Oktober 2027).</w:t>
      </w:r>
    </w:p>
    <w:p>
      <w:r>
        <w:rPr>
          <w:b/>
        </w:rPr>
        <w:t xml:space="preserve">Ergebnis: </w:t>
      </w:r>
      <w:r>
        <w:t>Systematisches Review und Meta-Analyse in Planung; quantitative Befunde werden mit Modell mit Zufallseffekten gepoolt, qualitative Befunde thematisch synthetisiert. Schwerpunkt: strukturelle Barrieren, schwache Gesundheitssysteme, Ressourcenmangel.</w:t>
      </w:r>
    </w:p>
    <w:p>
      <w:r>
        <w:rPr>
          <w:b/>
          <w:sz w:val="19"/>
        </w:rPr>
        <w:t xml:space="preserve">Übertragbarkeit: </w:t>
      </w:r>
      <w:r>
        <w:rPr>
          <w:sz w:val="19"/>
        </w:rPr>
        <w:t>Sub-Sahara-Afrika, methodisch relevant für Reichweitenanalysen, aber Ressourcenlage sehr unterschiedlich</w:t>
      </w:r>
    </w:p>
    <w:p>
      <w:r>
        <w:rPr>
          <w:color w:val="5A7D3A"/>
          <w:sz w:val="18"/>
        </w:rPr>
        <w:t>https://pubmed.ncbi.nlm.nih.gov/42785944/</w:t>
      </w:r>
    </w:p>
    <w:p>
      <w:pPr>
        <w:pStyle w:val="Heading2"/>
      </w:pPr>
      <w:r>
        <w:t>Kostenloses Grippeimpfangebot erhöht Impfquote und psychisches Wohlbefinden älterer Menschen</w:t>
      </w:r>
    </w:p>
    <w:p>
      <w:r>
        <w:rPr>
          <w:i/>
          <w:color w:val="666666"/>
          <w:sz w:val="18"/>
        </w:rPr>
        <w:t>Wang Y  ·  Front Public Health  ·  09.09.2026  ·  PMID 42780378</w:t>
      </w:r>
    </w:p>
    <w:p>
      <w:r>
        <w:t>Chinesische Differenz-in-Differenzen-Analyse zur Wirkung einer kostenlosen Grippeimpfpolitik für die Bevölkerung ab 60 Jahren auf Impfquoten und Gesundheit.</w:t>
      </w:r>
    </w:p>
    <w:p>
      <w:r>
        <w:rPr>
          <w:b/>
        </w:rPr>
        <w:t xml:space="preserve">Ergebnis: </w:t>
      </w:r>
      <w:r>
        <w:t>Die Impfquote stieg um 23 Prozentpunkte. Die Wahrscheinlichkeit, dass gesundheitliche Probleme die täglichen Aktivitäten einschränken, sank um 16,9 Prozentpunkte; das Gefühl von Energie stieg um 28,1 Prozentpunkte. Der Effekt funktioniert über Verhaltenspfade, nicht nur biologisch.</w:t>
      </w:r>
    </w:p>
    <w:p>
      <w:r>
        <w:rPr>
          <w:b/>
          <w:sz w:val="19"/>
        </w:rPr>
        <w:t xml:space="preserve">Übertragbarkeit: </w:t>
      </w:r>
      <w:r>
        <w:rPr>
          <w:sz w:val="19"/>
        </w:rPr>
        <w:t>China, aber Versorgungsfrage (Kostenfreiheit und Quote) übertragbar auf Deutschland-Diskussionen zur Impffinanzierung</w:t>
      </w:r>
    </w:p>
    <w:p>
      <w:r>
        <w:rPr>
          <w:color w:val="5A7D3A"/>
          <w:sz w:val="18"/>
        </w:rPr>
        <w:t>https://pubmed.ncbi.nlm.nih.gov/42780378/</w:t>
      </w:r>
    </w:p>
    <w:p>
      <w:pPr>
        <w:pStyle w:val="Heading2"/>
      </w:pPr>
      <w:r>
        <w:t>Impfwissen und Eigenimpfung prägen Impfempfehlung durch Gesundheitspersonal</w:t>
      </w:r>
    </w:p>
    <w:p>
      <w:r>
        <w:rPr>
          <w:i/>
          <w:color w:val="666666"/>
          <w:sz w:val="18"/>
        </w:rPr>
        <w:t>Shi H et al.  ·  Front Public Health  ·  09.09.2026  ·  PMID 42780248</w:t>
      </w:r>
    </w:p>
    <w:p>
      <w:r>
        <w:t>Querschnittstudie zu Pfad zwischen Grippeimpfwissen, Eigenimpfung, zukünftiger Impfbereitschaft und Empfehlungsverhalten bei 4.238 Beschäftigten im Gesundheitswesen in Beijing.</w:t>
      </w:r>
    </w:p>
    <w:p>
      <w:r>
        <w:rPr>
          <w:b/>
        </w:rPr>
        <w:t xml:space="preserve">Ergebnis: </w:t>
      </w:r>
      <w:r>
        <w:t>22,1 % waren aktuell geimpft, 43,7 % wollten sich nächste Saison impfen, 82,0 % empfahlen Impfung Patienten. Impfwissen korrelierte mit Impfquote (β = 0,09, p &lt; 0,001); Eigenimpfung vorhersagend für zukünftige Impfbereitschaft (β = 0,47); zukünftige Bereitschaft stärkster Prädiktor für Empfehlung (β = 0,41, p &lt; 0,001).</w:t>
      </w:r>
    </w:p>
    <w:p>
      <w:r>
        <w:rPr>
          <w:b/>
          <w:sz w:val="19"/>
        </w:rPr>
        <w:t xml:space="preserve">Übertragbarkeit: </w:t>
      </w:r>
      <w:r>
        <w:rPr>
          <w:sz w:val="19"/>
        </w:rPr>
        <w:t>China, aber Pfadmodell (Wissen → Verhalten → Empfehlung) systemübergreifend relevant</w:t>
      </w:r>
    </w:p>
    <w:p>
      <w:r>
        <w:rPr>
          <w:color w:val="5A7D3A"/>
          <w:sz w:val="18"/>
        </w:rPr>
        <w:t>https://pubmed.ncbi.nlm.nih.gov/42780248/</w:t>
      </w:r>
    </w:p>
    <w:p>
      <w:pPr>
        <w:pStyle w:val="Heading2"/>
      </w:pPr>
      <w:r>
        <w:t>Impflücken bei Flüchtlingen und Migranten in Uganda: Systematische Analyse von Barrieren und Lösungen</w:t>
      </w:r>
    </w:p>
    <w:p>
      <w:r>
        <w:rPr>
          <w:i/>
          <w:color w:val="666666"/>
          <w:sz w:val="18"/>
        </w:rPr>
        <w:t>Nakachwa SM et al.  ·  Glob Public Health  ·  31.12.2026  ·  PMID 42776600</w:t>
      </w:r>
    </w:p>
    <w:p>
      <w:r>
        <w:t>Narrative Review zu Impfquoten, Barrieren und Maßnahmen bei Flüchtlingen und Migranten in Uganda bis September 2025.</w:t>
      </w:r>
    </w:p>
    <w:p>
      <w:r>
        <w:rPr>
          <w:b/>
        </w:rPr>
        <w:t xml:space="preserve">Ergebnis: </w:t>
      </w:r>
      <w:r>
        <w:t>Flüchtlings-Impfquoten unter nationalen Durchschnitten durch administrative Hürden, Engpässe, Entfernungen, Sprachhindernisse und Desinformation. Erfolgreiche Ansätze: Integration in nationale Systeme, vereinfachte Registrierung, mobile Angebote, Gemeindegesundheitspersonal, grenzübergreifende Datenkoordination.</w:t>
      </w:r>
    </w:p>
    <w:p>
      <w:r>
        <w:rPr>
          <w:b/>
          <w:sz w:val="19"/>
        </w:rPr>
        <w:t xml:space="preserve">Übertragbarkeit: </w:t>
      </w:r>
      <w:r>
        <w:rPr>
          <w:sz w:val="19"/>
        </w:rPr>
        <w:t>Uganda, aber Barrieren und Strategien (mobil, registrierungsarmut) für vulnerable Gruppen übertragbar</w:t>
      </w:r>
    </w:p>
    <w:p>
      <w:r>
        <w:rPr>
          <w:color w:val="5A7D3A"/>
          <w:sz w:val="18"/>
        </w:rPr>
        <w:t>https://pubmed.ncbi.nlm.nih.gov/42776600/</w:t>
      </w:r>
    </w:p>
    <w:p>
      <w:pPr>
        <w:pStyle w:val="Heading2"/>
      </w:pPr>
      <w:r>
        <w:t>Grippeimpfquote bei Fachpersonen in Guangzhou: Unterschiede nach Arbeitsstätte und Wissenstyp</w:t>
      </w:r>
    </w:p>
    <w:p>
      <w:r>
        <w:rPr>
          <w:i/>
          <w:color w:val="666666"/>
          <w:sz w:val="18"/>
        </w:rPr>
        <w:t>Lin D et al.  ·  Expert Rev Vaccines  ·  23.09.2026  ·  PMID 42775460</w:t>
      </w:r>
    </w:p>
    <w:p>
      <w:r>
        <w:t>Querschnittstudie unter 3.153 Gesundheitsfachleuten in Grundversorgung, Krankenhäusern und Schulen zur Grippeimpfquote und Empfehlungsverhalten.</w:t>
      </w:r>
    </w:p>
    <w:p>
      <w:r>
        <w:rPr>
          <w:b/>
        </w:rPr>
        <w:t xml:space="preserve">Ergebnis: </w:t>
      </w:r>
      <w:r>
        <w:t>46,2 % waren mindestens in einer der letzten vier Saisons geimpft, durchschnittliche saisonale Quote 28,2 %. Öffentlichkeitsgesundheit: OR 2,53, Schulgesundheit: OR 0,64 vs. Ärzte. Impfstoffwissen positiv assoziiert mit Impfung (OR 1,09) und Empfehlungsverhalten (OR 1,11).</w:t>
      </w:r>
    </w:p>
    <w:p>
      <w:r>
        <w:rPr>
          <w:b/>
          <w:sz w:val="19"/>
        </w:rPr>
        <w:t xml:space="preserve">Übertragbarkeit: </w:t>
      </w:r>
      <w:r>
        <w:rPr>
          <w:sz w:val="19"/>
        </w:rPr>
        <w:t>China, aber Versorgungsmuster (Quote nach Berufsgruppe) international vergleichbar</w:t>
      </w:r>
    </w:p>
    <w:p>
      <w:r>
        <w:rPr>
          <w:color w:val="5A7D3A"/>
          <w:sz w:val="18"/>
        </w:rPr>
        <w:t>https://pubmed.ncbi.nlm.nih.gov/42775460/</w:t>
      </w:r>
    </w:p>
    <w:p>
      <w:pPr>
        <w:pStyle w:val="Heading2"/>
      </w:pPr>
      <w:r>
        <w:t>HPV-Impfung und HPV-Screening kombiniert für vulnerable Frauen in Europa – Implementierungsprotokoll</w:t>
      </w:r>
    </w:p>
    <w:p>
      <w:r>
        <w:rPr>
          <w:i/>
          <w:color w:val="666666"/>
          <w:sz w:val="18"/>
        </w:rPr>
        <w:t>Mosquera I et al.  ·  Cancer Control  ·  02.09.2026  ·  PMID 42683830</w:t>
      </w:r>
    </w:p>
    <w:p>
      <w:r>
        <w:t>Implementierungsstudienprotokoll zur Kapazität von Gesundheitssystemen, HPV-Impfung und HPV-basiertes Screening kombiniert für vulnerable Gruppen (25–45 Jahre) in Spanien, Schweden, Dänemark, Rumänien und Frankreich anzubieten.</w:t>
      </w:r>
    </w:p>
    <w:p>
      <w:r>
        <w:rPr>
          <w:b/>
        </w:rPr>
        <w:t xml:space="preserve">Ergebnis: </w:t>
      </w:r>
      <w:r>
        <w:t>Protokoll umfasst Schreibtischreview, Vor-Ort-Prüfungen und Stakeholder-Interviews. Ziel: Systemkapazität messen und Strategien zur HPV-Schneller-Elimination in Europa tailoriert stärken. Studie läuft.</w:t>
      </w:r>
    </w:p>
    <w:p>
      <w:r>
        <w:rPr>
          <w:b/>
          <w:sz w:val="19"/>
        </w:rPr>
        <w:t xml:space="preserve">Übertragbarkeit: </w:t>
      </w:r>
      <w:r>
        <w:rPr>
          <w:sz w:val="19"/>
        </w:rPr>
        <w:t>Mehrere europäische Länder (DACH-nahes System), vergleichbare nationale Gesundheitssysteme</w:t>
      </w:r>
    </w:p>
    <w:p>
      <w:r>
        <w:rPr>
          <w:color w:val="5A7D3A"/>
          <w:sz w:val="18"/>
        </w:rPr>
        <w:t>https://pubmed.ncbi.nlm.nih.gov/42683830/</w:t>
      </w:r>
    </w:p>
    <w:p>
      <w:pPr>
        <w:pStyle w:val="Heading1"/>
      </w:pPr>
      <w:r>
        <w:t>Aufgenommen am 24.09.2026</w:t>
      </w:r>
    </w:p>
    <w:p>
      <w:pPr>
        <w:pStyle w:val="Heading2"/>
      </w:pPr>
      <w:r>
        <w:t>COVID-19-Impfung: Alter und Bildung bestimmen Annahme in Ostpolen stärker als Lebensstil</w:t>
      </w:r>
    </w:p>
    <w:p>
      <w:r>
        <w:rPr>
          <w:i/>
          <w:color w:val="666666"/>
          <w:sz w:val="18"/>
        </w:rPr>
        <w:t>Karczmarz S et al.  ·  Med Sci Monit  ·  23.09.2026  ·  PMID 42776929</w:t>
      </w:r>
    </w:p>
    <w:p>
      <w:r>
        <w:t>Querschnittsstudie an 458 Primärversorgungspatienten in Polen untersuchte, welche Faktoren mit vollständiger COVID-19-Impfung assoziiert sind.</w:t>
      </w:r>
    </w:p>
    <w:p>
      <w:r>
        <w:rPr>
          <w:b/>
        </w:rPr>
        <w:t xml:space="preserve">Ergebnis: </w:t>
      </w:r>
      <w:r>
        <w:t>Vollständige Impfung war assoziiert mit höherem Alter, höherer Bildung und Rentnerstatus; ländlicher Wohnort zeigte unerwartet höhere Impfquote als urban; Lifestyle-Profile zeigten keine konsistente unabhängige Assoziation mit Impfstatus.</w:t>
      </w:r>
    </w:p>
    <w:p>
      <w:r>
        <w:rPr>
          <w:b/>
          <w:sz w:val="19"/>
        </w:rPr>
        <w:t xml:space="preserve">Übertragbarkeit: </w:t>
      </w:r>
      <w:r>
        <w:rPr>
          <w:sz w:val="19"/>
        </w:rPr>
        <w:t>Polen, vergleichbares Versicherungssystem, dokumentiert Rollen von Zugang und Vertrauen</w:t>
      </w:r>
    </w:p>
    <w:p>
      <w:r>
        <w:rPr>
          <w:color w:val="5A7D3A"/>
          <w:sz w:val="18"/>
        </w:rPr>
        <w:t>https://pubmed.ncbi.nlm.nih.gov/42776929/</w:t>
      </w:r>
    </w:p>
    <w:p>
      <w:pPr>
        <w:pStyle w:val="Heading2"/>
      </w:pPr>
      <w:r>
        <w:t>Moderate bis hohe körperliche Aktivität verstärkt COVID-19-Antikörperreaktion unmittelbar nach Impfung</w:t>
      </w:r>
    </w:p>
    <w:p>
      <w:r>
        <w:rPr>
          <w:i/>
          <w:color w:val="666666"/>
          <w:sz w:val="18"/>
        </w:rPr>
        <w:t>Voulgaridi I et al.  ·  Front Public Health  ·  08.09.2026  ·  PMID 42774463</w:t>
      </w:r>
    </w:p>
    <w:p>
      <w:r>
        <w:t>Längsschnitt-Kohortenstudie mit 641 Erwachsenen untersuchte Assoziation zwischen Bewegungsaktivität und Anti-SARS-CoV-2-IgG/IgA-Antikörpern an den Tagen 21, 42, 90 und 180 nach COVID-19-Impfung.</w:t>
      </w:r>
    </w:p>
    <w:p>
      <w:r>
        <w:rPr>
          <w:b/>
        </w:rPr>
        <w:t xml:space="preserve">Ergebnis: </w:t>
      </w:r>
      <w:r>
        <w:t>IgG-Seropositividät an Tag 21 war höher bei moderater (92,6%) oder hoher (97,0%) Aktivität als bei niedriger (70,4%, p&lt;0,001); älteres Alter mit reduzierten IgG-Titern assoziiert (alle Zeitpunkte p&lt;0,001); Komorbidität mit niedrigeren Titern verknüpft.</w:t>
      </w:r>
    </w:p>
    <w:p>
      <w:r>
        <w:rPr>
          <w:b/>
          <w:sz w:val="19"/>
        </w:rPr>
        <w:t xml:space="preserve">Übertragbarkeit: </w:t>
      </w:r>
      <w:r>
        <w:rPr>
          <w:sz w:val="19"/>
        </w:rPr>
        <w:t>Griechenland, europäisches Gesundheitssystem, vergleichbare Impfprogramme</w:t>
      </w:r>
    </w:p>
    <w:p>
      <w:r>
        <w:rPr>
          <w:color w:val="5A7D3A"/>
          <w:sz w:val="18"/>
        </w:rPr>
        <w:t>https://pubmed.ncbi.nlm.nih.gov/42774463/</w:t>
      </w:r>
    </w:p>
    <w:p>
      <w:pPr>
        <w:pStyle w:val="Heading2"/>
      </w:pPr>
      <w:r>
        <w:t>Tdap-Sicherheit im VAERS-Register: Radiculitis bei Frauen erhöht, aber Schwangerschaft und Alter unbedenklich</w:t>
      </w:r>
    </w:p>
    <w:p>
      <w:r>
        <w:rPr>
          <w:i/>
          <w:color w:val="666666"/>
          <w:sz w:val="18"/>
        </w:rPr>
        <w:t>Song W et al.  ·  Front Cell Infect Microbiol  ·  08.09.2026  ·  PMID 42774241</w:t>
      </w:r>
    </w:p>
    <w:p>
      <w:r>
        <w:t>Post-Marketing-Surveillance von 20.128 VAERS-Meldungen zu Tdap (2015–2025) mit Disproportionalitätsanalyse nach Alter, Geschlecht und Schwangerschaftsstatus.</w:t>
      </w:r>
    </w:p>
    <w:p>
      <w:r>
        <w:rPr>
          <w:b/>
        </w:rPr>
        <w:t xml:space="preserve">Ergebnis: </w:t>
      </w:r>
      <w:r>
        <w:t>95,8% nicht-schwerwiegende Fälle; häufigste Signale: Injektionsstelle Erythem und Ödem; 70,3% Ereignisse innerhalb 1 Tag; bei Schwangeren (n=744): keine unerwarteten Sicherheitssignale; Adoleszenten: Opisthotonus erhöht (ROR=8,55); nicht-schwangere Frauen: Brachialradiculitis (ROR=14,42) und Bursa-Flüssigkeitsansammlung (ROR=21,22) erhöht.</w:t>
      </w:r>
    </w:p>
    <w:p>
      <w:r>
        <w:rPr>
          <w:b/>
          <w:sz w:val="19"/>
        </w:rPr>
        <w:t xml:space="preserve">Übertragbarkeit: </w:t>
      </w:r>
      <w:r>
        <w:rPr>
          <w:sz w:val="19"/>
        </w:rPr>
        <w:t>USA-VAERS-Daten, aber Pharmakovigilanz-Methode international verwendbar</w:t>
      </w:r>
    </w:p>
    <w:p>
      <w:r>
        <w:rPr>
          <w:color w:val="5A7D3A"/>
          <w:sz w:val="18"/>
        </w:rPr>
        <w:t>https://pubmed.ncbi.nlm.nih.gov/42774241/</w:t>
      </w:r>
    </w:p>
    <w:p>
      <w:pPr>
        <w:pStyle w:val="Heading2"/>
      </w:pPr>
      <w:r>
        <w:t>HPV16/18-Antikörper-Überwachung: Neutralisierungstest, cCLIA und IgG im Vergleich für Impfquoten-Monitoring</w:t>
      </w:r>
    </w:p>
    <w:p>
      <w:r>
        <w:rPr>
          <w:i/>
          <w:color w:val="666666"/>
          <w:sz w:val="18"/>
        </w:rPr>
        <w:t>Mao W et al.  ·  Front Immunol  ·  08.09.2026  ·  PMID 42774225</w:t>
      </w:r>
    </w:p>
    <w:p>
      <w:r>
        <w:t>Querschnitt- und Längsschnittstudie mit vollständig Geimpften und Ungeimpften verglich drei serologische Assays (Pseudovirionen-Neutralisierung, kompetitiver Chemilumineszenz-Immunoassay, indirekte IgG) für HPV16/18-Antikörper-Nachweis nach Vakzination.</w:t>
      </w:r>
    </w:p>
    <w:p>
      <w:r>
        <w:rPr>
          <w:b/>
        </w:rPr>
        <w:t xml:space="preserve">Ergebnis: </w:t>
      </w:r>
      <w:r>
        <w:t>Alle drei Assays reflektierten Impfantwort-Trends; cCLIA stabiler gegenüber Neutralisierungstest als IgG-Assay, besonders longitudinal und nach 2. Dosis; IgG zeigte niedrigere Stabilität für funktionale Klassifikation, aber konsistente Erfassung von Bevölkerungs-Reaktionen; persistente numerische Unterschiede bedeuten Assays nicht direkt austauschbar.</w:t>
      </w:r>
    </w:p>
    <w:p>
      <w:r>
        <w:rPr>
          <w:b/>
          <w:sz w:val="19"/>
        </w:rPr>
        <w:t xml:space="preserve">Übertragbarkeit: </w:t>
      </w:r>
      <w:r>
        <w:rPr>
          <w:sz w:val="19"/>
        </w:rPr>
        <w:t>China, aber Assay-Vergleich für HPV-Monitoring-Strategien europaweit relevant</w:t>
      </w:r>
    </w:p>
    <w:p>
      <w:r>
        <w:rPr>
          <w:color w:val="5A7D3A"/>
          <w:sz w:val="18"/>
        </w:rPr>
        <w:t>https://pubmed.ncbi.nlm.nih.gov/42774225/</w:t>
      </w:r>
    </w:p>
    <w:p>
      <w:pPr>
        <w:pStyle w:val="Heading2"/>
      </w:pPr>
      <w:r>
        <w:t>Hochdosis-Grippeimpfstoff für gebrechliche Ältere – Effektivität variiert nach Frailty-Risiko</w:t>
      </w:r>
    </w:p>
    <w:p>
      <w:r>
        <w:rPr>
          <w:i/>
          <w:color w:val="666666"/>
          <w:sz w:val="18"/>
        </w:rPr>
        <w:t>Espersen C et al.  ·  Lancet Healthy Longev  ·  17.09.2026  ·  PMID 42753782</w:t>
      </w:r>
    </w:p>
    <w:p>
      <w:r>
        <w:t>Prespecified Analyse der DANFLU-2-Studie mit 332.438 Personen ≥65 Jahren aus Dänemark verglich Hochdosis- vs. Standarddosis-Influenzavakzin nach Gebrechlichkeitsrisiko bezüglich Hospitalisierungen.</w:t>
      </w:r>
    </w:p>
    <w:p>
      <w:r>
        <w:rPr>
          <w:b/>
        </w:rPr>
        <w:t xml:space="preserve">Ergebnis: </w:t>
      </w:r>
      <w:r>
        <w:t>Bei niedriger Gebrechlichkeit: relative Vakzin-Effektivität (HD vs. SD) 0,2% (95% KI −10,8–10,2); bei mittlerer: 13,1% (−0,4–24,8); bei hoher: 19,9% (−10,3–42,1). Höhere Effektivitätsgewinne mit steigendem Gebrechlichkeitsrisiko, aber 95%-KIs überschreiten Null; Effekt-Modifikation nicht signifikant in vorgegebenen Kategorien.</w:t>
      </w:r>
    </w:p>
    <w:p>
      <w:r>
        <w:rPr>
          <w:b/>
          <w:sz w:val="19"/>
        </w:rPr>
        <w:t xml:space="preserve">Übertragbarkeit: </w:t>
      </w:r>
      <w:r>
        <w:rPr>
          <w:sz w:val="19"/>
        </w:rPr>
        <w:t>Dänemark, vergleichbares skandinavisches System mit Register und Krankenhausdaten</w:t>
      </w:r>
    </w:p>
    <w:p>
      <w:r>
        <w:rPr>
          <w:color w:val="5A7D3A"/>
          <w:sz w:val="18"/>
        </w:rPr>
        <w:t>https://pubmed.ncbi.nlm.nih.gov/42753782/</w:t>
      </w:r>
    </w:p>
    <w:p>
      <w:pPr>
        <w:pStyle w:val="Heading2"/>
      </w:pPr>
      <w:r>
        <w:t>Langzeitkomplikationen nach CAR-T-Zelltherapie: Infektionen und Sekundärmalignome überwiegen</w:t>
      </w:r>
    </w:p>
    <w:p>
      <w:r>
        <w:rPr>
          <w:i/>
          <w:color w:val="666666"/>
          <w:sz w:val="18"/>
        </w:rPr>
        <w:t>Eisenmann M et al.  ·  Curr Oncol  ·  01.08.2026  ·  PMID 42645366</w:t>
      </w:r>
    </w:p>
    <w:p>
      <w:r>
        <w:t>Scoping Review von 18 Primärstudien (2018 an) zu späten Nebenwirkungen (≥12 Monate nach Infusion) bei Patienten mit EMA-zugelassenen CAR-T-Produkten.</w:t>
      </w:r>
    </w:p>
    <w:p>
      <w:r>
        <w:rPr>
          <w:b/>
        </w:rPr>
        <w:t xml:space="preserve">Ergebnis: </w:t>
      </w:r>
      <w:r>
        <w:t>Spätkomplikationen konzentrierten sich auf Infektionen und Sekundärmalignome; Nicht-Rückfall-Mortalität in 7 Studien berichtet, Infektionen und Sekundärmalignome häufig als Todesursachen genannt; systematische Übersichtsarbeit ohne neue Ziffern, aber klare Kategorisierung der Evidenz.</w:t>
      </w:r>
    </w:p>
    <w:p>
      <w:r>
        <w:rPr>
          <w:b/>
          <w:sz w:val="19"/>
        </w:rPr>
        <w:t xml:space="preserve">Übertragbarkeit: </w:t>
      </w:r>
      <w:r>
        <w:rPr>
          <w:sz w:val="19"/>
        </w:rPr>
        <w:t>Europa, EMA-Daten, aber Übersicht ohne neue empirische Effekte – nur für Systemwissen</w:t>
      </w:r>
    </w:p>
    <w:p>
      <w:r>
        <w:rPr>
          <w:color w:val="5A7D3A"/>
          <w:sz w:val="18"/>
        </w:rPr>
        <w:t>https://pubmed.ncbi.nlm.nih.gov/42645366/</w:t>
      </w:r>
    </w:p>
    <w:p>
      <w:pPr>
        <w:pStyle w:val="Heading1"/>
      </w:pPr>
      <w:r>
        <w:t>Aufgenommen am 23.09.2026</w:t>
      </w:r>
    </w:p>
    <w:p>
      <w:pPr>
        <w:pStyle w:val="Heading2"/>
      </w:pPr>
      <w:r>
        <w:t>Impfkettenmanagement in koreanischen Gesundheitseinrichtungen: Defizite bei Temperaturüberwachung und Notstrom</w:t>
      </w:r>
    </w:p>
    <w:p>
      <w:r>
        <w:rPr>
          <w:i/>
          <w:color w:val="666666"/>
          <w:sz w:val="18"/>
        </w:rPr>
        <w:t>Kang CR et al.  ·  J Korean Med Sci  ·  21.09.2026  ·  PMID 42773072</w:t>
      </w:r>
    </w:p>
    <w:p>
      <w:r>
        <w:t>Nationale Querschnittserhebung zur Evaluierung der Impfkühllager-Praktiken in 53 südkoreanischen Immunisierungsanbietern (43 private Einrichtungen, 10 öffentliche Gesundheitszentren).</w:t>
      </w:r>
    </w:p>
    <w:p>
      <w:r>
        <w:rPr>
          <w:b/>
        </w:rPr>
        <w:t xml:space="preserve">Ergebnis: </w:t>
      </w:r>
      <w:r>
        <w:t>Alle Einrichtungen hatten dedizierte Impfkühlschränke (100 %), aber nur 73,6 % kontinuierliche Temperaturüberwachung auf allen Geräten; Alarmsysteme in 83,0 %; Notfallpläne in 52,8 %, regelmäßig getestet nur 40,9 %. Dokumentation und Entsorgung erfolgten regelkonform, aber Infrastruktur-Sicherheit ist lückenhaft.</w:t>
      </w:r>
    </w:p>
    <w:p>
      <w:r>
        <w:rPr>
          <w:b/>
          <w:sz w:val="19"/>
        </w:rPr>
        <w:t xml:space="preserve">Übertragbarkeit: </w:t>
      </w:r>
      <w:r>
        <w:rPr>
          <w:sz w:val="19"/>
        </w:rPr>
        <w:t>Südkorea, vergleichbare Infrastruktur-Herausforderungen, nicht direktes Deutschland-Modell</w:t>
      </w:r>
    </w:p>
    <w:p>
      <w:r>
        <w:rPr>
          <w:color w:val="5A7D3A"/>
          <w:sz w:val="18"/>
        </w:rPr>
        <w:t>https://pubmed.ncbi.nlm.nih.gov/42773072/</w:t>
      </w:r>
    </w:p>
    <w:p>
      <w:pPr>
        <w:pStyle w:val="Heading2"/>
      </w:pPr>
      <w:r>
        <w:t>COVID-19-Impfeffektivität: Test-negativ vs. Kohortenstudien liefern vergleichbare Ergebnisse</w:t>
      </w:r>
    </w:p>
    <w:p>
      <w:r>
        <w:rPr>
          <w:i/>
          <w:color w:val="666666"/>
          <w:sz w:val="18"/>
        </w:rPr>
        <w:t>Sukik L et al.  ·  Int J Epidemiol  ·  18.08.2026  ·  PMID 42772774</w:t>
      </w:r>
    </w:p>
    <w:p>
      <w:r>
        <w:t>Direkter Methodenvergleich: Test-negativ-Fall-Kontroll- vs. retrospektive Kohortenstudien zur COVID-19-Impfeffektivität in Katar mit identischer Population und Datenquelle.</w:t>
      </w:r>
    </w:p>
    <w:p>
      <w:r>
        <w:rPr>
          <w:b/>
        </w:rPr>
        <w:t xml:space="preserve">Ergebnis: </w:t>
      </w:r>
      <w:r>
        <w:t>BNT162b2-Effektivität gegen Infektion im Test-negativ-Design 71,0 % vs. Kohorten-Design 78,0 % (nach Korrektur für Testrate); gegen schwere COVID-19 96,3 % vs. 98,0 %. Beide Designs zeigten ähnliche Wirksamkeitsverluste. Methodische Unterschiede sind kleiner als erwartet.</w:t>
      </w:r>
    </w:p>
    <w:p>
      <w:r>
        <w:rPr>
          <w:b/>
          <w:sz w:val="19"/>
        </w:rPr>
        <w:t xml:space="preserve">Übertragbarkeit: </w:t>
      </w:r>
      <w:r>
        <w:rPr>
          <w:sz w:val="19"/>
        </w:rPr>
        <w:t>Katar (nicht Deutschland), aber Methodenvergleich für alle Impfstoff-Studien übertragbar</w:t>
      </w:r>
    </w:p>
    <w:p>
      <w:r>
        <w:rPr>
          <w:color w:val="5A7D3A"/>
          <w:sz w:val="18"/>
        </w:rPr>
        <w:t>https://pubmed.ncbi.nlm.nih.gov/42772774/</w:t>
      </w:r>
    </w:p>
    <w:p>
      <w:pPr>
        <w:pStyle w:val="Heading2"/>
      </w:pPr>
      <w:r>
        <w:t>WHO-Einfachdosis-Empfehlung für HPV-Impfung erhöhte Ländereinführungen um 22 weitere Länder</w:t>
      </w:r>
    </w:p>
    <w:p>
      <w:r>
        <w:rPr>
          <w:i/>
          <w:color w:val="666666"/>
          <w:sz w:val="18"/>
        </w:rPr>
        <w:t>Suh J et al.  ·  Expert Rev Vaccines  ·  22.09.2026  ·  PMID 42770688</w:t>
      </w:r>
    </w:p>
    <w:p>
      <w:r>
        <w:t>Analyse von Einflussfaktoren auf nationale HPV-Impfstoff-Einführungsraten in Ländern mit niedrigem und mittlerem Einkommen 2006–2025 mittels GLM und Changepoint-Analyse.</w:t>
      </w:r>
    </w:p>
    <w:p>
      <w:r>
        <w:rPr>
          <w:b/>
        </w:rPr>
        <w:t xml:space="preserve">Ergebnis: </w:t>
      </w:r>
      <w:r>
        <w:t>WHO-Einfachdosis-Empfehlung 2022 war der stärkste assoziierte Faktor; Gavi-Finanzierungserweiterung (2017–2025) auch bedeutsam. Modellprognosen: 22,46 zusätzliche nationale HPV-Impfstoff-Einführungen in LMIC allein durch die Einfachdosis-Empfehlung. Signifikanter Anstieg 2022.</w:t>
      </w:r>
    </w:p>
    <w:p>
      <w:r>
        <w:rPr>
          <w:b/>
          <w:sz w:val="19"/>
        </w:rPr>
        <w:t xml:space="preserve">Übertragbarkeit: </w:t>
      </w:r>
      <w:r>
        <w:rPr>
          <w:sz w:val="19"/>
        </w:rPr>
        <w:t>Globale Politikanalyse, zeigt Hebel für Impfprogramme weltweit, nicht Deutschland-spezifisch</w:t>
      </w:r>
    </w:p>
    <w:p>
      <w:r>
        <w:rPr>
          <w:color w:val="5A7D3A"/>
          <w:sz w:val="18"/>
        </w:rPr>
        <w:t>https://pubmed.ncbi.nlm.nih.gov/42770688/</w:t>
      </w:r>
    </w:p>
    <w:p>
      <w:pPr>
        <w:pStyle w:val="Heading2"/>
      </w:pPr>
      <w:r>
        <w:t>Impfablehnung in der Türkei: Eltern und Gesundheitspersonal berichten von Vertrauenskrise</w:t>
      </w:r>
    </w:p>
    <w:p>
      <w:r>
        <w:rPr>
          <w:i/>
          <w:color w:val="666666"/>
          <w:sz w:val="18"/>
        </w:rPr>
        <w:t>Sezer E et al.  ·  Front Public Health  ·  07.09.2026  ·  PMID 42769268</w:t>
      </w:r>
    </w:p>
    <w:p>
      <w:r>
        <w:t>Qualitative Studie mit 19 impfablehnenden Eltern und 21 Fachpersonen (Ärzte, Hebammen) zur Erkundung von Gründen und strukturellen Barrieren für Impfverweigerung in der Türkei 2017.</w:t>
      </w:r>
    </w:p>
    <w:p>
      <w:r>
        <w:rPr>
          <w:b/>
        </w:rPr>
        <w:t xml:space="preserve">Ergebnis: </w:t>
      </w:r>
      <w:r>
        <w:t>Vier zentrale ethische Spannungsfelder: (1) Lücke zwischen informierter Ablehnung und uninformierter Wahl durch Informationsasymmetrie; (2) Vertrauenskrise in Gesundheitsinstitutionen durch leistungsbasierte Bezahlung von Ärzten; (3) Konflikt zwischen religiöser und medizinischer Autorität; (4) angefochtene elterliche Autonomie in patriarchalen Strukturen. Leistungsbezahlte Ärzte dokumentieren lieber, als dass sie Gespräche führen.</w:t>
      </w:r>
    </w:p>
    <w:p>
      <w:r>
        <w:rPr>
          <w:b/>
          <w:sz w:val="19"/>
        </w:rPr>
        <w:t xml:space="preserve">Übertragbarkeit: </w:t>
      </w:r>
      <w:r>
        <w:rPr>
          <w:sz w:val="19"/>
        </w:rPr>
        <w:t>Türkei (LMIC), strukturelle Probleme aber in allen Systemen mit Leistungsvergütung relevant</w:t>
      </w:r>
    </w:p>
    <w:p>
      <w:r>
        <w:rPr>
          <w:color w:val="5A7D3A"/>
          <w:sz w:val="18"/>
        </w:rPr>
        <w:t>https://pubmed.ncbi.nlm.nih.gov/42769268/</w:t>
      </w:r>
    </w:p>
    <w:p>
      <w:pPr>
        <w:pStyle w:val="Heading2"/>
      </w:pPr>
      <w:r>
        <w:t>Adenovirus-Serotyp-Wechsel steigerte Ebola-Impfstoff-Immunantwort in Mäusen</w:t>
      </w:r>
    </w:p>
    <w:p>
      <w:r>
        <w:rPr>
          <w:i/>
          <w:color w:val="666666"/>
          <w:sz w:val="18"/>
        </w:rPr>
        <w:t>Wiggins J et al.  ·  J Med Virol  ·  Sept. 2026  ·  PMID 42765626</w:t>
      </w:r>
    </w:p>
    <w:p>
      <w:r>
        <w:t>Vergleichende Laborstu die mit verschiedenen Adenovirus-Vektoren und Immunisierungsrouten zur Optimierung der Ebolavirus-Glykoproteinin-Immunogenität.</w:t>
      </w:r>
    </w:p>
    <w:p>
      <w:r>
        <w:rPr>
          <w:b/>
        </w:rPr>
        <w:t xml:space="preserve">Ergebnis: </w:t>
      </w:r>
      <w:r>
        <w:t>Species-C-Vektoren (Ad5, Ad6) zeigten starke Antikörperreaktionen und schnelle Klassenumwandlung zu IgG im Vergleich zu Species B und D. Serotyp-Wechsel-Schemata erhöhten Antikörperniveaus und erzeugte robuste T-Zell-Reaktionen bei intramuskulärer Gabe. Intranasale Gabe induzierte nachweisbares IgA, aber keine messbaren T-Zell-Antworten – routenabhängige Immunkompartimentalisierung.</w:t>
      </w:r>
    </w:p>
    <w:p>
      <w:r>
        <w:rPr>
          <w:b/>
          <w:sz w:val="19"/>
        </w:rPr>
        <w:t xml:space="preserve">Übertragbarkeit: </w:t>
      </w:r>
      <w:r>
        <w:rPr>
          <w:sz w:val="19"/>
        </w:rPr>
        <w:t>Präklinische Mausstudien, Impfstoff-Entwicklungsphase, keine direkten Versorgungsdaten</w:t>
      </w:r>
    </w:p>
    <w:p>
      <w:r>
        <w:rPr>
          <w:color w:val="5A7D3A"/>
          <w:sz w:val="18"/>
        </w:rPr>
        <w:t>https://pubmed.ncbi.nlm.nih.gov/42765626/</w:t>
      </w:r>
    </w:p>
    <w:p>
      <w:pPr>
        <w:pStyle w:val="Heading2"/>
      </w:pPr>
      <w:r>
        <w:t>MMR-Impf-Anaphylaxie durch Schweineglatine: Fallbericht und praktische Empfehlungen</w:t>
      </w:r>
    </w:p>
    <w:p>
      <w:r>
        <w:rPr>
          <w:i/>
          <w:color w:val="666666"/>
          <w:sz w:val="18"/>
        </w:rPr>
        <w:t>Iordachescu M et al.  ·  Rev Med Liege  ·  Sept. 2026  ·  PMID 42751843</w:t>
      </w:r>
    </w:p>
    <w:p>
      <w:r>
        <w:t>Zwei pädiatrische Fallberichte von Anaphylaxie nach M-M-RVaxPro®-Impfung, zugeordnet der Schweineglatine (14,5 mg/Dosis) als Stabilisator.</w:t>
      </w:r>
    </w:p>
    <w:p>
      <w:r>
        <w:rPr>
          <w:b/>
        </w:rPr>
        <w:t xml:space="preserve">Ergebnis: </w:t>
      </w:r>
      <w:r>
        <w:t>Beide Patienten entwickelten schwere Reaktionen nach Auffrischung mit positiven Haut- und Bluttests für Gelatin; Allergien gegen Neomycin, Latex und Chlorhexidin ausgeschlossen. Empfehlungen: Vermeidung gelatinehaltiger Impfstoffe, Substitution mit gelatinefreien Alternativen (Priorix®), orale Herausforderungsprobe für Lebensmitteltoleranz, Epinephrin-Notfallset, Spitalüberwachung bei Mastzellstörungen.</w:t>
      </w:r>
    </w:p>
    <w:p>
      <w:r>
        <w:rPr>
          <w:b/>
          <w:sz w:val="19"/>
        </w:rPr>
        <w:t xml:space="preserve">Übertragbarkeit: </w:t>
      </w:r>
      <w:r>
        <w:rPr>
          <w:sz w:val="19"/>
        </w:rPr>
        <w:t>Belgien, europäische Fallberichte, Sicherheitserkenntnis für alle Mastzell-Erkrankungen</w:t>
      </w:r>
    </w:p>
    <w:p>
      <w:r>
        <w:rPr>
          <w:color w:val="5A7D3A"/>
          <w:sz w:val="18"/>
        </w:rPr>
        <w:t>https://pubmed.ncbi.nlm.nih.gov/42751843/</w:t>
      </w:r>
    </w:p>
    <w:p>
      <w:pPr>
        <w:pStyle w:val="Heading2"/>
      </w:pPr>
      <w:r>
        <w:t>RSV-Impfstoff verhinderte 70 % der Hospitalisierungen bei Erwachsenen</w:t>
      </w:r>
    </w:p>
    <w:p>
      <w:r>
        <w:rPr>
          <w:i/>
          <w:color w:val="666666"/>
          <w:sz w:val="18"/>
        </w:rPr>
        <w:t>Lassen MCH et al.  ·  NEJM Evid  ·  29.08.2026  ·  PMID 42666095</w:t>
      </w:r>
    </w:p>
    <w:p>
      <w:r>
        <w:t>Pragmatische randomisierte Studie zum Schutz der bivalenten RSV-Präfusion-F-Impfung vor RSV-Hospitalisierung in Dänemark und Spanien.</w:t>
      </w:r>
    </w:p>
    <w:p>
      <w:r>
        <w:rPr>
          <w:b/>
        </w:rPr>
        <w:t xml:space="preserve">Ergebnis: </w:t>
      </w:r>
      <w:r>
        <w:t>Von 513.358 randomisierten Teilnehmern lag die Impfeffektivität gegen RSV-Atemwegserkrankungen-Hospitalisierung bei 70,3 % (95 %-KI 49,7–83,2), gegen untere Atemwege bei 71,1 % (45,4–85,7). Schwere Nebenwirkungen traten in 2,0 % der Impfgruppe vs. 2,2 % der Kontrollgruppe auf – ein wirksamer und sicherer Impfstoff unter Alltagsbedingungen.</w:t>
      </w:r>
    </w:p>
    <w:p>
      <w:r>
        <w:rPr>
          <w:b/>
          <w:sz w:val="19"/>
        </w:rPr>
        <w:t xml:space="preserve">Übertragbarkeit: </w:t>
      </w:r>
      <w:r>
        <w:rPr>
          <w:sz w:val="19"/>
        </w:rPr>
        <w:t>Dänemark/Spanien, nationale Versicherungsdaten und Routineüberwachung, nicht USA-abhängig</w:t>
      </w:r>
    </w:p>
    <w:p>
      <w:r>
        <w:rPr>
          <w:color w:val="5A7D3A"/>
          <w:sz w:val="18"/>
        </w:rPr>
        <w:t>https://pubmed.ncbi.nlm.nih.gov/42666095/</w:t>
      </w:r>
    </w:p>
    <w:p>
      <w:pPr>
        <w:pStyle w:val="Heading1"/>
      </w:pPr>
      <w:r>
        <w:t>Aufgenommen am 22.09.2026</w:t>
      </w:r>
    </w:p>
    <w:p>
      <w:pPr>
        <w:pStyle w:val="Heading2"/>
      </w:pPr>
      <w:r>
        <w:t>Impfbelastung bei Kindern senken: Leitlinie 2026 zu Schmerz und Angst</w:t>
      </w:r>
    </w:p>
    <w:p>
      <w:r>
        <w:rPr>
          <w:i/>
          <w:color w:val="666666"/>
          <w:sz w:val="18"/>
        </w:rPr>
        <w:t>Taddio A et al.  ·  CMAJ  ·  20.09.2026  ·  PMID 42767684</w:t>
      </w:r>
    </w:p>
    <w:p>
      <w:r>
        <w:t>Systematische Übersichtsarbeiten zu 16 evidenzgestützten Empfehlungen gegen Impfangst und Schmerzen in fünf Domänen (Prozess, Technik, Körperlage, Medikament, Psychologie).</w:t>
      </w:r>
    </w:p>
    <w:p>
      <w:r>
        <w:rPr>
          <w:b/>
        </w:rPr>
        <w:t xml:space="preserve">Ergebnis: </w:t>
      </w:r>
      <w:r>
        <w:t>7 starke Empfehlungen mit moderater bis hoher Evidenz (z. B. mehrkomponentige Prozessinterventionen, orale Ernährung für Säuglinge); 9 bedingte Empfehlungen bei niedriger Evidenz. Empfehlungen zielgruppenspezifisch für Fachpersonen, Impflinge und Angehörige.</w:t>
      </w:r>
    </w:p>
    <w:p>
      <w:r>
        <w:rPr>
          <w:b/>
          <w:sz w:val="19"/>
        </w:rPr>
        <w:t xml:space="preserve">Übertragbarkeit: </w:t>
      </w:r>
      <w:r>
        <w:rPr>
          <w:sz w:val="19"/>
        </w:rPr>
        <w:t>Kanada, GRADE-Methodik, Impfpraxis in Hocheinkommensländern.</w:t>
      </w:r>
    </w:p>
    <w:p>
      <w:r>
        <w:rPr>
          <w:color w:val="5A7D3A"/>
          <w:sz w:val="18"/>
        </w:rPr>
        <w:t>https://pubmed.ncbi.nlm.nih.gov/42767684/</w:t>
      </w:r>
    </w:p>
    <w:p>
      <w:pPr>
        <w:pStyle w:val="Heading2"/>
      </w:pPr>
      <w:r>
        <w:t>HPV-Impfbereitschaft bei Frauen in Sierra Leone: hohe Akzeptanz trotz Wissenslücken</w:t>
      </w:r>
    </w:p>
    <w:p>
      <w:r>
        <w:rPr>
          <w:i/>
          <w:color w:val="666666"/>
          <w:sz w:val="18"/>
        </w:rPr>
        <w:t>Everman S et al.  ·  J Health Care Poor Underserved  ·  2026  ·  PMID 42766516</w:t>
      </w:r>
    </w:p>
    <w:p>
      <w:r>
        <w:t>Querschnittsstudie zur Akzeptanz der HPV-Impfung bei 189 Frauen in ländlichen und städtischen Gegenden Sierra Leones, untersucht Wissen über Gebärmutterhalskrebs und Impfverhalten.</w:t>
      </w:r>
    </w:p>
    <w:p>
      <w:r>
        <w:rPr>
          <w:b/>
        </w:rPr>
        <w:t xml:space="preserve">Ergebnis: </w:t>
      </w:r>
      <w:r>
        <w:t>Geringe Awareness für Gebärmutterhalskrebs und HPV-Impfung. Breite Willingness zur Impfung. Statistisch signifikante positive Assoziation zwischen formaler Bildung und Impfbereitschaft (p &lt; 0,01). Starke Präferenz für Schulmedizin.</w:t>
      </w:r>
    </w:p>
    <w:p>
      <w:r>
        <w:rPr>
          <w:b/>
          <w:sz w:val="19"/>
        </w:rPr>
        <w:t xml:space="preserve">Übertragbarkeit: </w:t>
      </w:r>
      <w:r>
        <w:rPr>
          <w:sz w:val="19"/>
        </w:rPr>
        <w:t>Wenig entwickelte Region, Impfakzeptanz ist Ausgangspunkt für Programmentwicklung.</w:t>
      </w:r>
    </w:p>
    <w:p>
      <w:r>
        <w:rPr>
          <w:color w:val="5A7D3A"/>
          <w:sz w:val="18"/>
        </w:rPr>
        <w:t>https://pubmed.ncbi.nlm.nih.gov/42766516/</w:t>
      </w:r>
    </w:p>
    <w:p>
      <w:pPr>
        <w:pStyle w:val="Heading2"/>
      </w:pPr>
      <w:r>
        <w:t>Saisonimpfung vor A(H5)-Impfung: marginal additivem Nutzen gegen pandemisches H5N1-Risiko</w:t>
      </w:r>
    </w:p>
    <w:p>
      <w:r>
        <w:rPr>
          <w:i/>
          <w:color w:val="666666"/>
          <w:sz w:val="18"/>
        </w:rPr>
        <w:t>Hatta M et al.  ·  Emerg Microbes Infect  ·  21.09.2026  ·  PMID 42765371</w:t>
      </w:r>
    </w:p>
    <w:p>
      <w:r>
        <w:t>Maus- und Frettchen-Modellstudie mit pandemischen H5N1-Viren (Klade 2.3.4.4b) zur Frage, ob saisonale Influenza-Impfung vor A(H5)-Impfung die Schutzwirkung verbessert.</w:t>
      </w:r>
    </w:p>
    <w:p>
      <w:r>
        <w:rPr>
          <w:b/>
        </w:rPr>
        <w:t xml:space="preserve">Ergebnis: </w:t>
      </w:r>
      <w:r>
        <w:t>Saisonale Impfung induzierte keine Antikörper gegen A(H5). Saisonale Impfung vor A(H5)-Impfung war in 1 von 3 Maus-Experimenten mit besseren Outcomes assoziiert, nicht aber in den anderen 2 Maus-Experimenten oder bei Frettchen. Begrenzte additive Vorteile.</w:t>
      </w:r>
    </w:p>
    <w:p>
      <w:r>
        <w:rPr>
          <w:b/>
          <w:sz w:val="19"/>
        </w:rPr>
        <w:t xml:space="preserve">Übertragbarkeit: </w:t>
      </w:r>
      <w:r>
        <w:rPr>
          <w:sz w:val="19"/>
        </w:rPr>
        <w:t>Präklinische Modelle, Pandemiebereitscha Deutschland für Ressourcenpriorisierung.</w:t>
      </w:r>
    </w:p>
    <w:p>
      <w:r>
        <w:rPr>
          <w:color w:val="5A7D3A"/>
          <w:sz w:val="18"/>
        </w:rPr>
        <w:t>https://pubmed.ncbi.nlm.nih.gov/42765371/</w:t>
      </w:r>
    </w:p>
    <w:p>
      <w:pPr>
        <w:pStyle w:val="Heading2"/>
      </w:pPr>
      <w:r>
        <w:t>Influenza- und Pneumokokken-Impfungen in Südafrika 2017–2021: COVID-19 beeinflusste Versorgungsmuster</w:t>
      </w:r>
    </w:p>
    <w:p>
      <w:r>
        <w:rPr>
          <w:i/>
          <w:color w:val="666666"/>
          <w:sz w:val="18"/>
        </w:rPr>
        <w:t>Truter I et al.  ·  Pharmacoepidemiol Drug Saf  ·  Okt. 2026  ·  PMID 42764173</w:t>
      </w:r>
    </w:p>
    <w:p>
      <w:r>
        <w:t>Longitudinale pharmakoepidemiologische Studie zu Abgabemengen von Influenza- und Pneumokokken-Impfstoffen in privaten Krankenversicherungsdaten Südafrikas (3,8 Mio. Versicherte).</w:t>
      </w:r>
    </w:p>
    <w:p>
      <w:r>
        <w:rPr>
          <w:b/>
        </w:rPr>
        <w:t xml:space="preserve">Ergebnis: </w:t>
      </w:r>
      <w:r>
        <w:t>Jährliche Abgabemuster unterschieden sich signifikant (p &lt; 0,01), Influenza-Impfung hauptsächlich März–Juni. Post-COVID-19 (2020–2021): signifikant mehr Influenza-Impfungen März–Juni (p &lt; 0,01), leichte Zunahme Pneumokokken-Impfungen (p &lt; 0,05). COVID-19-Impfung hatte insgesamt keinen signifikanten Effekt auf die Muster.</w:t>
      </w:r>
    </w:p>
    <w:p>
      <w:r>
        <w:rPr>
          <w:b/>
          <w:sz w:val="19"/>
        </w:rPr>
        <w:t xml:space="preserve">Übertragbarkeit: </w:t>
      </w:r>
      <w:r>
        <w:rPr>
          <w:sz w:val="19"/>
        </w:rPr>
        <w:t>Südafrika, Versicherungsdaten, Versorgungsrealität im Privatsektor.</w:t>
      </w:r>
    </w:p>
    <w:p>
      <w:r>
        <w:rPr>
          <w:color w:val="5A7D3A"/>
          <w:sz w:val="18"/>
        </w:rPr>
        <w:t>https://pubmed.ncbi.nlm.nih.gov/42764173/</w:t>
      </w:r>
    </w:p>
    <w:p>
      <w:pPr>
        <w:pStyle w:val="Heading2"/>
      </w:pPr>
      <w:r>
        <w:t>Influenza-Impfeffektivität bei Kindern in der Primärversorgung: 79 % Schutz vor laborbestätigter Erkrankung</w:t>
      </w:r>
    </w:p>
    <w:p>
      <w:r>
        <w:rPr>
          <w:i/>
          <w:color w:val="666666"/>
          <w:sz w:val="18"/>
        </w:rPr>
        <w:t>Barretta M et al.  ·  Clin Microbiol Infect  ·  11.07.2026  ·  PMID 42435855</w:t>
      </w:r>
    </w:p>
    <w:p>
      <w:r>
        <w:t>Multizenterstudie unter italienischen Kinderärzten zur Influenza-Impfeffektivität in der ambulanten Versorgung während der Saison 2024/2025.</w:t>
      </w:r>
    </w:p>
    <w:p>
      <w:r>
        <w:rPr>
          <w:b/>
        </w:rPr>
        <w:t xml:space="preserve">Ergebnis: </w:t>
      </w:r>
      <w:r>
        <w:t>79 % Reduktion von laborbestätigter Influenza bei geimpften vs. ungeimpften Kindern (95%-KI: 70–86 %). Kohorten-Analyse zeigte 76 % VE (95%-KI: 67–82 %). Effektivität konsistent für unterschiedliche Impfstofftypen und Testmethoden. Kein Schutz vor nicht-influenzabedingten Atemwegsinfekten.</w:t>
      </w:r>
    </w:p>
    <w:p>
      <w:r>
        <w:rPr>
          <w:b/>
          <w:sz w:val="19"/>
        </w:rPr>
        <w:t xml:space="preserve">Übertragbarkeit: </w:t>
      </w:r>
      <w:r>
        <w:rPr>
          <w:sz w:val="19"/>
        </w:rPr>
        <w:t>Italien, vergleichbare pädiatrische Versorgungsstrukturen, Praxisdaten.</w:t>
      </w:r>
    </w:p>
    <w:p>
      <w:r>
        <w:rPr>
          <w:color w:val="5A7D3A"/>
          <w:sz w:val="18"/>
        </w:rPr>
        <w:t>https://pubmed.ncbi.nlm.nih.gov/42435855/</w:t>
      </w:r>
    </w:p>
    <w:p>
      <w:pPr>
        <w:pStyle w:val="Heading1"/>
      </w:pPr>
      <w:r>
        <w:t>Aufgenommen am 21.09.2026</w:t>
      </w:r>
    </w:p>
    <w:p>
      <w:pPr>
        <w:pStyle w:val="Heading2"/>
      </w:pPr>
      <w:r>
        <w:t>Impfstoffsicherheit: Meningokokken-B und Routineimpfungen bei Säuglingen</w:t>
      </w:r>
    </w:p>
    <w:p>
      <w:r>
        <w:rPr>
          <w:i/>
          <w:color w:val="666666"/>
          <w:sz w:val="18"/>
        </w:rPr>
        <w:t>Nguyen T et al.  ·  Med J Aust  ·  Sept. 2026  ·  PMID 42764145</w:t>
      </w:r>
    </w:p>
    <w:p>
      <w:r>
        <w:t>Die Studie vergleicht Sicherheit und Reaktionen bei gleichzeitiger oder separater Verabreichung von Meningokokken-B-Impfstoff mit anderen Säuglingsimpfungen an 2-, 4-, 6- und 12 Monaten.</w:t>
      </w:r>
    </w:p>
    <w:p>
      <w:r>
        <w:rPr>
          <w:b/>
        </w:rPr>
        <w:t xml:space="preserve">Ergebnis: </w:t>
      </w:r>
      <w:r>
        <w:t>Bei 10.959 Säuglingen war die kumulative Rate unerwünschter Ereignisse nach gleichzeitiger Gabe bei 2 Monaten niedriger (29 % vs. 35 %, Risikodifferenz −6,7 %), bei 4, 6 und 12 Monaten vergleichbar. Ärztliche Konsultationen waren bei 12 Monaten unter gleichzeitiger Gabe seltener (4,1 % vs. 6,3 %). Separate Verabreichung reduziert nicht, kann aber die Reaktionslast erhöhen.</w:t>
      </w:r>
    </w:p>
    <w:p>
      <w:r>
        <w:rPr>
          <w:b/>
          <w:sz w:val="19"/>
        </w:rPr>
        <w:t xml:space="preserve">Übertragbarkeit: </w:t>
      </w:r>
      <w:r>
        <w:rPr>
          <w:sz w:val="19"/>
        </w:rPr>
        <w:t>Australien, vergleichbare Surveillance-Methodik über Online-Befragung anwendbar</w:t>
      </w:r>
    </w:p>
    <w:p>
      <w:r>
        <w:rPr>
          <w:color w:val="5A7D3A"/>
          <w:sz w:val="18"/>
        </w:rPr>
        <w:t>https://pubmed.ncbi.nlm.nih.gov/42764145/</w:t>
      </w:r>
    </w:p>
    <w:p>
      <w:pPr>
        <w:pStyle w:val="Heading2"/>
      </w:pPr>
      <w:r>
        <w:t>SARS-CoV-2 Langzeitschutz: MVA-Impfung erreicht mRNA-Niveau</w:t>
      </w:r>
    </w:p>
    <w:p>
      <w:r>
        <w:rPr>
          <w:i/>
          <w:color w:val="666666"/>
          <w:sz w:val="18"/>
        </w:rPr>
        <w:t>Pérez P et al.  ·  Front Immunol  ·  31.08.2026  ·  PMID 42741364</w:t>
      </w:r>
    </w:p>
    <w:p>
      <w:r>
        <w:t>Studie vergleicht Langzeitimmunität und Schutzwirkung nach homologer oder heterologer mRNA- und MVA-Impfung gegen XBB.1.5 in K18-hACE2-Mäusen über 9 Monate.</w:t>
      </w:r>
    </w:p>
    <w:p>
      <w:r>
        <w:rPr>
          <w:b/>
        </w:rPr>
        <w:t xml:space="preserve">Ergebnis: </w:t>
      </w:r>
      <w:r>
        <w:t>Alle Zwei-Dosen-Regimen reduzierten viral RNA und infektiöse Viruslast in oberen und unteren Atemwegen nach Challenge markant und vergleichbar. Bindungs-IgG blieb über 9 Monate hoch, neutralisierende Antikörper nahmen ab. mRNA/MVA-Heterologer Regimen zeigte Trend zu besserer CD8+-T-Zell-Persistenz. MVA als thermostabiler und kostengünstiger Kandidat bestätigt.</w:t>
      </w:r>
    </w:p>
    <w:p>
      <w:r>
        <w:rPr>
          <w:b/>
          <w:sz w:val="19"/>
        </w:rPr>
        <w:t xml:space="preserve">Übertragbarkeit: </w:t>
      </w:r>
      <w:r>
        <w:rPr>
          <w:sz w:val="19"/>
        </w:rPr>
        <w:t>Experimentell in Mäusen; Strategie für globale thermostabile Impfstoffversorgung relevant</w:t>
      </w:r>
    </w:p>
    <w:p>
      <w:r>
        <w:rPr>
          <w:color w:val="5A7D3A"/>
          <w:sz w:val="18"/>
        </w:rPr>
        <w:t>https://pubmed.ncbi.nlm.nih.gov/42741364/</w:t>
      </w:r>
    </w:p>
    <w:p>
      <w:pPr>
        <w:pStyle w:val="Heading2"/>
      </w:pPr>
      <w:r>
        <w:t>Digitale Impfdienste in Impfzentren: Strategien zur Effizienzsteigerung</w:t>
      </w:r>
    </w:p>
    <w:p>
      <w:r>
        <w:rPr>
          <w:i/>
          <w:color w:val="666666"/>
          <w:sz w:val="18"/>
        </w:rPr>
        <w:t>Song YF et al.  ·  Zhonghua Yu Fang Yi Xue Za Zhi  ·  06.09.2026  ·  PMID 42736157</w:t>
      </w:r>
    </w:p>
    <w:p>
      <w:r>
        <w:t>Chinesische Systemanalyse zu Strategien und Praktiken für digitale Services in Impfzentren, um Versorgungsqualität und Effizienz zu verbessern.</w:t>
      </w:r>
    </w:p>
    <w:p>
      <w:r>
        <w:rPr>
          <w:b/>
        </w:rPr>
        <w:t xml:space="preserve">Ergebnis: </w:t>
      </w:r>
      <w:r>
        <w:t>Artikel definiert digitale Impfdienste systematisch als Antwort auf steigende Impfstoffvielfalt, höhere Bevölkerungsmobilität und diversifizierte Impfbedarfe. Hauptkomponenten sind digitale Verwaltung, Planung und Patientenmanagement. Implementierungsempfehlungen zielen auf Verbesserung von Verwaltungseffizienz und Servicequalität.</w:t>
      </w:r>
    </w:p>
    <w:p>
      <w:r>
        <w:rPr>
          <w:b/>
          <w:sz w:val="19"/>
        </w:rPr>
        <w:t xml:space="preserve">Übertragbarkeit: </w:t>
      </w:r>
      <w:r>
        <w:rPr>
          <w:sz w:val="19"/>
        </w:rPr>
        <w:t>China; Systemansatz übertragbar auf Optimierung der Impflogistik in Gesundheitssystemen</w:t>
      </w:r>
    </w:p>
    <w:p>
      <w:r>
        <w:rPr>
          <w:color w:val="5A7D3A"/>
          <w:sz w:val="18"/>
        </w:rPr>
        <w:t>https://pubmed.ncbi.nlm.nih.gov/42736157/</w:t>
      </w:r>
    </w:p>
    <w:p>
      <w:pPr>
        <w:pStyle w:val="Heading2"/>
      </w:pPr>
      <w:r>
        <w:t>Dengue- und Chikungunya-Impfstoffe: Verfügbarkeit und Versorgungslücken</w:t>
      </w:r>
    </w:p>
    <w:p>
      <w:r>
        <w:rPr>
          <w:i/>
          <w:color w:val="666666"/>
          <w:sz w:val="18"/>
        </w:rPr>
        <w:t>Tee KK et al.  ·  Hum Vaccin Immunother  ·  10.09.2026  ·  PMID 42720969</w:t>
      </w:r>
    </w:p>
    <w:p>
      <w:r>
        <w:t>Analyse der Lücke zwischen Impfstoffverfügbarkeit nach regulativer Zulassung und tatsächlicher Aufnahme in nationale Impfprogramme in Ländern mit Übertragungsrisiko.</w:t>
      </w:r>
    </w:p>
    <w:p>
      <w:r>
        <w:rPr>
          <w:b/>
        </w:rPr>
        <w:t xml:space="preserve">Ergebnis: </w:t>
      </w:r>
      <w:r>
        <w:t>Dengue- und Chikungunya-Impfstoffe sind verfügbar, aber ihre Aufnahme in nationale Programme in vielen Hochrisiko-Ländern bleibt begrenzt oder ungleich verteilt. Die zentrale Herausforderung liegt nicht nur in der Verfügbarkeit, sondern in einem mehrschichtigen Zugangsdefizit: initiale Verfügbarkeit, anhaltende Bereitstellung und Anpassung an Übertragungsrisiko.</w:t>
      </w:r>
    </w:p>
    <w:p>
      <w:r>
        <w:rPr>
          <w:b/>
          <w:sz w:val="19"/>
        </w:rPr>
        <w:t xml:space="preserve">Übertragbarkeit: </w:t>
      </w:r>
      <w:r>
        <w:rPr>
          <w:sz w:val="19"/>
        </w:rPr>
        <w:t>Globale Perspektive; übertragbar auf Systemfähigkeit und Priorisierung in Gesundheitssystemen</w:t>
      </w:r>
    </w:p>
    <w:p>
      <w:r>
        <w:rPr>
          <w:color w:val="5A7D3A"/>
          <w:sz w:val="18"/>
        </w:rPr>
        <w:t>https://pubmed.ncbi.nlm.nih.gov/42720969/</w:t>
      </w:r>
    </w:p>
    <w:p>
      <w:pPr>
        <w:pStyle w:val="Heading2"/>
      </w:pPr>
      <w:r>
        <w:t>Impfstoff-Notfallreserven: Globales System entwickelt sich weiter</w:t>
      </w:r>
    </w:p>
    <w:p>
      <w:r>
        <w:rPr>
          <w:i/>
          <w:color w:val="666666"/>
          <w:sz w:val="18"/>
        </w:rPr>
        <w:t>Walldorf JA et al.  ·  Expert Rev Vaccines  ·  10.09.2026  ·  PMID 42717903</w:t>
      </w:r>
    </w:p>
    <w:p>
      <w:r>
        <w:t>Übersicht über die Entwicklung globaler Impfstoff-Stockpile-Strategien von 2014–2025 für Cholera, Gelbfieber, Polio, Meningokokken, COVID-19, Ebola und Mpox.</w:t>
      </w:r>
    </w:p>
    <w:p>
      <w:r>
        <w:rPr>
          <w:b/>
        </w:rPr>
        <w:t xml:space="preserve">Ergebnis: </w:t>
      </w:r>
      <w:r>
        <w:t>Globale Stockpile wurden für mehrere Impfstoffe etabliert. Die Strategie hat sich von reaktiv zu integriert entwickelt und verbindet Notfallreaktion mit Präventionsstrategie. Beschleunigte Impfstoffentwicklung erfordert effiziente und transparente Stockpile-Verwaltung für gerechte, bedarfsgerechte Verteilung.</w:t>
      </w:r>
    </w:p>
    <w:p>
      <w:r>
        <w:rPr>
          <w:b/>
          <w:sz w:val="19"/>
        </w:rPr>
        <w:t xml:space="preserve">Übertragbarkeit: </w:t>
      </w:r>
      <w:r>
        <w:rPr>
          <w:sz w:val="19"/>
        </w:rPr>
        <w:t>Governance und Versorgungslogistik; System betrifft Deutschland als Teilnehmer globaler Netzwerke</w:t>
      </w:r>
    </w:p>
    <w:p>
      <w:r>
        <w:rPr>
          <w:color w:val="5A7D3A"/>
          <w:sz w:val="18"/>
        </w:rPr>
        <w:t>https://pubmed.ncbi.nlm.nih.gov/42717903/</w:t>
      </w:r>
    </w:p>
    <w:p>
      <w:pPr>
        <w:pStyle w:val="Heading2"/>
      </w:pPr>
      <w:r>
        <w:t>BNT162b2-mRNA-Impfung: Plasmazytoide dendritische Zellen lenken Immunantwort</w:t>
      </w:r>
    </w:p>
    <w:p>
      <w:r>
        <w:rPr>
          <w:i/>
          <w:color w:val="666666"/>
          <w:sz w:val="18"/>
        </w:rPr>
        <w:t>Pizzichetti C et al.  ·  EBioMedicine  ·  21.08.2026  ·  PMID 42628376</w:t>
      </w:r>
    </w:p>
    <w:p>
      <w:r>
        <w:t>Vorklinische Mausstudie zur Rolle plasmatischer dendritischer Zellen (pDCs) bei humoralen und CD8+-T-Zell-Gedächtnisantworten nach BNT162b2-Impfung.</w:t>
      </w:r>
    </w:p>
    <w:p>
      <w:r>
        <w:rPr>
          <w:b/>
        </w:rPr>
        <w:t xml:space="preserve">Ergebnis: </w:t>
      </w:r>
      <w:r>
        <w:t>BNT162b2 wurde schnell zu drainierenden Lymphknoten transportiert, wo es hauptsächlich von Leukozyten aufgenommen wurde, die daraufhin Spike-Protein exprimierten. pDCs zeigten sich als Regulatoren entzündlicher und humoraler Immunantworten. Single-Cell-Transkriptomik offenbarte aktive Interaktionen zwischen pDCs und CD8+-T-Zellen; funktionelle Studien bestätigten, dass pDCs CD8+-T-Zell-Aktivierung und -Expansion fördern.</w:t>
      </w:r>
    </w:p>
    <w:p>
      <w:r>
        <w:rPr>
          <w:b/>
          <w:sz w:val="19"/>
        </w:rPr>
        <w:t xml:space="preserve">Übertragbarkeit: </w:t>
      </w:r>
      <w:r>
        <w:rPr>
          <w:sz w:val="19"/>
        </w:rPr>
        <w:t>Vorklinisch; Mechanismusverständnis der mRNA-Impfstoffwirksamkeit</w:t>
      </w:r>
    </w:p>
    <w:p>
      <w:r>
        <w:rPr>
          <w:color w:val="5A7D3A"/>
          <w:sz w:val="18"/>
        </w:rPr>
        <w:t>https://pubmed.ncbi.nlm.nih.gov/42628376/</w:t>
      </w:r>
    </w:p>
    <w:p>
      <w:pPr>
        <w:pStyle w:val="Heading1"/>
      </w:pPr>
      <w:r>
        <w:t>Aufgenommen am 20.09.2026</w:t>
      </w:r>
    </w:p>
    <w:p>
      <w:pPr>
        <w:pStyle w:val="Heading2"/>
      </w:pPr>
      <w:r>
        <w:t>COVID-19-Impfquote bei Lebertransplantierten: 84,9% mit stabiler psychosozialer Gesundheit</w:t>
      </w:r>
    </w:p>
    <w:p>
      <w:r>
        <w:rPr>
          <w:i/>
          <w:color w:val="666666"/>
          <w:sz w:val="18"/>
        </w:rPr>
        <w:t>Akbulut S et al.  ·  Front Public Health  ·  04.09.2026  ·  PMID 42761137</w:t>
      </w:r>
    </w:p>
    <w:p>
      <w:r>
        <w:t>Querschnittsstudie von 311 Lebertransplantierten in der Türkei zu Impfstatus, Impfakzeptanz, Hesitanz, Präventionsverhalten und psychosozialer Gesundheit.</w:t>
      </w:r>
    </w:p>
    <w:p>
      <w:r>
        <w:rPr>
          <w:b/>
        </w:rPr>
        <w:t xml:space="preserve">Ergebnis: </w:t>
      </w:r>
      <w:r>
        <w:t>84,9% Impfquote; Hauptgründe: Empfehlungen von Fachleuten (p=n.s.), wahrgenommene höhere Mortalität chronisch Kranker. Hesitanz wegen unzureichender Effektivitäts- und Sicherheitsdaten, Anti-Impf-Inhalte in sozialen Medien. Psychosoziales Wohlbefinden assoziiert mit Einkommen, Immunsuppression und Informationsquellen; Impfstatus nicht robust mit Risikoperzeption assoziiert.</w:t>
      </w:r>
    </w:p>
    <w:p>
      <w:r>
        <w:rPr>
          <w:b/>
          <w:sz w:val="19"/>
        </w:rPr>
        <w:t xml:space="preserve">Übertragbarkeit: </w:t>
      </w:r>
      <w:r>
        <w:rPr>
          <w:sz w:val="19"/>
        </w:rPr>
        <w:t>Türkei, aber Erkenntnisse zu Impfakzeptanz in Hochrisiko-Kohorten übertragbar</w:t>
      </w:r>
    </w:p>
    <w:p>
      <w:r>
        <w:rPr>
          <w:color w:val="5A7D3A"/>
          <w:sz w:val="18"/>
        </w:rPr>
        <w:t>https://pubmed.ncbi.nlm.nih.gov/42761137/</w:t>
      </w:r>
    </w:p>
    <w:p>
      <w:pPr>
        <w:pStyle w:val="Heading2"/>
      </w:pPr>
      <w:r>
        <w:t>HSV-1-Infektion nach Grippeimpfung: Kasuistik einer zeitlichen Assoziation</w:t>
      </w:r>
    </w:p>
    <w:p>
      <w:r>
        <w:rPr>
          <w:i/>
          <w:color w:val="666666"/>
          <w:sz w:val="18"/>
        </w:rPr>
        <w:t>Liu YH et al.  ·  Hum Vaccin Immunother  ·  18.09.2026  ·  PMID 42757534</w:t>
      </w:r>
    </w:p>
    <w:p>
      <w:r>
        <w:t>Fallbericht eines 28-Jährigen mit multifokaler HSV-1-Infektion sieben Tage nach Influenzaimpfung ohne bekannte Immunsuppression.</w:t>
      </w:r>
    </w:p>
    <w:p>
      <w:r>
        <w:rPr>
          <w:b/>
        </w:rPr>
        <w:t xml:space="preserve">Ergebnis: </w:t>
      </w:r>
      <w:r>
        <w:t>PCR bestätigte HSV-1-DNA in Läsionen; vollständige klinische Remission nach intravenösem Acyclovir. Kausalität kann nicht etabliert werden, zeitliche Nähe ist jedoch bemerkenswert; Differentialdiagnose sollte HSV-Infektionen nach Impfung einbeziehen, ohne Kausalität zu implizieren.</w:t>
      </w:r>
    </w:p>
    <w:p>
      <w:r>
        <w:rPr>
          <w:b/>
          <w:sz w:val="19"/>
        </w:rPr>
        <w:t xml:space="preserve">Übertragbarkeit: </w:t>
      </w:r>
      <w:r>
        <w:rPr>
          <w:sz w:val="19"/>
        </w:rPr>
        <w:t>Deutschland, klinische Einzelfallbeobachtung in Versorgungspraxis relevant</w:t>
      </w:r>
    </w:p>
    <w:p>
      <w:r>
        <w:rPr>
          <w:color w:val="5A7D3A"/>
          <w:sz w:val="18"/>
        </w:rPr>
        <w:t>https://pubmed.ncbi.nlm.nih.gov/42757534/</w:t>
      </w:r>
    </w:p>
    <w:p>
      <w:pPr>
        <w:pStyle w:val="Heading2"/>
      </w:pPr>
      <w:r>
        <w:t>Sabin-IPV in Erwachsenen: Sicherheitsprofil gleichwertig mit konventionellem Polio-Impfstoff</w:t>
      </w:r>
    </w:p>
    <w:p>
      <w:r>
        <w:rPr>
          <w:i/>
          <w:color w:val="666666"/>
          <w:sz w:val="18"/>
        </w:rPr>
        <w:t>Hussain M et al.  ·  Front Public Health  ·  03.09.2026  ·  PMID 42755970</w:t>
      </w:r>
    </w:p>
    <w:p>
      <w:r>
        <w:t>Systematische Übersicht und Meta-Analyse von vier RCTs (70–340 Teilnehmer) zum Vergleich der Sicherheit von Sabin-abgeleiteter inaktivierter Poliovirus-Impfung (sIPV) mit konventioneller IPV bei Erwachsenen als Auffrischung.</w:t>
      </w:r>
    </w:p>
    <w:p>
      <w:r>
        <w:rPr>
          <w:b/>
        </w:rPr>
        <w:t xml:space="preserve">Ergebnis: </w:t>
      </w:r>
      <w:r>
        <w:t>Kein statistisch signifikanter Unterschied in unerwünschten Ereignissen: Schmerz (RR 1,57; 95%-KI 0,98–2,50), Erythem (RR 1,54; 95%-KI 0,64–3,69), Fieber (RR 0,96; 95%-KI 0,39–2,33). Heterogenität I²=0%. Nebenwirkungen mild und transient, die meisten Studien berichteten keine ernstlichen unerwünschten Ereignisse. Evidenzsicherheit niedrig bis sehr niedrig wegen kleiner Stichproben.</w:t>
      </w:r>
    </w:p>
    <w:p>
      <w:r>
        <w:rPr>
          <w:b/>
          <w:sz w:val="19"/>
        </w:rPr>
        <w:t xml:space="preserve">Übertragbarkeit: </w:t>
      </w:r>
      <w:r>
        <w:rPr>
          <w:sz w:val="19"/>
        </w:rPr>
        <w:t>Evidenz aus RCTs, aber kleine Fallzahlen; sIPV-Zulassung in Deutschland prüfen</w:t>
      </w:r>
    </w:p>
    <w:p>
      <w:r>
        <w:rPr>
          <w:color w:val="5A7D3A"/>
          <w:sz w:val="18"/>
        </w:rPr>
        <w:t>https://pubmed.ncbi.nlm.nih.gov/42755970/</w:t>
      </w:r>
    </w:p>
    <w:p>
      <w:pPr>
        <w:pStyle w:val="Heading2"/>
      </w:pPr>
      <w:r>
        <w:t>mRNA-Impfung bei Post-COVID: Funktionelle Besserung unabhängig vom Impfstatus</w:t>
      </w:r>
    </w:p>
    <w:p>
      <w:r>
        <w:rPr>
          <w:i/>
          <w:color w:val="666666"/>
          <w:sz w:val="18"/>
        </w:rPr>
        <w:t>Pries P et al.  ·  Expert Rev Vaccines  ·  17.09.2026  ·  PMID 42755271</w:t>
      </w:r>
    </w:p>
    <w:p>
      <w:r>
        <w:t>Retrospektive Kohortenstudie zur Frage, ob mRNA-SARS-CoV-2-Impfungen bei Patienten mit Langzeit-COVID (PASC) Symptome verschlimmern oder die Genesung beeinträchtigen.</w:t>
      </w:r>
    </w:p>
    <w:p>
      <w:r>
        <w:rPr>
          <w:b/>
        </w:rPr>
        <w:t xml:space="preserve">Ergebnis: </w:t>
      </w:r>
      <w:r>
        <w:t>174 geimpfte und ungeimpfte PASC-Patienten zeigten nach 3–6 Monaten in beiden Gruppen signifikante Verbesserungen bei Müdigkeit und Leistungsfähigkeit; kein statistisch signifikanter Unterschied zwischen Gruppen. Die Studie findet keine Evidenz für eine Verschlechterung durch Impfung, kleinere Effekte sind aber nicht ausgeschlossen.</w:t>
      </w:r>
    </w:p>
    <w:p>
      <w:r>
        <w:rPr>
          <w:b/>
          <w:sz w:val="19"/>
        </w:rPr>
        <w:t xml:space="preserve">Übertragbarkeit: </w:t>
      </w:r>
      <w:r>
        <w:rPr>
          <w:sz w:val="19"/>
        </w:rPr>
        <w:t>Deutschland, vergleichbare Gesundheitssysteme, ambulante Langzeit-COVID-Versorgung</w:t>
      </w:r>
    </w:p>
    <w:p>
      <w:r>
        <w:rPr>
          <w:color w:val="5A7D3A"/>
          <w:sz w:val="18"/>
        </w:rPr>
        <w:t>https://pubmed.ncbi.nlm.nih.gov/42755271/</w:t>
      </w:r>
    </w:p>
    <w:p>
      <w:pPr>
        <w:pStyle w:val="Heading2"/>
      </w:pPr>
      <w:r>
        <w:t>BCG-Immuntherapie bei Typ-1-Diabetes: Glukosemetabolismus korrigiert, HbA1c-Reduktion 8 Jahre stabil</w:t>
      </w:r>
    </w:p>
    <w:p>
      <w:r>
        <w:rPr>
          <w:i/>
          <w:color w:val="666666"/>
          <w:sz w:val="18"/>
        </w:rPr>
        <w:t>Faustman DL et al.  ·  Cells  ·  03.09.2026  ·  PMID 42738899</w:t>
      </w:r>
    </w:p>
    <w:p>
      <w:r>
        <w:t>Übersichtsarbeit zu klinischen Studien und mechanistischen Arbeiten über multi-Dosis-BCG-Immuntherapie bei Typ-1-Diabetes (T1D) und latent autoimmune diabetes in adults (LADA) über 15 Jahre.</w:t>
      </w:r>
    </w:p>
    <w:p>
      <w:r>
        <w:rPr>
          <w:b/>
        </w:rPr>
        <w:t xml:space="preserve">Ergebnis: </w:t>
      </w:r>
      <w:r>
        <w:t>T1D: Multiple klinische Studien zeigen stabile, wiederholte Reduktionen des HbA1c zu nahezu normalen Werten (vs. Placebo) für mindestens 8 Jahre, ohne Wiederherstellung der Pankreasfunction. Mechanismus: BCG-induzierte Korrektur von aerober Glykolyse-Defekten in lymphoiden/myeloiden Zellen → erhöhter Glukoseaufnahme nachgewiesen durch Langzeit-PET/CT. LADA: Minimale oder fehlende klinische Verbesserung; aber BCG reduziert Entzündung und fördert regulatorische T-Zellen. Epigenetische Umgestaltung ohne Genotyp-Änderung.</w:t>
      </w:r>
    </w:p>
    <w:p>
      <w:r>
        <w:rPr>
          <w:b/>
          <w:sz w:val="19"/>
        </w:rPr>
        <w:t xml:space="preserve">Übertragbarkeit: </w:t>
      </w:r>
      <w:r>
        <w:rPr>
          <w:sz w:val="19"/>
        </w:rPr>
        <w:t>USA-Studien mit deutschen Kliniken; Diabetes-Versorgung übertragbar</w:t>
      </w:r>
    </w:p>
    <w:p>
      <w:r>
        <w:rPr>
          <w:color w:val="5A7D3A"/>
          <w:sz w:val="18"/>
        </w:rPr>
        <w:t>https://pubmed.ncbi.nlm.nih.gov/42738899/</w:t>
      </w:r>
    </w:p>
    <w:p>
      <w:pPr>
        <w:pStyle w:val="Heading2"/>
      </w:pPr>
      <w:r>
        <w:t>BCG-Impfung bei Kindern: Genetische Varianten in Entzündungsproteinen zeigen Interaktion mit Impfantwort</w:t>
      </w:r>
    </w:p>
    <w:p>
      <w:r>
        <w:rPr>
          <w:i/>
          <w:color w:val="666666"/>
          <w:sz w:val="18"/>
        </w:rPr>
        <w:t>Boahen CK et al.  ·  Biomed Pharmacother  ·  13.08.2026  ·  PMID 42594746</w:t>
      </w:r>
    </w:p>
    <w:p>
      <w:r>
        <w:t>Genom-weites pQTL-Mapping (Protein-Quantitative-Trait-Loci) von 65 zirkulierenden Entzündungsproteinen bei Monat 13 post-BCG-Impfung in dänischen Kindern zur Identifikation genetischer Varianten, die die Immunantwort beeinflussen.</w:t>
      </w:r>
    </w:p>
    <w:p>
      <w:r>
        <w:rPr>
          <w:b/>
        </w:rPr>
        <w:t xml:space="preserve">Ergebnis: </w:t>
      </w:r>
      <w:r>
        <w:t>11 unabhängige genomweit signifikante Loci identifiziert. Vier pQTL zeigten Evidenz für Genotyp-by-BCG-Interaktionen (rs10217747: CXCL11, rs13187850: CD6, rs56283092: LAP-TGF-β1, rs11708321: CDCP1) mit größeren Effektschätzungen in BCG-Gruppe. Diese Varianten wurden zuvor mit Entzündungs- und Autoimmun-Traits assoziiert. Befunde sind explorativ und hypothesengenerierend, erfordern weitere Validierung.</w:t>
      </w:r>
    </w:p>
    <w:p>
      <w:r>
        <w:rPr>
          <w:b/>
          <w:sz w:val="19"/>
        </w:rPr>
        <w:t xml:space="preserve">Übertragbarkeit: </w:t>
      </w:r>
      <w:r>
        <w:rPr>
          <w:sz w:val="19"/>
        </w:rPr>
        <w:t>Dänemark, Gesundheitssystem vergleichbar; nationale BCG-Impfquoten-Registry vorhanden</w:t>
      </w:r>
    </w:p>
    <w:p>
      <w:r>
        <w:rPr>
          <w:color w:val="5A7D3A"/>
          <w:sz w:val="18"/>
        </w:rPr>
        <w:t>https://pubmed.ncbi.nlm.nih.gov/42594746/</w:t>
      </w:r>
    </w:p>
    <w:p>
      <w:pPr>
        <w:pStyle w:val="Heading1"/>
      </w:pPr>
      <w:r>
        <w:t>Aufgenommen am 19.09.2026</w:t>
      </w:r>
    </w:p>
    <w:p>
      <w:pPr>
        <w:pStyle w:val="Heading2"/>
      </w:pPr>
      <w:r>
        <w:t>Maschinenlernen identifiziert Null-Dosis-Kinder in Subsahara-Afrika</w:t>
      </w:r>
    </w:p>
    <w:p>
      <w:r>
        <w:rPr>
          <w:i/>
          <w:color w:val="666666"/>
          <w:sz w:val="18"/>
        </w:rPr>
        <w:t>Endehabtu BF et al.  ·  BMJ Health Care Inform  ·  18.09.2026  ·  PMID 42759970</w:t>
      </w:r>
    </w:p>
    <w:p>
      <w:r>
        <w:t>Prädiktives Modellentwicklungs-Projekt mit Daten von 27 subsaharischen Ländern (Demographic Health Survey 2016–2024) zur Risikoidentifikation von Kindern ohne Impfung.</w:t>
      </w:r>
    </w:p>
    <w:p>
      <w:r>
        <w:rPr>
          <w:b/>
        </w:rPr>
        <w:t xml:space="preserve">Ergebnis: </w:t>
      </w:r>
      <w:r>
        <w:t>LightGBM-Modell zeigte beste Gesamtleistung: 80 % Genauigkeit, 91 % Sensitivität, AUROC 0,78. Wichtigste Prädiktoren: Entbindungsort, Geburtsvorkontakten, Mutter-Tetanus-Impfung, Haushaltsvermögen, mütterliche Bildung. Ermöglicht frühe Risikoidentifikation.</w:t>
      </w:r>
    </w:p>
    <w:p>
      <w:r>
        <w:rPr>
          <w:b/>
          <w:sz w:val="19"/>
        </w:rPr>
        <w:t xml:space="preserve">Übertragbarkeit: </w:t>
      </w:r>
      <w:r>
        <w:rPr>
          <w:sz w:val="19"/>
        </w:rPr>
        <w:t>Subsahara-Afrika, digitales Tooldesign auf Länder mit WHO DHSatz übertragbar.</w:t>
      </w:r>
    </w:p>
    <w:p>
      <w:r>
        <w:rPr>
          <w:color w:val="5A7D3A"/>
          <w:sz w:val="18"/>
        </w:rPr>
        <w:t>https://pubmed.ncbi.nlm.nih.gov/42759970/</w:t>
      </w:r>
    </w:p>
    <w:p>
      <w:pPr>
        <w:pStyle w:val="Heading2"/>
      </w:pPr>
      <w:r>
        <w:t>RSV-Impfeffektivität bei älteren Erwachsenen in den USA zeigt hohe Wirksamkeit</w:t>
      </w:r>
    </w:p>
    <w:p>
      <w:r>
        <w:rPr>
          <w:i/>
          <w:color w:val="666666"/>
          <w:sz w:val="18"/>
        </w:rPr>
        <w:t>Lu Y et al.  ·  JAMA Netw Open  ·  01.09.2026  ·  PMID 42758507</w:t>
      </w:r>
    </w:p>
    <w:p>
      <w:r>
        <w:t>Nationale Kohortenstudie zur klinischen Wirksamkeit zweier RSV-Impfstoffe bei Medicare-Patienten ab 65 Jahren in der ersten Saison nach Zulassung (August 2023 bis März 2024).</w:t>
      </w:r>
    </w:p>
    <w:p>
      <w:r>
        <w:rPr>
          <w:b/>
        </w:rPr>
        <w:t xml:space="preserve">Ergebnis: </w:t>
      </w:r>
      <w:r>
        <w:t>RSVPreF3+AS01 und RSVpreF hatten eine Effektivität von 81,8 % (95-%-KI 80,0–83,4 %) gegen RSV-bedingte Hospitalisierungen und 85,0 % gegen RSV-bedingte Todesfälle. Brand-spezifisch: RSVPreF3+AS01 79,9 %, RSVpreF 85,1 %. Bei immungeschwächten Personen 72,2 %. Wirksam über alle Altersgruppen ab 65 Jahren.</w:t>
      </w:r>
    </w:p>
    <w:p>
      <w:r>
        <w:rPr>
          <w:b/>
          <w:sz w:val="19"/>
        </w:rPr>
        <w:t xml:space="preserve">Übertragbarkeit: </w:t>
      </w:r>
      <w:r>
        <w:rPr>
          <w:sz w:val="19"/>
        </w:rPr>
        <w:t>Medicare-Daten, vergleichbare Dokumentationspflichten wie Deutschland.</w:t>
      </w:r>
    </w:p>
    <w:p>
      <w:r>
        <w:rPr>
          <w:color w:val="5A7D3A"/>
          <w:sz w:val="18"/>
        </w:rPr>
        <w:t>https://pubmed.ncbi.nlm.nih.gov/42758507/</w:t>
      </w:r>
    </w:p>
    <w:p>
      <w:pPr>
        <w:pStyle w:val="Heading2"/>
      </w:pPr>
      <w:r>
        <w:t>Impfbefürwortung durch Fachpersonal: Trainingseffekt bei Hebammen und Pflegekräften</w:t>
      </w:r>
    </w:p>
    <w:p>
      <w:r>
        <w:rPr>
          <w:i/>
          <w:color w:val="666666"/>
          <w:sz w:val="18"/>
        </w:rPr>
        <w:t>Tiryaki Ö  ·  Biomedica  ·  20.08.2026  ·  PMID 42757794</w:t>
      </w:r>
    </w:p>
    <w:p>
      <w:r>
        <w:t>Quasi-experimentelle Studie mit Vorher-Nachher-Messung zur Wirkung eines Impfaufklärungstrainings auf die Impfbefürwortung bei 249 Hebammen und Pflegekräften.</w:t>
      </w:r>
    </w:p>
    <w:p>
      <w:r>
        <w:rPr>
          <w:b/>
        </w:rPr>
        <w:t xml:space="preserve">Ergebnis: </w:t>
      </w:r>
      <w:r>
        <w:t>Vaccine Advocacy Scale für Kinderimpfungen stieg signifikant von 45,19 ± 2,85 vor auf 46,95 ± 1,99 Punkte nach dem Training (Wilcoxon p = 0,000). Effekt niedrig, aber statistisch robust; Ausgangsniveau bereits hoch.</w:t>
      </w:r>
    </w:p>
    <w:p>
      <w:r>
        <w:rPr>
          <w:b/>
          <w:sz w:val="19"/>
        </w:rPr>
        <w:t xml:space="preserve">Übertragbarkeit: </w:t>
      </w:r>
      <w:r>
        <w:rPr>
          <w:sz w:val="19"/>
        </w:rPr>
        <w:t>Türkisches Setting, Pflegekräfte-Schulung auf Deutschland übertragbar.</w:t>
      </w:r>
    </w:p>
    <w:p>
      <w:r>
        <w:rPr>
          <w:color w:val="5A7D3A"/>
          <w:sz w:val="18"/>
        </w:rPr>
        <w:t>https://pubmed.ncbi.nlm.nih.gov/42757794/</w:t>
      </w:r>
    </w:p>
    <w:p>
      <w:pPr>
        <w:pStyle w:val="Heading2"/>
      </w:pPr>
      <w:r>
        <w:t>RSVPreF3-Impfstoff bei älteren Chinesen immunogenetisch gleichwertig zu globaler Population</w:t>
      </w:r>
    </w:p>
    <w:p>
      <w:r>
        <w:rPr>
          <w:i/>
          <w:color w:val="666666"/>
          <w:sz w:val="18"/>
        </w:rPr>
        <w:t>Guo X et al.  ·  Front Immunol  ·  03.09.2026  ·  PMID 42756146</w:t>
      </w:r>
    </w:p>
    <w:p>
      <w:r>
        <w:t>Phase-3-Immunbrückungs-Studie zur Nichtunterlegenheit von RSVPreF3 bei ≥60-jährigen chinesischen Erwachsenen gegenüber internationaler Vergleichsgruppe (6 Länder).</w:t>
      </w:r>
    </w:p>
    <w:p>
      <w:r>
        <w:rPr>
          <w:b/>
        </w:rPr>
        <w:t xml:space="preserve">Ergebnis: </w:t>
      </w:r>
      <w:r>
        <w:t>Nichtunterlegenheitskriterien erfüllt: GMT-Verhältnisse für RSV-A/B 1,20/1,10 (akzeptabel ≤1,5), Seroresponse-Unterschiede 3,40 %/4,89 % (akzeptabel ≤10 %). RSV-A/B-Neutralisationstiter 5523/8073 ED60 (China), 6605/8286 (Ausland). Lokale Nebenwirkungen meist mild-moderat, Ernsthaftigkeit niedrig (0,2–0,3 % immune-vermittelt).</w:t>
      </w:r>
    </w:p>
    <w:p>
      <w:r>
        <w:rPr>
          <w:b/>
          <w:sz w:val="19"/>
        </w:rPr>
        <w:t xml:space="preserve">Übertragbarkeit: </w:t>
      </w:r>
      <w:r>
        <w:rPr>
          <w:sz w:val="19"/>
        </w:rPr>
        <w:t>China, aber Immunogenität-Ergebnis zur Globalität des Impfstoffs übertra gbar.</w:t>
      </w:r>
    </w:p>
    <w:p>
      <w:r>
        <w:rPr>
          <w:color w:val="5A7D3A"/>
          <w:sz w:val="18"/>
        </w:rPr>
        <w:t>https://pubmed.ncbi.nlm.nih.gov/42756146/</w:t>
      </w:r>
    </w:p>
    <w:p>
      <w:pPr>
        <w:pStyle w:val="Heading2"/>
      </w:pPr>
      <w:r>
        <w:t>Impfgerechtigkeit als Planungsprinzip: Lehren aus der COVID-19-Pandemie</w:t>
      </w:r>
    </w:p>
    <w:p>
      <w:r>
        <w:rPr>
          <w:i/>
          <w:color w:val="666666"/>
          <w:sz w:val="18"/>
        </w:rPr>
        <w:t>Ghafari M et al.  ·  Expert Rev Vaccines  ·  16.09.2026  ·  PMID 42750274</w:t>
      </w:r>
    </w:p>
    <w:p>
      <w:r>
        <w:t>Synthesearbeit von Literatur und Politikberichten zu globalen Impfstoff-Rollouts, insbesondere über Verteilungsszenarien, Beschaffung und dezentralisierte Herstellung.</w:t>
      </w:r>
    </w:p>
    <w:p>
      <w:r>
        <w:rPr>
          <w:b/>
        </w:rPr>
        <w:t xml:space="preserve">Ergebnis: </w:t>
      </w:r>
      <w:r>
        <w:t>COVID-19 zeigte: Schnelle Entwicklung ohne Gerechtigkeitsplanung schuf vermeidbare Schäden. Lösungen sind geografisch verteilte Herstellung, vorab vereinbarte epidemiologisch gesteuerte Zuteilung, transparente Datenaustausch und Neutralisierung kommerzieller Verzerrungen. Empfehlung: Institutionalisierte disaggregierte Berichterstattung und standardisierte Daten-Sharing.</w:t>
      </w:r>
    </w:p>
    <w:p>
      <w:r>
        <w:rPr>
          <w:b/>
          <w:sz w:val="19"/>
        </w:rPr>
        <w:t xml:space="preserve">Übertragbarkeit: </w:t>
      </w:r>
      <w:r>
        <w:rPr>
          <w:sz w:val="19"/>
        </w:rPr>
        <w:t>Europäisches und Schweizer System, Prinzipien auf DACH übertragbar.</w:t>
      </w:r>
    </w:p>
    <w:p>
      <w:r>
        <w:rPr>
          <w:color w:val="5A7D3A"/>
          <w:sz w:val="18"/>
        </w:rPr>
        <w:t>https://pubmed.ncbi.nlm.nih.gov/42750274/</w:t>
      </w:r>
    </w:p>
    <w:p>
      <w:pPr>
        <w:pStyle w:val="Heading2"/>
      </w:pPr>
      <w:r>
        <w:t>Inaktivierter Rotavirus-Impfstoff: Sicherheit und Immunogenität bei Kleinkindern</w:t>
      </w:r>
    </w:p>
    <w:p>
      <w:r>
        <w:rPr>
          <w:i/>
          <w:color w:val="666666"/>
          <w:sz w:val="18"/>
        </w:rPr>
        <w:t>Zhou Y et al.  ·  Nat Commun  ·  14.08.2026  ·  PMID 42733081</w:t>
      </w:r>
    </w:p>
    <w:p>
      <w:r>
        <w:t>Randomisierte, placebokontrollierte Phase-1-Studie zur Dosis-Eskalation von Rotavirus-Impfstoff bei 288 Kindern 2–71 Monate ohne vorherige Rotavirus-Impfung.</w:t>
      </w:r>
    </w:p>
    <w:p>
      <w:r>
        <w:rPr>
          <w:b/>
        </w:rPr>
        <w:t xml:space="preserve">Ergebnis: </w:t>
      </w:r>
      <w:r>
        <w:t>Keine impfstoffbezogenen SAEs; transiente Mild-bis-Mäßig-Fieber nur in Hochdosis-Säuglings-Gruppe (klinisch handhabbar). Neutralisierende Antikörper-GMT dose-abhängig erhöht. 3-Dosis-Säugling-Gruppe (320 EU): GMT 551,98 vs. 36,17 (Placebo), Serokonversionsrate 83,33 % vs. 10 %. 3-Dosis-Schema überlegen 2-Dosis.</w:t>
      </w:r>
    </w:p>
    <w:p>
      <w:r>
        <w:rPr>
          <w:b/>
          <w:sz w:val="19"/>
        </w:rPr>
        <w:t xml:space="preserve">Übertragbarkeit: </w:t>
      </w:r>
      <w:r>
        <w:rPr>
          <w:sz w:val="19"/>
        </w:rPr>
        <w:t>Chinesische Studie, Sicherheits- und Immunogenitätsdaten auf frühe Klinische Phasen übertragbar.</w:t>
      </w:r>
    </w:p>
    <w:p>
      <w:r>
        <w:rPr>
          <w:color w:val="5A7D3A"/>
          <w:sz w:val="18"/>
        </w:rPr>
        <w:t>https://pubmed.ncbi.nlm.nih.gov/42733081/</w:t>
      </w:r>
    </w:p>
    <w:p>
      <w:pPr>
        <w:pStyle w:val="Heading1"/>
      </w:pPr>
      <w:r>
        <w:t>Aufgenommen am 18.09.2026</w:t>
      </w:r>
    </w:p>
    <w:p>
      <w:pPr>
        <w:pStyle w:val="Heading2"/>
      </w:pPr>
      <w:r>
        <w:t>RSV-Hospitalisierungen vor Impfstoffeinführung: Altersgruppen und Datenlücken</w:t>
      </w:r>
    </w:p>
    <w:p>
      <w:r>
        <w:rPr>
          <w:i/>
          <w:color w:val="666666"/>
          <w:sz w:val="18"/>
        </w:rPr>
        <w:t>Imai-Boulter C et al.  ·  Med J Aust  ·  Sept. 2026  ·  PMID 42754405</w:t>
      </w:r>
    </w:p>
    <w:p>
      <w:r>
        <w:t>Retrospektive bevölkerungsbasierte Studie zur RSV-Krankheitslast in Australien vor Immunisierungsstart (2016–2019 Hospitalisierungen, 2023 Labor-Meldungen).</w:t>
      </w:r>
    </w:p>
    <w:p>
      <w:r>
        <w:rPr>
          <w:b/>
        </w:rPr>
        <w:t xml:space="preserve">Ergebnis: </w:t>
      </w:r>
      <w:r>
        <w:t>Hospitalisierungen bei &lt;3 Monaten alt: 4014/100000, bei ≥65 Jahren: 122/100000 (steigende Tendenz); 55 % der Bronchiolitiden mit ungeklärter Ursache; Labor-Meldungen höchst bei 6–11 Monaten (7778/100000). Zeigt Datenlücken bei Fallerfassung und Testfrequenz.</w:t>
      </w:r>
    </w:p>
    <w:p>
      <w:r>
        <w:rPr>
          <w:b/>
          <w:sz w:val="19"/>
        </w:rPr>
        <w:t xml:space="preserve">Übertragbarkeit: </w:t>
      </w:r>
      <w:r>
        <w:rPr>
          <w:sz w:val="19"/>
        </w:rPr>
        <w:t>Australien (Versorgungsdaten verfügbar); ähnliche Datenstrukturen in Deutschland schwächer (kein nationales Impfregister).</w:t>
      </w:r>
    </w:p>
    <w:p>
      <w:r>
        <w:rPr>
          <w:color w:val="5A7D3A"/>
          <w:sz w:val="18"/>
        </w:rPr>
        <w:t>https://pubmed.ncbi.nlm.nih.gov/42754405/</w:t>
      </w:r>
    </w:p>
    <w:p>
      <w:pPr>
        <w:pStyle w:val="Heading2"/>
      </w:pPr>
      <w:r>
        <w:t>MZB1-Spiegel sagen Langzeitschutz nach Hepatitis-B-Impfung voraus</w:t>
      </w:r>
    </w:p>
    <w:p>
      <w:r>
        <w:rPr>
          <w:i/>
          <w:color w:val="666666"/>
          <w:sz w:val="18"/>
        </w:rPr>
        <w:t>Huang ML et al.  ·  Front Immunol  ·  02.09.2026  ·  PMID 42751130</w:t>
      </w:r>
    </w:p>
    <w:p>
      <w:r>
        <w:t>Single-Cell-RNA-Seq plus nested case-control und Interventionsstudie zur Identifikation von B-Zell-Markern für stabilen Anti-HBs-Schutz.</w:t>
      </w:r>
    </w:p>
    <w:p>
      <w:r>
        <w:rPr>
          <w:b/>
        </w:rPr>
        <w:t xml:space="preserve">Ergebnis: </w:t>
      </w:r>
      <w:r>
        <w:t>MZB1 signifikant erhöht in B-Zellen von Langzeitschützer/innen (p=2,1e-12); Serum-MZB1 &gt;1000 mIU/ml nach 30 Jahren: 7,1±2,2 ng/ml vs. Anti-HBs-Negative: 0,96±0,1 ng/ml (p&lt;0,0001); MZB1 korreliert stark mit Anti-HBs-Titer (r=0,892). MZB1 schon nach 1. Dosis erhöht, VE besser bei hohen MZB1-Konzentrationen.</w:t>
      </w:r>
    </w:p>
    <w:p>
      <w:r>
        <w:rPr>
          <w:b/>
          <w:sz w:val="19"/>
        </w:rPr>
        <w:t xml:space="preserve">Übertragbarkeit: </w:t>
      </w:r>
      <w:r>
        <w:rPr>
          <w:sz w:val="19"/>
        </w:rPr>
        <w:t>China (Validierungskohorten mobil), Biomarker universal; kein nationales Vorteil, aber wissenschaftlich relevant.</w:t>
      </w:r>
    </w:p>
    <w:p>
      <w:r>
        <w:rPr>
          <w:color w:val="5A7D3A"/>
          <w:sz w:val="18"/>
        </w:rPr>
        <w:t>https://pubmed.ncbi.nlm.nih.gov/42751130/</w:t>
      </w:r>
    </w:p>
    <w:p>
      <w:pPr>
        <w:pStyle w:val="Heading2"/>
      </w:pPr>
      <w:r>
        <w:t>Wertaffirmation in Impfkampagnen: Small Effects auf Impfbereitschaft</w:t>
      </w:r>
    </w:p>
    <w:p>
      <w:r>
        <w:rPr>
          <w:i/>
          <w:color w:val="666666"/>
          <w:sz w:val="18"/>
        </w:rPr>
        <w:t>Wolsko C et al.  ·  PLoS One  ·  16.09.2026  ·  PMID 42748077</w:t>
      </w:r>
    </w:p>
    <w:p>
      <w:r>
        <w:t>Online-Befragung von 1170 Ungeimpften (USA, Frühjahr 2021) zu COVID-Impfbotschaften, die auf persönliche Werte ausgerichtet sind.</w:t>
      </w:r>
    </w:p>
    <w:p>
      <w:r>
        <w:rPr>
          <w:b/>
        </w:rPr>
        <w:t xml:space="preserve">Ergebnis: </w:t>
      </w:r>
      <w:r>
        <w:t>Botschaften, die Misstrauen in Regierung und Sorgen vor Freiheitsbeschränkung bestätigten, zeigten höhere Impfbereitschaft und mehr Vertrauen als Kontrolle; Effektgrößen klein, aber bedeutsam für Vaccine Hesitancy-Subgruppen.</w:t>
      </w:r>
    </w:p>
    <w:p>
      <w:r>
        <w:rPr>
          <w:b/>
          <w:sz w:val="19"/>
        </w:rPr>
        <w:t xml:space="preserve">Übertragbarkeit: </w:t>
      </w:r>
      <w:r>
        <w:rPr>
          <w:sz w:val="19"/>
        </w:rPr>
        <w:t>USA (Wertbetonung kulturabhängig); Kommunikationsstrategie prinzipiell übertragbar, aber Wertrahmen müssen regional angepasst werden.</w:t>
      </w:r>
    </w:p>
    <w:p>
      <w:r>
        <w:rPr>
          <w:color w:val="5A7D3A"/>
          <w:sz w:val="18"/>
        </w:rPr>
        <w:t>https://pubmed.ncbi.nlm.nih.gov/42748077/</w:t>
      </w:r>
    </w:p>
    <w:p>
      <w:pPr>
        <w:pStyle w:val="Heading2"/>
      </w:pPr>
      <w:r>
        <w:t>Impf-Fachkompetenz in Äthiopien schwach: nur 50 % erfüllen Mindeststandard</w:t>
      </w:r>
    </w:p>
    <w:p>
      <w:r>
        <w:rPr>
          <w:i/>
          <w:color w:val="666666"/>
          <w:sz w:val="18"/>
        </w:rPr>
        <w:t>Olani A et al.  ·  PLoS One  ·  15.09.2026  ·  PMID 42743175</w:t>
      </w:r>
    </w:p>
    <w:p>
      <w:r>
        <w:t>Observationale Studie mit Checklisten zur Impf-Fachkompetenz in 34 äthiopischen Gesundheitseinrichtungen.</w:t>
      </w:r>
    </w:p>
    <w:p>
      <w:r>
        <w:rPr>
          <w:b/>
        </w:rPr>
        <w:t xml:space="preserve">Ergebnis: </w:t>
      </w:r>
      <w:r>
        <w:t>340 Impfungen beobachtet; Gesamtkompetenz 50 % (Schwelle: 80 %); beste Leistung: Verabreichung (71 %), schlechteste: Dokumentation (22 %); Defizite in Infektionskontrolle und Patienten-Kommunikation. Lücke zwischen theoretischem Wissen und praktischer Umsetzung.</w:t>
      </w:r>
    </w:p>
    <w:p>
      <w:r>
        <w:rPr>
          <w:b/>
          <w:sz w:val="19"/>
        </w:rPr>
        <w:t xml:space="preserve">Übertragbarkeit: </w:t>
      </w:r>
      <w:r>
        <w:rPr>
          <w:sz w:val="19"/>
        </w:rPr>
        <w:t>Äthiopien (Niedrig-Ressourcen), begrenzte Übertragbarkeit; zeigt jedoch global relevante Schulungs- und Überwachungsdefizite.</w:t>
      </w:r>
    </w:p>
    <w:p>
      <w:r>
        <w:rPr>
          <w:color w:val="5A7D3A"/>
          <w:sz w:val="18"/>
        </w:rPr>
        <w:t>https://pubmed.ncbi.nlm.nih.gov/42743175/</w:t>
      </w:r>
    </w:p>
    <w:p>
      <w:pPr>
        <w:pStyle w:val="Heading2"/>
      </w:pPr>
      <w:r>
        <w:t>Ökologische Studien zu Impfeffekten könnten Versorgungsdaten für Deutschland liefern</w:t>
      </w:r>
    </w:p>
    <w:p>
      <w:r>
        <w:rPr>
          <w:i/>
          <w:color w:val="666666"/>
          <w:sz w:val="18"/>
        </w:rPr>
        <w:t>Nolting T et al.  ·  BMJ Open  ·  11.09.2026  ·  PMID 42731829</w:t>
      </w:r>
    </w:p>
    <w:p>
      <w:r>
        <w:t>Scoping Review, die ökologische Studien zu Impfeffektivität systematisieren soll, mit Fokus auf Deutschland.</w:t>
      </w:r>
    </w:p>
    <w:p>
      <w:r>
        <w:rPr>
          <w:b/>
        </w:rPr>
        <w:t xml:space="preserve">Ergebnis: </w:t>
      </w:r>
      <w:r>
        <w:t>Studienprotokoll ohne empirische Ergebnisse; zeigt einen Forschungsbedarf für vergleichende Analysen der Impfbeiträge zu Morbidität und Mortalität.</w:t>
      </w:r>
    </w:p>
    <w:p>
      <w:r>
        <w:rPr>
          <w:b/>
          <w:sz w:val="19"/>
        </w:rPr>
        <w:t xml:space="preserve">Übertragbarkeit: </w:t>
      </w:r>
      <w:r>
        <w:rPr>
          <w:sz w:val="19"/>
        </w:rPr>
        <w:t>Deutschland, zukünftige Datenquelle; Übertragbarkeit hängt von Verfügbarkeit von Routinedaten ab.</w:t>
      </w:r>
    </w:p>
    <w:p>
      <w:r>
        <w:rPr>
          <w:color w:val="5A7D3A"/>
          <w:sz w:val="18"/>
        </w:rPr>
        <w:t>https://pubmed.ncbi.nlm.nih.gov/42731829/</w:t>
      </w:r>
    </w:p>
    <w:p>
      <w:pPr>
        <w:pStyle w:val="Heading2"/>
      </w:pPr>
      <w:r>
        <w:t>Impfantwort bei Krebs und Immunsuppression: RESPONSE-Kohortenstudie</w:t>
      </w:r>
    </w:p>
    <w:p>
      <w:r>
        <w:rPr>
          <w:i/>
          <w:color w:val="666666"/>
          <w:sz w:val="18"/>
        </w:rPr>
        <w:t>Felipe Fumero E et al.  ·  JMIR Res Protoc  ·  23.07.2026  ·  PMID 42492070</w:t>
      </w:r>
    </w:p>
    <w:p>
      <w:r>
        <w:t>Prospektive Kohortenstudie zu humoralen und zellulären Reaktionen auf Atemwegs-Impfstoffe bei onkologischen Patienten, Rekrutierung seit März 2025 laufend.</w:t>
      </w:r>
    </w:p>
    <w:p>
      <w:r>
        <w:rPr>
          <w:b/>
        </w:rPr>
        <w:t xml:space="preserve">Ergebnis: </w:t>
      </w:r>
      <w:r>
        <w:t>Protokoll mit laufender Rekrutierung; Fokus auf frühe und späte Booster-Effekte. Finale Analysen ab Q3 2026 geplant; zielt auf T-Zell-Antworten, die bei dieser Gruppe zuverlässiger sind als Antikörper.</w:t>
      </w:r>
    </w:p>
    <w:p>
      <w:r>
        <w:rPr>
          <w:b/>
          <w:sz w:val="19"/>
        </w:rPr>
        <w:t xml:space="preserve">Übertragbarkeit: </w:t>
      </w:r>
      <w:r>
        <w:rPr>
          <w:sz w:val="19"/>
        </w:rPr>
        <w:t>Deutschland (Köln, Universitätsklinik), direkt übertragbar auf Versorgungsfragen bei Immunsuppression.</w:t>
      </w:r>
    </w:p>
    <w:p>
      <w:r>
        <w:rPr>
          <w:color w:val="5A7D3A"/>
          <w:sz w:val="18"/>
        </w:rPr>
        <w:t>https://pubmed.ncbi.nlm.nih.gov/42492070/</w:t>
      </w:r>
    </w:p>
    <w:p>
      <w:pPr>
        <w:pStyle w:val="Heading1"/>
      </w:pPr>
      <w:r>
        <w:t>Aufgenommen am 17.09.2026</w:t>
      </w:r>
    </w:p>
    <w:p>
      <w:pPr>
        <w:pStyle w:val="Heading2"/>
      </w:pPr>
      <w:r>
        <w:t>Gonorrhoe-Impfstoff: Modellierte Prävalenzreduktion in abgelegenem indigenem Australien</w:t>
      </w:r>
    </w:p>
    <w:p>
      <w:r>
        <w:rPr>
          <w:i/>
          <w:color w:val="666666"/>
          <w:sz w:val="18"/>
        </w:rPr>
        <w:t>Padeniya TN et al.  ·  Sex Health  ·  20.10.2026  ·  PMID 42749469</w:t>
      </w:r>
    </w:p>
    <w:p>
      <w:r>
        <w:t>Mathematisches Transmissionsmodell (individual-basiert) zur Analyse der Effektivität einer hypothetischen Gonorrhoe-Impfung in abgelegenen Gemeinden mit hoher Inzidenz bei 16–36-jährigen australischen Ureinwohnern.</w:t>
      </w:r>
    </w:p>
    <w:p>
      <w:r>
        <w:rPr>
          <w:b/>
        </w:rPr>
        <w:t xml:space="preserve">Ergebnis: </w:t>
      </w:r>
      <w:r>
        <w:t>Bei 5-Jahres-Nachverfolgung mit 40 % jährlicher Impfquote und Impfstoff mit 25–50 % Schutzwirksamkeit: relative Prävalenzreduktion 15–28 %. Bei 80 % Impfquote und 75 % Wirksamkeit: 95 % (5 Jahre) bis 98 % (10 Jahre) Reduktion. Auch mit partieller Wirksamkeit substantielle Prävalenzrückgänge möglich.</w:t>
      </w:r>
    </w:p>
    <w:p>
      <w:r>
        <w:rPr>
          <w:b/>
          <w:sz w:val="19"/>
        </w:rPr>
        <w:t xml:space="preserve">Übertragbarkeit: </w:t>
      </w:r>
      <w:r>
        <w:rPr>
          <w:sz w:val="19"/>
        </w:rPr>
        <w:t>Australien mit Registersystem und hoher Datenqualität, aber Bevölkerungszusammensetzung und epidemiologische Lage unterscheiden sich von Deutschland.</w:t>
      </w:r>
    </w:p>
    <w:p>
      <w:r>
        <w:rPr>
          <w:color w:val="5A7D3A"/>
          <w:sz w:val="18"/>
        </w:rPr>
        <w:t>https://pubmed.ncbi.nlm.nih.gov/42749469/</w:t>
      </w:r>
    </w:p>
    <w:p>
      <w:pPr>
        <w:pStyle w:val="Heading2"/>
      </w:pPr>
      <w:r>
        <w:t>Herpes-Zoster-Impfung: Wirksamkeit gegen Zoster, Ophthalmicus und postherpetische Neuralgie</w:t>
      </w:r>
    </w:p>
    <w:p>
      <w:r>
        <w:rPr>
          <w:i/>
          <w:color w:val="666666"/>
          <w:sz w:val="18"/>
        </w:rPr>
        <w:t>Heen E et al.  ·  Rev Med Virol  ·  Sept. 2026  ·  PMID 42748460</w:t>
      </w:r>
    </w:p>
    <w:p>
      <w:r>
        <w:t>Systematische Übersicht mit Metaanalyse von 18 Studien (3 RCT, 15 Beobachtungsstudien) zur Effektivität des Recombinant-Zoster-Impfstoffs (RZV) gegen Herpes zoster und Komplikationen in ≥50-Jährigen.</w:t>
      </w:r>
    </w:p>
    <w:p>
      <w:r>
        <w:rPr>
          <w:b/>
        </w:rPr>
        <w:t xml:space="preserve">Ergebnis: </w:t>
      </w:r>
      <w:r>
        <w:t>RZV zeigte in RCT 95 % Effektivität gegen Herpes zoster (hochgradig), substantielle Reduktion von Herpes-Zoster-Ophthalmicus (hochgradig), wahrscheinlich postherpetische Neuralgia (moderat). Durable Schutzwirkung mind. 11 Jahre nachgewiesen (niedrig bis moderat). Mögliche Assoziation mit reduziertem Demenzrisiko (niedrig, durch healthy-vaccinee-bias-Unsicherheit).</w:t>
      </w:r>
    </w:p>
    <w:p>
      <w:r>
        <w:rPr>
          <w:b/>
          <w:sz w:val="19"/>
        </w:rPr>
        <w:t xml:space="preserve">Übertragbarkeit: </w:t>
      </w:r>
      <w:r>
        <w:rPr>
          <w:sz w:val="19"/>
        </w:rPr>
        <w:t>Norwegen und Schweden, vergleichbare altersstrukturierte Bevölkerungen und Impfregister; Befunde direkt auf deutsches Zoster-Impfprogramm übertragbar.</w:t>
      </w:r>
    </w:p>
    <w:p>
      <w:r>
        <w:rPr>
          <w:color w:val="5A7D3A"/>
          <w:sz w:val="18"/>
        </w:rPr>
        <w:t>https://pubmed.ncbi.nlm.nih.gov/42748460/</w:t>
      </w:r>
    </w:p>
    <w:p>
      <w:pPr>
        <w:pStyle w:val="Heading2"/>
      </w:pPr>
      <w:r>
        <w:t>Kulturell angepasste HPV-Aufklärung und Impfintention in Saudi-Arabien</w:t>
      </w:r>
    </w:p>
    <w:p>
      <w:r>
        <w:rPr>
          <w:i/>
          <w:color w:val="666666"/>
          <w:sz w:val="18"/>
        </w:rPr>
        <w:t>Elsayed EA et al.  ·  JMIR Public Health Surveill  ·  16.09.2026  ·  PMID 42748422</w:t>
      </w:r>
    </w:p>
    <w:p>
      <w:r>
        <w:t>Quasi-experimentelle Studie (Prä-Post mit Kontrollgruppe, n=380) zur Wirkung einer 45-minütigen, an lokale Werte adaptierten Schulungsintervention auf HPV-Wissen, Gesundheitsbewusstsein und Impfbereitschaft.</w:t>
      </w:r>
    </w:p>
    <w:p>
      <w:r>
        <w:rPr>
          <w:b/>
        </w:rPr>
        <w:t xml:space="preserve">Ergebnis: </w:t>
      </w:r>
      <w:r>
        <w:t>In der Interventionsgruppe zeigte sich bei 3-Monats-Nachverfolgung gegenüber Kontrollen: Wissen (β=0,84, p&lt;0,001, d=0,45), Bewusstsein (β=0,88, p&lt;0,001, d=0,44), Einstellung (β=0,70, p&lt;0,001, d=0,38), Impfabsicht (β=0,86, p&lt;0,001, d=0,82, großer Effekt). Effekte über Altersgruppen, Bildung und Gesundheitskompetenz konsistent.</w:t>
      </w:r>
    </w:p>
    <w:p>
      <w:r>
        <w:rPr>
          <w:b/>
          <w:sz w:val="19"/>
        </w:rPr>
        <w:t xml:space="preserve">Übertragbarkeit: </w:t>
      </w:r>
      <w:r>
        <w:rPr>
          <w:sz w:val="19"/>
        </w:rPr>
        <w:t>Saudi-Arabien, begrenzt übertragbar, aber Modell für kulturell sensible Beratung in diversen deutschen Bevölkerungsgruppen.</w:t>
      </w:r>
    </w:p>
    <w:p>
      <w:r>
        <w:rPr>
          <w:color w:val="5A7D3A"/>
          <w:sz w:val="18"/>
        </w:rPr>
        <w:t>https://pubmed.ncbi.nlm.nih.gov/42748422/</w:t>
      </w:r>
    </w:p>
    <w:p>
      <w:pPr>
        <w:pStyle w:val="Heading2"/>
      </w:pPr>
      <w:r>
        <w:t>Personalisierte Neoantigen-Impfstoff-Therapie bei Kopf-Hals-Karzinom vermeidet Rezidive</w:t>
      </w:r>
    </w:p>
    <w:p>
      <w:r>
        <w:rPr>
          <w:i/>
          <w:color w:val="666666"/>
          <w:sz w:val="18"/>
        </w:rPr>
        <w:t>Ottensmeier C et al.  ·  Nat Commun  ·  17.08.2026  ·  PMID 42744798</w:t>
      </w:r>
    </w:p>
    <w:p>
      <w:r>
        <w:t>Randomisierte Phase-I-Studie (n=32) zur Adjuvans-Therapie mit TG4050, einem individualisierten viralen Neoantigen-Impfstoff mit bis zu 30 tumor-spezifischen Neoantigenen, nach Standard-Chemotherapie vs. abwartendem Vorgehen.</w:t>
      </w:r>
    </w:p>
    <w:p>
      <w:r>
        <w:rPr>
          <w:b/>
        </w:rPr>
        <w:t xml:space="preserve">Ergebnis: </w:t>
      </w:r>
      <w:r>
        <w:t>Unmittelbare TG4050-Gruppe: 0 von 16 Rezidive nach 30 Monaten Nachverfolgung; Kontrollgruppe: 3 von 16 Rezidive. T-Zell-Antworten gegen Neoantigen in 73,3 % detektiert (Median 3 Neoantigen pro Responder), persistent über 1 Jahr. Neoantigen-spezifische CD8+ T-Zellen zeigten Effektor- und geweberesidente Marker.</w:t>
      </w:r>
    </w:p>
    <w:p>
      <w:r>
        <w:rPr>
          <w:b/>
          <w:sz w:val="19"/>
        </w:rPr>
        <w:t xml:space="preserve">Übertragbarkeit: </w:t>
      </w:r>
      <w:r>
        <w:rPr>
          <w:sz w:val="19"/>
        </w:rPr>
        <w:t>Multinationale Studie (UK, Frankreich, Niederlande), übertragbar auf deutsches Klinikum mit entsprechender molekularer Tumorcharakterisierung.</w:t>
      </w:r>
    </w:p>
    <w:p>
      <w:r>
        <w:rPr>
          <w:color w:val="5A7D3A"/>
          <w:sz w:val="18"/>
        </w:rPr>
        <w:t>https://pubmed.ncbi.nlm.nih.gov/42744798/</w:t>
      </w:r>
    </w:p>
    <w:p>
      <w:pPr>
        <w:pStyle w:val="Heading2"/>
      </w:pPr>
      <w:r>
        <w:t>HPV-Impfung bei Erwachsenen 27–45 Jahren: Quote und Trends in USA</w:t>
      </w:r>
    </w:p>
    <w:p>
      <w:r>
        <w:rPr>
          <w:i/>
          <w:color w:val="666666"/>
          <w:sz w:val="18"/>
        </w:rPr>
        <w:t>Fisher-Borne M et al.  ·  Hum Vaccin Immunother  ·  10.09.2026  ·  PMID 42723147</w:t>
      </w:r>
    </w:p>
    <w:p>
      <w:r>
        <w:t>Retrospektive Auswertung kommerzieller Claims-Daten 2019–2023 zur HPV-Impfquote bei erwachsenen Frauen und Männern unter shared clinical decision-making.</w:t>
      </w:r>
    </w:p>
    <w:p>
      <w:r>
        <w:rPr>
          <w:b/>
        </w:rPr>
        <w:t xml:space="preserve">Ergebnis: </w:t>
      </w:r>
      <w:r>
        <w:t>Annual HPV-Impfinitiation stieg von 0,21 % (2019) auf 0,54 % (2023); kumulativ über 5 Jahre 0,84 % bei 3–4 Mio. jährlich ungeimpften Personen. Apotheken als Impfort nahmen zu, regionale Variation 0,23–1,56 %.</w:t>
      </w:r>
    </w:p>
    <w:p>
      <w:r>
        <w:rPr>
          <w:b/>
          <w:sz w:val="19"/>
        </w:rPr>
        <w:t xml:space="preserve">Übertragbarkeit: </w:t>
      </w:r>
      <w:r>
        <w:rPr>
          <w:sz w:val="19"/>
        </w:rPr>
        <w:t>USA mit grundlegend anderer Versicherungsstruktur; aber Befunde zur Rolle von Apotheken und regionaler Varianz relevant für Deutschland.</w:t>
      </w:r>
    </w:p>
    <w:p>
      <w:r>
        <w:rPr>
          <w:color w:val="5A7D3A"/>
          <w:sz w:val="18"/>
        </w:rPr>
        <w:t>https://pubmed.ncbi.nlm.nih.gov/42723147/</w:t>
      </w:r>
    </w:p>
    <w:p>
      <w:pPr>
        <w:pStyle w:val="Heading2"/>
      </w:pPr>
      <w:r>
        <w:t>Immunosuppression-Entzug und mRNA-Impfung bei Nierentransplantierten</w:t>
      </w:r>
    </w:p>
    <w:p>
      <w:r>
        <w:rPr>
          <w:i/>
          <w:color w:val="666666"/>
          <w:sz w:val="18"/>
        </w:rPr>
        <w:t>Goerlich N et al.  ·  Front Immunol  ·  17.08.2026  ·  PMID 42676352</w:t>
      </w:r>
    </w:p>
    <w:p>
      <w:r>
        <w:t>Hochdimensionale Analyse der Immunzellkomposition bei Nierentransplantierten unter temporärem Mycophenolsäure-Entzug während mRNA-1273-Impfung.</w:t>
      </w:r>
    </w:p>
    <w:p>
      <w:r>
        <w:rPr>
          <w:b/>
        </w:rPr>
        <w:t xml:space="preserve">Ergebnis: </w:t>
      </w:r>
      <w:r>
        <w:t>Mycophenolsäure-Entzug war assoziiert mit erhöhten CD4+/CD8+ T-Zell-Frequenzen (p=0,039 bzw. p=0,001) und verminderten Monozyten- und B-Zell-Frequenzen (p=0,014 bzw. p=0,023). Effekte variierten je nach Transplantationsdauer und Alter; kein einzelner Marker war prädiktiv für Serokonversion.</w:t>
      </w:r>
    </w:p>
    <w:p>
      <w:r>
        <w:rPr>
          <w:b/>
          <w:sz w:val="19"/>
        </w:rPr>
        <w:t xml:space="preserve">Übertragbarkeit: </w:t>
      </w:r>
      <w:r>
        <w:rPr>
          <w:sz w:val="19"/>
        </w:rPr>
        <w:t>Deutsche Klinikstudie, direkt übertragbar auf deutsches Transplantationssystem mit vergleichbarer Immunsuppression.</w:t>
      </w:r>
    </w:p>
    <w:p>
      <w:r>
        <w:rPr>
          <w:color w:val="5A7D3A"/>
          <w:sz w:val="18"/>
        </w:rPr>
        <w:t>https://pubmed.ncbi.nlm.nih.gov/42676352/</w:t>
      </w:r>
    </w:p>
    <w:p>
      <w:pPr>
        <w:pStyle w:val="Heading2"/>
      </w:pPr>
      <w:r>
        <w:t>IL-33 und sST2 nach Tdap-Booster-Impfung bei finnischen Kindern</w:t>
      </w:r>
    </w:p>
    <w:p>
      <w:r>
        <w:rPr>
          <w:i/>
          <w:color w:val="666666"/>
          <w:sz w:val="18"/>
        </w:rPr>
        <w:t>Anabe D et al.  ·  Cytokine  ·  13.08.2026  ·  PMID 42594457</w:t>
      </w:r>
    </w:p>
    <w:p>
      <w:r>
        <w:t>Longitudinale Untersuchung von Interleukin-33 und löslichem ST2 in Serum vor und nach Tdap-IPV-Booster-Impfung in unterschiedlichen Altersgruppen (7–70 Jahre).</w:t>
      </w:r>
    </w:p>
    <w:p>
      <w:r>
        <w:rPr>
          <w:b/>
        </w:rPr>
        <w:t xml:space="preserve">Ergebnis: </w:t>
      </w:r>
      <w:r>
        <w:t>IL-33 in 70 % der Fälle nicht nachweisbar. Serum-sST2 zeigte signifikanten Anstieg über 365 Tage (p&lt;0,001), mit höherem Ausgangswert bei jüngeren Altersgruppen. Keine Assoziation zwischen IL-33/sST2 und Impfantwort oder Zytokinen.</w:t>
      </w:r>
    </w:p>
    <w:p>
      <w:r>
        <w:rPr>
          <w:b/>
          <w:sz w:val="19"/>
        </w:rPr>
        <w:t xml:space="preserve">Übertragbarkeit: </w:t>
      </w:r>
      <w:r>
        <w:rPr>
          <w:sz w:val="19"/>
        </w:rPr>
        <w:t>Finnland, vergleichbares skandinavisches Gesundheitssystem und Register; etablierte Referenzwerte für präklinische Marker.</w:t>
      </w:r>
    </w:p>
    <w:p>
      <w:r>
        <w:rPr>
          <w:color w:val="5A7D3A"/>
          <w:sz w:val="18"/>
        </w:rPr>
        <w:t>https://pubmed.ncbi.nlm.nih.gov/42594457/</w:t>
      </w:r>
    </w:p>
    <w:p>
      <w:pPr>
        <w:pStyle w:val="Heading1"/>
      </w:pPr>
      <w:r>
        <w:t>Aufgenommen am 16.09.2026</w:t>
      </w:r>
    </w:p>
    <w:p>
      <w:pPr>
        <w:pStyle w:val="Heading2"/>
      </w:pPr>
      <w:r>
        <w:t>Digitale Assistenten für HPV-Impfung und Gebärmutterhalskrebs-Screening – was funktioniert?</w:t>
      </w:r>
    </w:p>
    <w:p>
      <w:r>
        <w:rPr>
          <w:i/>
          <w:color w:val="666666"/>
          <w:sz w:val="18"/>
        </w:rPr>
        <w:t>Umbetzhanova A et al.  ·  Front Public Health  ·  31.08.2026  ·  PMID 42741336</w:t>
      </w:r>
    </w:p>
    <w:p>
      <w:r>
        <w:t>Systematische Übersicht von 14 Studien (2016–2026) zur Frage, ob interaktive digitale Tools (Chatbots, Apps, Serious Games) HPV-Impfung und Gebärmutterhals-Screening erhöhen.</w:t>
      </w:r>
    </w:p>
    <w:p>
      <w:r>
        <w:rPr>
          <w:b/>
        </w:rPr>
        <w:t xml:space="preserve">Ergebnis: </w:t>
      </w:r>
      <w:r>
        <w:t>Chatbots zeigten vielversprechende Kurzzeit-Effekte auf Termin-Buchung (moderate Evidenz), aber hohe Abbruch-Quoten bei Mehrfach-Dosen. Theorie-basierte Apps erhöhten Zytologie-Inanspruchnahme kurzfristig (moderate Evidenz). Ein Serious Game korrelierte mit höheren CIN2+-Erkennungsraten, aber Confounding war schwerwiegend. Insgesamt: moderate Kurzzeit-Effekte, aber unzureichende Evidenz für Dauer.</w:t>
      </w:r>
    </w:p>
    <w:p>
      <w:r>
        <w:rPr>
          <w:b/>
          <w:sz w:val="19"/>
        </w:rPr>
        <w:t xml:space="preserve">Übertragbarkeit: </w:t>
      </w:r>
      <w:r>
        <w:rPr>
          <w:sz w:val="19"/>
        </w:rPr>
        <w:t>Mehrländer-Übersicht, digitale Hürden international ähnlich</w:t>
      </w:r>
    </w:p>
    <w:p>
      <w:r>
        <w:rPr>
          <w:color w:val="5A7D3A"/>
          <w:sz w:val="18"/>
        </w:rPr>
        <w:t>https://pubmed.ncbi.nlm.nih.gov/42741336/</w:t>
      </w:r>
    </w:p>
    <w:p>
      <w:pPr>
        <w:pStyle w:val="Heading2"/>
      </w:pPr>
      <w:r>
        <w:t>Impfen in Schulen: Was Schulkrankenpfleger in Colorado als Barrieren berichten</w:t>
      </w:r>
    </w:p>
    <w:p>
      <w:r>
        <w:rPr>
          <w:i/>
          <w:color w:val="666666"/>
          <w:sz w:val="18"/>
        </w:rPr>
        <w:t>Nienstedt L et al.  ·  J Sch Health  ·  Okt. 2026  ·  PMID 42740714</w:t>
      </w:r>
    </w:p>
    <w:p>
      <w:r>
        <w:t>Querschnittsbefragung von 368 Schulkrankenpflegern in Colorado 2024, ob und wie sie schulgebundene Impfaktionen (SAVEs) umsetzten.</w:t>
      </w:r>
    </w:p>
    <w:p>
      <w:r>
        <w:rPr>
          <w:b/>
        </w:rPr>
        <w:t xml:space="preserve">Ergebnis: </w:t>
      </w:r>
      <w:r>
        <w:t>Schulen ohne SAVEs nannten Mangel an Leitlinien (Top-3-Barriere), fehlende Personalzeit und mangelnde externe Partnerschaften als Haupthindernisse. In ländlichen Schulen rangierte Impf-Politisierung unter Top-Barrieren; in Schulen mit niedrigem Einkommen und Gymnasien war Zeitdruck dominant. Schulen mit SAVEs betont externe Partnerschaften und elterliches Vertrauen als Erfolsfaktoren.</w:t>
      </w:r>
    </w:p>
    <w:p>
      <w:r>
        <w:rPr>
          <w:b/>
          <w:sz w:val="19"/>
        </w:rPr>
        <w:t xml:space="preserve">Übertragbarkeit: </w:t>
      </w:r>
      <w:r>
        <w:rPr>
          <w:sz w:val="19"/>
        </w:rPr>
        <w:t>USA - nur Zugangswegs-Hürden übertragbar, nicht System</w:t>
      </w:r>
    </w:p>
    <w:p>
      <w:r>
        <w:rPr>
          <w:color w:val="5A7D3A"/>
          <w:sz w:val="18"/>
        </w:rPr>
        <w:t>https://pubmed.ncbi.nlm.nih.gov/42740714/</w:t>
      </w:r>
    </w:p>
    <w:p>
      <w:pPr>
        <w:pStyle w:val="Heading2"/>
      </w:pPr>
      <w:r>
        <w:t>Grippeschutz bei Älteren: Bildung und Umgebung beeinflussen Impfquote</w:t>
      </w:r>
    </w:p>
    <w:p>
      <w:r>
        <w:rPr>
          <w:i/>
          <w:color w:val="666666"/>
          <w:sz w:val="18"/>
        </w:rPr>
        <w:t>Zhang C et al.  ·  Zhonghua Yu Fang Yi Xue Za Zhi  ·  06.09.2026  ·  PMID 42736149</w:t>
      </w:r>
    </w:p>
    <w:p>
      <w:r>
        <w:t>Befragung von 700 Personen ≥60 Jahren in Shaanxi (China) 2025 zu Einflussfaktoren auf Grippeimpfung.</w:t>
      </w:r>
    </w:p>
    <w:p>
      <w:r>
        <w:rPr>
          <w:b/>
        </w:rPr>
        <w:t xml:space="preserve">Ergebnis: </w:t>
      </w:r>
      <w:r>
        <w:t>49,7% geimpft, 50,3% ungeimpft. Schutzfaktoren: Hochschulbildung (OR 2,77), Stadtwohnung (OR 1,94), hohes Infektionsrisiko-Bewusstsein (OR 4,89), Glaube an Impfnutzen (OR 10,96), Familie/Freunde mit Impfgeschichte (OR 5,07). Bildung und soziales Umfeld sind stärkste Prädiktoren – nicht Zugang allein.</w:t>
      </w:r>
    </w:p>
    <w:p>
      <w:r>
        <w:rPr>
          <w:b/>
          <w:sz w:val="19"/>
        </w:rPr>
        <w:t xml:space="preserve">Übertragbarkeit: </w:t>
      </w:r>
      <w:r>
        <w:rPr>
          <w:sz w:val="19"/>
        </w:rPr>
        <w:t>China - Befund zu Risiko-Wahrnehmung und Vertrauen transnational relevant</w:t>
      </w:r>
    </w:p>
    <w:p>
      <w:r>
        <w:rPr>
          <w:color w:val="5A7D3A"/>
          <w:sz w:val="18"/>
        </w:rPr>
        <w:t>https://pubmed.ncbi.nlm.nih.gov/42736149/</w:t>
      </w:r>
    </w:p>
    <w:p>
      <w:pPr>
        <w:pStyle w:val="Heading2"/>
      </w:pPr>
      <w:r>
        <w:t>RSV-Impfung in der Schwangerschaft und Frühgeburtsrisiko: Metaanalyse</w:t>
      </w:r>
    </w:p>
    <w:p>
      <w:r>
        <w:rPr>
          <w:i/>
          <w:color w:val="666666"/>
          <w:sz w:val="18"/>
        </w:rPr>
        <w:t>Leskinen N et al.  ·  Immun Inflamm Dis  ·  Sept. 2026  ·  PMID 42712161</w:t>
      </w:r>
    </w:p>
    <w:p>
      <w:r>
        <w:t>Metaanalyse von 7 Studien (3 RCTs, 4 Beobachtungsstudien; insgesamt ~17.000 Geburten) zur Frage, ob mütterliche RSV-PreF-Impfung Frühgeburten oder NICU-Aufnahmen erhöht.</w:t>
      </w:r>
    </w:p>
    <w:p>
      <w:r>
        <w:rPr>
          <w:b/>
        </w:rPr>
        <w:t xml:space="preserve">Ergebnis: </w:t>
      </w:r>
      <w:r>
        <w:t>RCTs zeigten erhöhtes Frühgeburtsrisiko (RR 1,26, 95%-KI 1,08–1,46); Beobachtungsstudien nicht (RR 0,78, 95%-KI 0,46–1,32). Gepoolte Analyse: kein Gesamteffekt (RR 0,96, 95%-KI 0,68–1,38). NICU-Aufnahme nicht erhöht (RR 0,74). Evidenzsicherheit niedrig bis sehr niedrig; Überwachung empfohlen.</w:t>
      </w:r>
    </w:p>
    <w:p>
      <w:r>
        <w:rPr>
          <w:b/>
          <w:sz w:val="19"/>
        </w:rPr>
        <w:t xml:space="preserve">Übertragbarkeit: </w:t>
      </w:r>
      <w:r>
        <w:rPr>
          <w:sz w:val="19"/>
        </w:rPr>
        <w:t>Mehrländer-Studie, übertragbar auf europaähnliche Settings</w:t>
      </w:r>
    </w:p>
    <w:p>
      <w:r>
        <w:rPr>
          <w:color w:val="5A7D3A"/>
          <w:sz w:val="18"/>
        </w:rPr>
        <w:t>https://pubmed.ncbi.nlm.nih.gov/42712161/</w:t>
      </w:r>
    </w:p>
    <w:p>
      <w:pPr>
        <w:pStyle w:val="Heading2"/>
      </w:pPr>
      <w:r>
        <w:t>Auffrischimpfung gegen JN.1-Variante aktiviert neue B-Zell-Subpopulationen</w:t>
      </w:r>
    </w:p>
    <w:p>
      <w:r>
        <w:rPr>
          <w:i/>
          <w:color w:val="666666"/>
          <w:sz w:val="18"/>
        </w:rPr>
        <w:t>Stankov MV et al.  ·  Nat Commun  ·  24.07.2026  ·  PMID 42498786</w:t>
      </w:r>
    </w:p>
    <w:p>
      <w:r>
        <w:t>Deutsche Längsschnittstudie (n=42, überwiegend mehrfach Geimpfte und Infizierte) untersuchte, wie JN.1-adaptierte mRNA-Booster die Antikörper- und B-Zell-Antwort verändern.</w:t>
      </w:r>
    </w:p>
    <w:p>
      <w:r>
        <w:rPr>
          <w:b/>
        </w:rPr>
        <w:t xml:space="preserve">Ergebnis: </w:t>
      </w:r>
      <w:r>
        <w:t>IgG-Bindung und Neutralisierungstiter gegen JN.1 stiegen; Antigen-spezifische Memory-B-Zellen zeigten durch Mutationen (somatic hypermutation) verbesserte JN.1-Bindung, ohne dass neue naive B-Zellen massiv rekrutiert wurden. Effekt: Reifung vorbestehender Memory-B-Zellen statt Neuausrichtung.</w:t>
      </w:r>
    </w:p>
    <w:p>
      <w:r>
        <w:rPr>
          <w:b/>
          <w:sz w:val="19"/>
        </w:rPr>
        <w:t xml:space="preserve">Übertragbarkeit: </w:t>
      </w:r>
      <w:r>
        <w:rPr>
          <w:sz w:val="19"/>
        </w:rPr>
        <w:t>Deutschland, vergleichbare Impfstrategie und Dokumentation</w:t>
      </w:r>
    </w:p>
    <w:p>
      <w:r>
        <w:rPr>
          <w:color w:val="5A7D3A"/>
          <w:sz w:val="18"/>
        </w:rPr>
        <w:t>https://pubmed.ncbi.nlm.nih.gov/42498786/</w:t>
      </w:r>
    </w:p>
    <w:p>
      <w:pPr>
        <w:pStyle w:val="Heading2"/>
      </w:pPr>
      <w:r>
        <w:t>CAR-T-Therapien in Europa: Axicabtagene vs. Tisagenlecleucel bei großzelligem Lymphom</w:t>
      </w:r>
    </w:p>
    <w:p>
      <w:r>
        <w:rPr>
          <w:i/>
          <w:color w:val="666666"/>
          <w:sz w:val="18"/>
        </w:rPr>
        <w:t>Li H et al.  ·  PeerJ  ·  06.07.2026  ·  PMID 42428526</w:t>
      </w:r>
    </w:p>
    <w:p>
      <w:r>
        <w:t>Systematische Übersicht von 8 europäischen Kohortenstudien mit 2.178 Patienten verglich Wirksamkeit und Toxizität zweier CAR-T-Produkte gegen diffuses großzelliges B-Zell-Lymphom.</w:t>
      </w:r>
    </w:p>
    <w:p>
      <w:r>
        <w:rPr>
          <w:b/>
        </w:rPr>
        <w:t xml:space="preserve">Ergebnis: </w:t>
      </w:r>
      <w:r>
        <w:t>Axicabtagene zeigte höhere 3-Monats-Ansprechquoten (signifikant, p nicht genannt), aber niedrigere 12-Monats-progressionsfreie Überlebensraten; höhere Raten für Zytokinfreibsetzungssyndrom und neurotoxisches Syndrom (ICANS) alle Grade sowie Grade ≥3 ICANS, häufigere Tocilizumab-Gabe. Unter europäischen Alltagsbedingungen zeigt sich ein Wirksamkeits-Toxizitäts-Trade-off.</w:t>
      </w:r>
    </w:p>
    <w:p>
      <w:r>
        <w:rPr>
          <w:b/>
          <w:sz w:val="19"/>
        </w:rPr>
        <w:t xml:space="preserve">Übertragbarkeit: </w:t>
      </w:r>
      <w:r>
        <w:rPr>
          <w:sz w:val="19"/>
        </w:rPr>
        <w:t>Europa - acht Kohorten, vergleichbares Versicherungssystem</w:t>
      </w:r>
    </w:p>
    <w:p>
      <w:r>
        <w:rPr>
          <w:color w:val="5A7D3A"/>
          <w:sz w:val="18"/>
        </w:rPr>
        <w:t>https://pubmed.ncbi.nlm.nih.gov/42428526/</w:t>
      </w:r>
    </w:p>
    <w:p>
      <w:pPr>
        <w:pStyle w:val="Heading1"/>
      </w:pPr>
      <w:r>
        <w:t>Aufgenommen am 15.09.2026</w:t>
      </w:r>
    </w:p>
    <w:p>
      <w:pPr>
        <w:pStyle w:val="Heading2"/>
      </w:pPr>
      <w:r>
        <w:t>COVID-19-Pandemie verbesserte Wissen und Einstellung zur Polioimpfung in Pakistan</w:t>
      </w:r>
    </w:p>
    <w:p>
      <w:r>
        <w:rPr>
          <w:i/>
          <w:color w:val="666666"/>
          <w:sz w:val="18"/>
        </w:rPr>
        <w:t>Ullah A et al.  ·  East Mediterr Health J  ·  03.09.2026  ·  PMID 42734198</w:t>
      </w:r>
    </w:p>
    <w:p>
      <w:r>
        <w:t>Querschnittsstudie mit 308 Eltern von Kindern unter fünf Jahren in Nord-Waziristan, Pakistan (Januar bis April 2025) zum Wissensstand über Polioimpfung vor und nach COVID-19.</w:t>
      </w:r>
    </w:p>
    <w:p>
      <w:r>
        <w:rPr>
          <w:b/>
        </w:rPr>
        <w:t xml:space="preserve">Ergebnis: </w:t>
      </w:r>
      <w:r>
        <w:t>Mittlere Wissenspunktzahl stieg von 6,2±2,3 (vor COVID-19) auf 8,3±2,1 (nach COVID-19; p&lt;0,0001). Gutes Wissen (Punktzahl ≥9) nahm von 36,3 % auf 58,7 % zu, Fehlvorstellungen sanken von 64,9 % auf 35,1 %. Empfehlungen von Fachpersonal (85 %), Social-Media-Kampagnen (76 %) und Verfechter religiöser Führer (55 %) trugen zur Verbesserung bei.</w:t>
      </w:r>
    </w:p>
    <w:p>
      <w:r>
        <w:rPr>
          <w:b/>
          <w:sz w:val="19"/>
        </w:rPr>
        <w:t xml:space="preserve">Übertragbarkeit: </w:t>
      </w:r>
      <w:r>
        <w:rPr>
          <w:sz w:val="19"/>
        </w:rPr>
        <w:t>Pakistan – Impfakzeptanz-Befunde, aber anderes Gesundheitssystem</w:t>
      </w:r>
    </w:p>
    <w:p>
      <w:r>
        <w:rPr>
          <w:color w:val="5A7D3A"/>
          <w:sz w:val="18"/>
        </w:rPr>
        <w:t>https://pubmed.ncbi.nlm.nih.gov/42734198/</w:t>
      </w:r>
    </w:p>
    <w:p>
      <w:pPr>
        <w:pStyle w:val="Heading2"/>
      </w:pPr>
      <w:r>
        <w:t>Herpes Zoster-Impfstoff LZ901 schützt 91,6 Prozent der Geimpften vor Erkrankung</w:t>
      </w:r>
    </w:p>
    <w:p>
      <w:r>
        <w:rPr>
          <w:i/>
          <w:color w:val="666666"/>
          <w:sz w:val="18"/>
        </w:rPr>
        <w:t>Jin P et al.  ·  Nat Commun  ·  07.08.2026  ·  PMID 42733065</w:t>
      </w:r>
    </w:p>
    <w:p>
      <w:r>
        <w:t>Randomisierte, placebokontrollierte Phase-3-Studie zur Wirksamkeit und Sicherheit des Herpes-Zoster-Impfstoffs LZ901 (rekombinante gE-Fc-Fusionprotein) bei 26 018 Erwachsenen ab 40 Jahren über 12 Monate.</w:t>
      </w:r>
    </w:p>
    <w:p>
      <w:r>
        <w:rPr>
          <w:b/>
        </w:rPr>
        <w:t xml:space="preserve">Ergebnis: </w:t>
      </w:r>
      <w:r>
        <w:t>Impfeffektivität gegen Herpes Zoster 91,6 % (95%-KI 86,3–95,3; p&lt;0,001); bei 40–69 Jahren 93,9 %, bei ≥70 Jahren 66,9 %. Gegen Post-Zoster-Neuralgie 95,9 % (95%-KI 63,9–99,9). Injektionsstellen- und systemische Reaktionen erhöht, Grad-3-Reaktionen selten (0,3 % vs. 0,4 % Placebo), keine schwerwiegenden unerwünschten Ereignisse.</w:t>
      </w:r>
    </w:p>
    <w:p>
      <w:r>
        <w:rPr>
          <w:b/>
          <w:sz w:val="19"/>
        </w:rPr>
        <w:t xml:space="preserve">Übertragbarkeit: </w:t>
      </w:r>
      <w:r>
        <w:rPr>
          <w:sz w:val="19"/>
        </w:rPr>
        <w:t>China, vergleichbare epidemiologische Zielgruppe und klinische Endpunkte</w:t>
      </w:r>
    </w:p>
    <w:p>
      <w:r>
        <w:rPr>
          <w:color w:val="5A7D3A"/>
          <w:sz w:val="18"/>
        </w:rPr>
        <w:t>https://pubmed.ncbi.nlm.nih.gov/42733065/</w:t>
      </w:r>
    </w:p>
    <w:p>
      <w:pPr>
        <w:pStyle w:val="Heading2"/>
      </w:pPr>
      <w:r>
        <w:t>Verständnis der Herpes-Zoster-Erkrankung steigert Impfquote bei älteren Erwachsenen in China</w:t>
      </w:r>
    </w:p>
    <w:p>
      <w:r>
        <w:rPr>
          <w:i/>
          <w:color w:val="666666"/>
          <w:sz w:val="18"/>
        </w:rPr>
        <w:t>Bolanos R et al.  ·  Expert Rev Vaccines  ·  12.09.2026  ·  PMID 42728842</w:t>
      </w:r>
    </w:p>
    <w:p>
      <w:r>
        <w:t>Querschnittsstudie mit 1556 Bürgern ab 60 Jahren aus Shenzhen, China (August–Oktober 2024) zu psychosozialen und familiären Faktoren der Herpes-Zoster-Impfakzeptanz.</w:t>
      </w:r>
    </w:p>
    <w:p>
      <w:r>
        <w:rPr>
          <w:b/>
        </w:rPr>
        <w:t xml:space="preserve">Ergebnis: </w:t>
      </w:r>
      <w:r>
        <w:t>8,0 % der Teilnehmer waren geimpft. Besseres Verständnis (Kohärenz) war mit höherer Impfquote assoziiert (AOR 1,15; 95%-KI 1,07–1,24). Impfmüdigkeit korrelierte mit niedrigerer Quote (AOR 0,79; 95%-KI 0,62–0,99). Stark modifizierbare psychosoziale Faktoren identifiziert.</w:t>
      </w:r>
    </w:p>
    <w:p>
      <w:r>
        <w:rPr>
          <w:b/>
          <w:sz w:val="19"/>
        </w:rPr>
        <w:t xml:space="preserve">Übertragbarkeit: </w:t>
      </w:r>
      <w:r>
        <w:rPr>
          <w:sz w:val="19"/>
        </w:rPr>
        <w:t>China – Versorgungskontext anderer, Impfskepsis-Mechanismen aber übertragbar</w:t>
      </w:r>
    </w:p>
    <w:p>
      <w:r>
        <w:rPr>
          <w:color w:val="5A7D3A"/>
          <w:sz w:val="18"/>
        </w:rPr>
        <w:t>https://pubmed.ncbi.nlm.nih.gov/42728842/</w:t>
      </w:r>
    </w:p>
    <w:p>
      <w:pPr>
        <w:pStyle w:val="Heading2"/>
      </w:pPr>
      <w:r>
        <w:t>Mobile-App zur HPV-Impfberatung erhöhte Impfrate bei Kindern auf 48 Prozent</w:t>
      </w:r>
    </w:p>
    <w:p>
      <w:r>
        <w:rPr>
          <w:i/>
          <w:color w:val="666666"/>
          <w:sz w:val="18"/>
        </w:rPr>
        <w:t>Cunningham-Erves J et al.  ·  JMIR Cancer  ·  09.09.2026  ·  PMID 42715554</w:t>
      </w:r>
    </w:p>
    <w:p>
      <w:r>
        <w:t>Pilot-RCT (Juni–September 2023) in zwei Stadtkliniken Tennessee mit 57 Eltern von Kindern 9–17 Jahren. HPVVaxFacts-App vermittelt tailorierte Impfaufklärung vor Klinikbesuch versus Ernährungsedukation (Aufmerksamkeitskontrolle).</w:t>
      </w:r>
    </w:p>
    <w:p>
      <w:r>
        <w:rPr>
          <w:b/>
        </w:rPr>
        <w:t xml:space="preserve">Ergebnis: </w:t>
      </w:r>
      <w:r>
        <w:t>HPV-Impfeinleitung Interventionsgruppe 48 %, Kontrollgruppe 17 % (Differenz 0,24; 95%-KI 0,03–0,46; p=0,01). Wissensgewinne und Besorgnis-Reduktion in der App-Gruppe größer, aber nicht statistisch signifikant (p=0,13 und p=0,14). 81 % der Eltern nutzten die App, Mehrheit fand Protokoll und App akzeptabel.</w:t>
      </w:r>
    </w:p>
    <w:p>
      <w:r>
        <w:rPr>
          <w:b/>
          <w:sz w:val="19"/>
        </w:rPr>
        <w:t xml:space="preserve">Übertragbarkeit: </w:t>
      </w:r>
      <w:r>
        <w:rPr>
          <w:sz w:val="19"/>
        </w:rPr>
        <w:t>USA – Impfakzeptanz-Intervention, transferierbar nur für Designprinzipien</w:t>
      </w:r>
    </w:p>
    <w:p>
      <w:r>
        <w:rPr>
          <w:color w:val="5A7D3A"/>
          <w:sz w:val="18"/>
        </w:rPr>
        <w:t>https://pubmed.ncbi.nlm.nih.gov/42715554/</w:t>
      </w:r>
    </w:p>
    <w:p>
      <w:pPr>
        <w:pStyle w:val="Heading2"/>
      </w:pPr>
      <w:r>
        <w:t>Altersabhängige Immunabläufe erklären unterschiedliche Influenza-Impfwirksamkeit über Lebensalter</w:t>
      </w:r>
    </w:p>
    <w:p>
      <w:r>
        <w:rPr>
          <w:i/>
          <w:color w:val="666666"/>
          <w:sz w:val="18"/>
        </w:rPr>
        <w:t>Liu J et al.  ·  Front Immunol  ·  24.08.2026  ·  PMID 42707705</w:t>
      </w:r>
    </w:p>
    <w:p>
      <w:r>
        <w:t>Narrativer Review zu Einflussfaktoren des Alters auf Influenza-Impfeffektivität und zu lebensalter-spezifischen Immunmechanismen von der Entwicklung über Reifung bis zur Immunoseneszenz.</w:t>
      </w:r>
    </w:p>
    <w:p>
      <w:r>
        <w:rPr>
          <w:b/>
        </w:rPr>
        <w:t xml:space="preserve">Ergebnis: </w:t>
      </w:r>
      <w:r>
        <w:t>Influenza-Impfeffektivität zeigt erhebliche altersabhängige Heterogenität. Immun-Remodellierung über die Lebensspanne prägt Vakzin-Reaktionen. Review schlägt altersgerechte Impfstoff-Optimierungsstrategie vor: spezifische Formulierungen für Kinder, Erwachsene und ältere Menschen statt ‚one-dose-fits-all'-Modell. Theoretische Grundlage für Präzisions-Impfparadigma gelegt.</w:t>
      </w:r>
    </w:p>
    <w:p>
      <w:r>
        <w:rPr>
          <w:b/>
          <w:sz w:val="19"/>
        </w:rPr>
        <w:t xml:space="preserve">Übertragbarkeit: </w:t>
      </w:r>
      <w:r>
        <w:rPr>
          <w:sz w:val="19"/>
        </w:rPr>
        <w:t>China (Institut), aber Immunologie-Mechanismen universal</w:t>
      </w:r>
    </w:p>
    <w:p>
      <w:r>
        <w:rPr>
          <w:color w:val="5A7D3A"/>
          <w:sz w:val="18"/>
        </w:rPr>
        <w:t>https://pubmed.ncbi.nlm.nih.gov/42707705/</w:t>
      </w:r>
    </w:p>
    <w:p>
      <w:pPr>
        <w:pStyle w:val="Heading2"/>
      </w:pPr>
      <w:r>
        <w:t>23-valente Pneumokokken-Polysaccharidimpfung senkte ambulante Pneumonie um knapp 20 Prozent</w:t>
      </w:r>
    </w:p>
    <w:p>
      <w:r>
        <w:rPr>
          <w:i/>
          <w:color w:val="666666"/>
          <w:sz w:val="18"/>
        </w:rPr>
        <w:t>Vernooij FS et al.  ·  Epidemiol Infect  ·  23.07.2026  ·  PMID 42487216</w:t>
      </w:r>
    </w:p>
    <w:p>
      <w:r>
        <w:t>Regression-Discontinuity-Analyse der Wirkung der PPV23-Impfung auf nicht-invasive Pneumokokken-Pneumonie bei Erwachsenen über 60 Jahren in den Niederlanden zwischen 2016 und 2023.</w:t>
      </w:r>
    </w:p>
    <w:p>
      <w:r>
        <w:rPr>
          <w:b/>
        </w:rPr>
        <w:t xml:space="preserve">Ergebnis: </w:t>
      </w:r>
      <w:r>
        <w:t>Gesamtwirksamkeit 19,7 % (95%-KI 8,5–29,7). Die Schutzwirkung nahm über die Zeit seit Impfberechtigung ab, blieb aber auch nach drei Jahren deutlich vorhanden. Daten aus 14 Laboren mit geschätzter Abdeckung von 34,9 % der niederländischen Bevölkerung.</w:t>
      </w:r>
    </w:p>
    <w:p>
      <w:r>
        <w:rPr>
          <w:b/>
          <w:sz w:val="19"/>
        </w:rPr>
        <w:t xml:space="preserve">Übertragbarkeit: </w:t>
      </w:r>
      <w:r>
        <w:rPr>
          <w:sz w:val="19"/>
        </w:rPr>
        <w:t>Niederlande, vergleichbares Versicherungssystem und Laborregister</w:t>
      </w:r>
    </w:p>
    <w:p>
      <w:r>
        <w:rPr>
          <w:color w:val="5A7D3A"/>
          <w:sz w:val="18"/>
        </w:rPr>
        <w:t>https://pubmed.ncbi.nlm.nih.gov/42487216/</w:t>
      </w:r>
    </w:p>
    <w:p>
      <w:pPr>
        <w:pStyle w:val="Heading1"/>
      </w:pPr>
      <w:r>
        <w:t>Aufgenommen am 14.09.2026</w:t>
      </w:r>
    </w:p>
    <w:p>
      <w:pPr>
        <w:pStyle w:val="Heading2"/>
      </w:pPr>
      <w:r>
        <w:t>Impfkampagnen-Monitoring: Abweichungen zwischen Felderhebungen und Nachbarschafts-Umfragen</w:t>
      </w:r>
    </w:p>
    <w:p>
      <w:r>
        <w:rPr>
          <w:i/>
          <w:color w:val="666666"/>
          <w:sz w:val="18"/>
        </w:rPr>
        <w:t>Thakkar N  ·  Gates Open Res  ·  01.09.2026  ·  PMID 42732098</w:t>
      </w:r>
    </w:p>
    <w:p>
      <w:r>
        <w:t>Analyse von Impfteam-Tallies (tägliche Dokumentation Geimpfter) versus Post-Campaign Coverage Surveys (PCCS) in Kano-Kampagne 2023 (Masern, Nigeria) unter Verwendung von Capture-Recapture-Methoden.</w:t>
      </w:r>
    </w:p>
    <w:p>
      <w:r>
        <w:rPr>
          <w:b/>
        </w:rPr>
        <w:t xml:space="preserve">Ergebnis: </w:t>
      </w:r>
      <w:r>
        <w:t>Erhebliche Diskrepanzen zwischen Tally-basierten Recapture-Schätzungen und PCCS-Daten. Tally-Daten ermöglichen präzise, quasi-zeitgleiche Monitoring und hohe räumliche Auflösung. Verschiedene Verzerrungsmodelle erklären Abweichungen: Doppelzählungen, fehlende Dokumentation, Non-Response in PCCS. Tally-Sheets als unkonventionelle, aber nachvollziehbare Populationsstichprobe zur Echtzeitbewertung von Implementierungsqualität.</w:t>
      </w:r>
    </w:p>
    <w:p>
      <w:r>
        <w:rPr>
          <w:b/>
          <w:sz w:val="19"/>
        </w:rPr>
        <w:t xml:space="preserve">Übertragbarkeit: </w:t>
      </w:r>
      <w:r>
        <w:rPr>
          <w:sz w:val="19"/>
        </w:rPr>
        <w:t>Nigeria/Subsahara-Kontext, Methodik auf deutsche Kampagnen-Evaluation anwendbar, insbes. zur Echtzeit-Qualitätskontrolle.</w:t>
      </w:r>
    </w:p>
    <w:p>
      <w:r>
        <w:rPr>
          <w:color w:val="5A7D3A"/>
          <w:sz w:val="18"/>
        </w:rPr>
        <w:t>https://pubmed.ncbi.nlm.nih.gov/42732098/</w:t>
      </w:r>
    </w:p>
    <w:p>
      <w:pPr>
        <w:pStyle w:val="Heading2"/>
      </w:pPr>
      <w:r>
        <w:t>Verzögerte Impfungen: Globale Systeme erfassen Catch-up-Dosen unzureichend</w:t>
      </w:r>
    </w:p>
    <w:p>
      <w:r>
        <w:rPr>
          <w:i/>
          <w:color w:val="666666"/>
          <w:sz w:val="18"/>
        </w:rPr>
        <w:t>Danovaro-Holliday MC et al.  ·  Gates Open Res  ·  01.09.2026  ·  PMID 42732096</w:t>
      </w:r>
    </w:p>
    <w:p>
      <w:r>
        <w:t>Analyse von WHO/UNICEF-Daten aus 194 Ländern (2016–2022) zur Fähigkeit von Immunisierungssystemen, verzögerte (Catch-up-)Impfdosen zu dokumentieren und zu monitoren.</w:t>
      </w:r>
    </w:p>
    <w:p>
      <w:r>
        <w:rPr>
          <w:b/>
        </w:rPr>
        <w:t xml:space="preserve">Ergebnis: </w:t>
      </w:r>
      <w:r>
        <w:t>Nur 55,5–64,4 % der Länder verfügten über Systeme zur Erfassung verzögerter Dosen; in Amerika (AMR) 77,1–82,9 %. Median-Anteil verzögerter MCV1-Dosen: 4,4 %. Catch-up-Aktivitäten würden gemeldete Impfquoten um ca. 4 Prozentpunkte erhöhen. Erhebliche regionale Unterschiede je nach Einkommensstatus und Gavi-Teilnahme.</w:t>
      </w:r>
    </w:p>
    <w:p>
      <w:r>
        <w:rPr>
          <w:b/>
          <w:sz w:val="19"/>
        </w:rPr>
        <w:t xml:space="preserve">Übertragbarkeit: </w:t>
      </w:r>
      <w:r>
        <w:rPr>
          <w:sz w:val="19"/>
        </w:rPr>
        <w:t>Globale Systemanalyse, zeigt Schwächen in deutscher Impfdokumentation (Deutschland hat kein zentrales Impfregister).</w:t>
      </w:r>
    </w:p>
    <w:p>
      <w:r>
        <w:rPr>
          <w:color w:val="5A7D3A"/>
          <w:sz w:val="18"/>
        </w:rPr>
        <w:t>https://pubmed.ncbi.nlm.nih.gov/42732096/</w:t>
      </w:r>
    </w:p>
    <w:p>
      <w:pPr>
        <w:pStyle w:val="Heading2"/>
      </w:pPr>
      <w:r>
        <w:t>Masern als Messlatte: Warum Eradikation Impfsysteme stärkt</w:t>
      </w:r>
    </w:p>
    <w:p>
      <w:r>
        <w:rPr>
          <w:i/>
          <w:color w:val="666666"/>
          <w:sz w:val="18"/>
        </w:rPr>
        <w:t>Durrheim DN et al.  ·  Hum Vaccin Immunother  ·  12.09.2026  ·  PMID 42730634</w:t>
      </w:r>
    </w:p>
    <w:p>
      <w:r>
        <w:t>Perspektive zur strategischen Bedeutung von Masern-Eradikation als Katalysator für Aufbau stabiler Impfprogramme und Gesundheitssysteme, besonders im Kontext steigender Ausbrüche.</w:t>
      </w:r>
    </w:p>
    <w:p>
      <w:r>
        <w:rPr>
          <w:b/>
        </w:rPr>
        <w:t xml:space="preserve">Ergebnis: </w:t>
      </w:r>
      <w:r>
        <w:t>Masern-Eradikation erfordert und katalysiert Fähigkeiten, die auch grundlegend für resiliente Systeme sind: hohe Routineimpfquoten, sensitive Surveillance, qualitätsgesicherte Labornetzwerke, schnelle Ausbruchreaktion, Gemeinschaftsbeteiligung. Aktuelle Ausbrüche signalisieren Systemfragilitäten und bieten Gelegenheit zur Stärkung von Impfgerechtigkeit.</w:t>
      </w:r>
    </w:p>
    <w:p>
      <w:r>
        <w:rPr>
          <w:b/>
          <w:sz w:val="19"/>
        </w:rPr>
        <w:t xml:space="preserve">Übertragbarkeit: </w:t>
      </w:r>
      <w:r>
        <w:rPr>
          <w:sz w:val="19"/>
        </w:rPr>
        <w:t>Conceptual framework zur Systemstärkung, international anwendbar, besonders relevant für Länder mit Ausbrüchen.</w:t>
      </w:r>
    </w:p>
    <w:p>
      <w:r>
        <w:rPr>
          <w:color w:val="5A7D3A"/>
          <w:sz w:val="18"/>
        </w:rPr>
        <w:t>https://pubmed.ncbi.nlm.nih.gov/42730634/</w:t>
      </w:r>
    </w:p>
    <w:p>
      <w:pPr>
        <w:pStyle w:val="Heading2"/>
      </w:pPr>
      <w:r>
        <w:t>Sierra Leone: Von Impfstoff-Verfügbarkeit zur Bevölkerungsschutzung – Deployment Readiness</w:t>
      </w:r>
    </w:p>
    <w:p>
      <w:r>
        <w:rPr>
          <w:i/>
          <w:color w:val="666666"/>
          <w:sz w:val="18"/>
        </w:rPr>
        <w:t>Ikoona EN et al.  ·  Ann Glob Health  ·  07.09.2026  ·  PMID 42730077</w:t>
      </w:r>
    </w:p>
    <w:p>
      <w:r>
        <w:t>Vergleichende Analyse von Impfkampagnen-Implementierung in Sierra Leone (COVID-19 2021, Ebola 2024, Mpox 2025) zur Identifikation kritischer Faktoren zwischen Zulassung und Vakzinierungsbeginn.</w:t>
      </w:r>
    </w:p>
    <w:p>
      <w:r>
        <w:rPr>
          <w:b/>
        </w:rPr>
        <w:t xml:space="preserve">Ergebnis: </w:t>
      </w:r>
      <w:r>
        <w:t>COVID-19: 45 Tage von EMA-Zulassung bis Impfstart; 73,2–86,7 % Deckung in Zielgruppe. Ebola: 1.851 Tage bis Impfstart trotz globales Stockpile seit 2021. Mpox: 106 Tage nach Ausbruchbestätigung, 186.053 Personen erreicht. &gt;84 % der COVID-Dosen über Surge-Kampagnen. Produktverfügbarkeit allein unzureichend; nationale Aktivierung, Finanzierung und Anbindung an globale Vorgaben entscheidend.</w:t>
      </w:r>
    </w:p>
    <w:p>
      <w:r>
        <w:rPr>
          <w:b/>
          <w:sz w:val="19"/>
        </w:rPr>
        <w:t xml:space="preserve">Übertragbarkeit: </w:t>
      </w:r>
      <w:r>
        <w:rPr>
          <w:sz w:val="19"/>
        </w:rPr>
        <w:t>Niedrig-/mitteleinkommiges Land (WHO-EMRO), Implementierungs-Framework transferierbar auf deutsche Krise-Impf-Vorbereitung.</w:t>
      </w:r>
    </w:p>
    <w:p>
      <w:r>
        <w:rPr>
          <w:color w:val="5A7D3A"/>
          <w:sz w:val="18"/>
        </w:rPr>
        <w:t>https://pubmed.ncbi.nlm.nih.gov/42730077/</w:t>
      </w:r>
    </w:p>
    <w:p>
      <w:pPr>
        <w:pStyle w:val="Heading2"/>
      </w:pPr>
      <w:r>
        <w:t>Dengue- und Chikungunya-Impfstoffe: Verfügbarkeit ungleich Erreichen von Risikogruppen</w:t>
      </w:r>
    </w:p>
    <w:p>
      <w:r>
        <w:rPr>
          <w:i/>
          <w:color w:val="666666"/>
          <w:sz w:val="18"/>
        </w:rPr>
        <w:t>La Porta CAM et al.  ·  Open Res Eur  ·  22.08.2026  ·  PMID 42728936</w:t>
      </w:r>
    </w:p>
    <w:p>
      <w:r>
        <w:t>Übersichtsarbeit zu Lücken zwischen Impfstoff-Zulassung/globaler Verfügbarkeit und epidemiologischer Risikoverbreitung sowie inkonsistentem Eintrag in nationale Impfprogramme.</w:t>
      </w:r>
    </w:p>
    <w:p>
      <w:r>
        <w:rPr>
          <w:b/>
        </w:rPr>
        <w:t xml:space="preserve">Ergebnis: </w:t>
      </w:r>
      <w:r>
        <w:t>Erhebliche Diskrepanzen zwischen geografischen Regionen mit regulatorischer Zulassung und Zonen höchster epidemiologischer Belastung (Dengue, Chikungunya). Nationale Impfprogramm-Inklusion fragmentarisch. Aktuelle Strategien reaktiv, unzureichend an Transmissionsmuster und Gesundheitssystem-Kapazität angepasst. Bedarf: Präparedness-orientierte Frameworks für zeitgerechte Einführung, nachhaltige Abdeckung, risikoadaptives Deployment.</w:t>
      </w:r>
    </w:p>
    <w:p>
      <w:r>
        <w:rPr>
          <w:b/>
          <w:sz w:val="19"/>
        </w:rPr>
        <w:t xml:space="preserve">Übertragbarkeit: </w:t>
      </w:r>
      <w:r>
        <w:rPr>
          <w:sz w:val="19"/>
        </w:rPr>
        <w:t>Global, zeigt Koordinationsproblem zwischen Zulassung und Programm-Aufnahme, relevant für deutsche Impfkalender-Entscheidungen.</w:t>
      </w:r>
    </w:p>
    <w:p>
      <w:r>
        <w:rPr>
          <w:color w:val="5A7D3A"/>
          <w:sz w:val="18"/>
        </w:rPr>
        <w:t>https://pubmed.ncbi.nlm.nih.gov/42728936/</w:t>
      </w:r>
    </w:p>
    <w:p>
      <w:pPr>
        <w:pStyle w:val="Heading2"/>
      </w:pPr>
      <w:r>
        <w:t>Norovirus-Impfung in England: Kostenwirksam durch Vermeidung von Nierenschäden</w:t>
      </w:r>
    </w:p>
    <w:p>
      <w:r>
        <w:rPr>
          <w:i/>
          <w:color w:val="666666"/>
          <w:sz w:val="18"/>
        </w:rPr>
        <w:t>Bolt H et al.  ·  Epidemics  ·  28.07.2026  ·  PMID 42537313</w:t>
      </w:r>
    </w:p>
    <w:p>
      <w:r>
        <w:t>Modellierung der gesundheitsökonomischen Effekte einer Norovirus-Impfung in England, die Akutnierenschäden als Spätfolge berücksichtigt.</w:t>
      </w:r>
    </w:p>
    <w:p>
      <w:r>
        <w:rPr>
          <w:b/>
        </w:rPr>
        <w:t xml:space="preserve">Ergebnis: </w:t>
      </w:r>
      <w:r>
        <w:t>Kombinierte Impfstrategie für Kinder und Ältere reduzierte symptomatische Infektionen um 64–66 %. Mit akuten Nierenschäden war eine Impfstoffeffektivität von 35 % noch kosteneffektiv (Schwellenwert: £ 20.000 pro QALY). Ohne Berücksichtigung der Nierenschäden war keine Strategie kosteneffektiv.</w:t>
      </w:r>
    </w:p>
    <w:p>
      <w:r>
        <w:rPr>
          <w:b/>
          <w:sz w:val="19"/>
        </w:rPr>
        <w:t xml:space="preserve">Übertragbarkeit: </w:t>
      </w:r>
      <w:r>
        <w:rPr>
          <w:sz w:val="19"/>
        </w:rPr>
        <w:t>Englisches Versorgungssystem, vergleichbar mit deutschen Health Economics-Evaluationen.</w:t>
      </w:r>
    </w:p>
    <w:p>
      <w:r>
        <w:rPr>
          <w:color w:val="5A7D3A"/>
          <w:sz w:val="18"/>
        </w:rPr>
        <w:t>https://pubmed.ncbi.nlm.nih.gov/42537313/</w:t>
      </w:r>
    </w:p>
    <w:p>
      <w:pPr>
        <w:pStyle w:val="Heading2"/>
      </w:pPr>
      <w:r>
        <w:t>Viruslast-Dynamik und Varianten: Was Frankreichs Routinetests über Impfschutz verraten</w:t>
      </w:r>
    </w:p>
    <w:p>
      <w:r>
        <w:rPr>
          <w:i/>
          <w:color w:val="666666"/>
          <w:sz w:val="18"/>
        </w:rPr>
        <w:t>Beaulieu M et al.  ·  PLoS Comput Biol  ·  27.07.2026  ·  PMID 42507756</w:t>
      </w:r>
    </w:p>
    <w:p>
      <w:r>
        <w:t>Analysen von 322.218 PCR-Tests aus Frankreich 2021–2022 zur Erfassung der Viraldy­namik unter verschiedenen Varianten und Impfstatus bei symptomatic infection.</w:t>
      </w:r>
    </w:p>
    <w:p>
      <w:r>
        <w:rPr>
          <w:b/>
        </w:rPr>
        <w:t xml:space="preserve">Ergebnis: </w:t>
      </w:r>
      <w:r>
        <w:t>Alter ≥ 65 Jahre: längere Clearance-Zeit um 2–6 Tage. Geimpfte Personen: 2–4 Tage kürzere Clearance. Omicron: um 2–3 Ct niedrigere Peakviruslast und um 1–2 Tage kürzere Clearance als Delta. Gemeinschafts-PCR-Testdaten ermöglichen robuste Virusdynamik-Schätzungen.</w:t>
      </w:r>
    </w:p>
    <w:p>
      <w:r>
        <w:rPr>
          <w:b/>
          <w:sz w:val="19"/>
        </w:rPr>
        <w:t xml:space="preserve">Übertragbarkeit: </w:t>
      </w:r>
      <w:r>
        <w:rPr>
          <w:sz w:val="19"/>
        </w:rPr>
        <w:t>Frankreich, ähnliche Surveillance-Infrastruktur wie Deutschland, Methode auf deutsche Testdaten übertragbar.</w:t>
      </w:r>
    </w:p>
    <w:p>
      <w:r>
        <w:rPr>
          <w:color w:val="5A7D3A"/>
          <w:sz w:val="18"/>
        </w:rPr>
        <w:t>https://pubmed.ncbi.nlm.nih.gov/42507756/</w:t>
      </w:r>
    </w:p>
    <w:p>
      <w:pPr>
        <w:pStyle w:val="Heading1"/>
      </w:pPr>
      <w:r>
        <w:t>Aufgenommen am 13.09.2026</w:t>
      </w:r>
    </w:p>
    <w:p>
      <w:pPr>
        <w:pStyle w:val="Heading2"/>
      </w:pPr>
      <w:r>
        <w:t>Impflücken in Peru: Wissen und Angst beeinflussen Impfvollständigkeit bei Kindern</w:t>
      </w:r>
    </w:p>
    <w:p>
      <w:r>
        <w:rPr>
          <w:i/>
          <w:color w:val="666666"/>
          <w:sz w:val="18"/>
        </w:rPr>
        <w:t>Castro-Fuentes MN et al.  ·  Front Public Health  ·  26.08.2026  ·  PMID 42718735</w:t>
      </w:r>
    </w:p>
    <w:p>
      <w:r>
        <w:t>Querschnittsstudie bei 123 Familien in Sunampe, Peru: Assoziationen zwischen Impflücken bei Kindern unter fünf Jahren und mütterlichen Wahrnehmungen, Wissen und Angst.</w:t>
      </w:r>
    </w:p>
    <w:p>
      <w:r>
        <w:rPr>
          <w:b/>
        </w:rPr>
        <w:t xml:space="preserve">Ergebnis: </w:t>
      </w:r>
      <w:r>
        <w:t>Impfverweigerung (≥3 verpasste Schlüsseldosen bis 6 Monate): signifikante Prädiktoren waren Mangel an Wissen über Impfalter (OR: 10,96; p &lt; 0,001) und Nichtbesuch von Impfberatungssitzungen (OR: 3,32; p = 0,026). Angst vor Nebenwirkungen (99,2 % der Mütter berichteten sie) war nicht signifikant (Hinweis auf Antwortverzerrung). Modell: AUC = 0,852. Todesfälle unter 5 Jahren (2017–2022): 10 Fälle, davon 6 pneumokokkal-assoziierten.</w:t>
      </w:r>
    </w:p>
    <w:p>
      <w:r>
        <w:rPr>
          <w:b/>
          <w:sz w:val="19"/>
        </w:rPr>
        <w:t xml:space="preserve">Übertragbarkeit: </w:t>
      </w:r>
      <w:r>
        <w:rPr>
          <w:sz w:val="19"/>
        </w:rPr>
        <w:t>Peru – Befund zu Wissenslücken und Impfpfaden in untermotivierter Bevölkerung auf Deutschland nicht direkt übertragbar, aber qualitativ relevant für Migrationsgruppen</w:t>
      </w:r>
    </w:p>
    <w:p>
      <w:r>
        <w:rPr>
          <w:color w:val="5A7D3A"/>
          <w:sz w:val="18"/>
        </w:rPr>
        <w:t>https://pubmed.ncbi.nlm.nih.gov/42718735/</w:t>
      </w:r>
    </w:p>
    <w:p>
      <w:pPr>
        <w:pStyle w:val="Heading2"/>
      </w:pPr>
      <w:r>
        <w:t>Pneumokokkencolonisierung bei Kindern in Brasilien: Begrenzte Abdeckung durch PCV10</w:t>
      </w:r>
    </w:p>
    <w:p>
      <w:r>
        <w:rPr>
          <w:i/>
          <w:color w:val="666666"/>
          <w:sz w:val="18"/>
        </w:rPr>
        <w:t>Sousa IO et al.  ·  PLoS One  ·  09.09.2026  ·  PMID 42715187</w:t>
      </w:r>
    </w:p>
    <w:p>
      <w:r>
        <w:t>Querschnittstudie bei 400 Kindern (2–5 Jahre) in Salvador, Brasilien: Nasopharyngale Besiedlung mit Streptococcus pneumoniae und Serotypverteilung nach PCV10-GSK-Impfung im brasilianischen Routineprogramm.</w:t>
      </w:r>
    </w:p>
    <w:p>
      <w:r>
        <w:rPr>
          <w:b/>
        </w:rPr>
        <w:t xml:space="preserve">Ergebnis: </w:t>
      </w:r>
      <w:r>
        <w:t>Gesamtbesiedlungsrate: 39,5 %. Häufigste Serotypen: 6C (17,9 %), 19A (13,0 %), 11A (9,3 %). PCV10-GSK deckt nur 3,2 % der Serotypen ab; PCV20 würde 39,5 % abdecken. Penicillinresistenz in 21,8 % der Isolate, am höchsten bei 19A (71,4 %). Befund zeigt Impflücke bei nicht-PCV10-Serotypen trotz Impfung.</w:t>
      </w:r>
    </w:p>
    <w:p>
      <w:r>
        <w:rPr>
          <w:b/>
          <w:sz w:val="19"/>
        </w:rPr>
        <w:t xml:space="preserve">Übertragbarkeit: </w:t>
      </w:r>
      <w:r>
        <w:rPr>
          <w:sz w:val="19"/>
        </w:rPr>
        <w:t>Brasilien – Befund zur Serotyp-Abdeckung und Resistenzentwicklung unter Feldimpfung ist grundlegend übertragbar</w:t>
      </w:r>
    </w:p>
    <w:p>
      <w:r>
        <w:rPr>
          <w:color w:val="5A7D3A"/>
          <w:sz w:val="18"/>
        </w:rPr>
        <w:t>https://pubmed.ncbi.nlm.nih.gov/42715187/</w:t>
      </w:r>
    </w:p>
    <w:p>
      <w:pPr>
        <w:pStyle w:val="Heading2"/>
      </w:pPr>
      <w:r>
        <w:t>Pneumococcale Impfung (PCV21) verhindert invasive Erkrankungen bei Erwachsenen in Spanien</w:t>
      </w:r>
    </w:p>
    <w:p>
      <w:r>
        <w:rPr>
          <w:i/>
          <w:color w:val="666666"/>
          <w:sz w:val="18"/>
        </w:rPr>
        <w:t>Simuzingili M et al.  ·  Vaccine  ·  03.10.2026  ·  PMID 42669238</w:t>
      </w:r>
    </w:p>
    <w:p>
      <w:r>
        <w:t>Gesundheitsökonomische Modellstudie in Spanien: Der 21-valente pneumokokkale Konjugatimpfstoff (PCV21) wurde mit PCV20 verglichen hinsichtlich verhinderte IPD-Fälle und vermiedene Kosten.</w:t>
      </w:r>
    </w:p>
    <w:p>
      <w:r>
        <w:rPr>
          <w:b/>
        </w:rPr>
        <w:t xml:space="preserve">Ergebnis: </w:t>
      </w:r>
      <w:r>
        <w:t>Bei 45–64-jährigen: PCV21 verhindert 178 IPD-Fälle mehr und 20 Todesfälle mehr als PCV20; spart 0,7 Mio. EUR (10% Mehrersparnis). Bei ≥65-Jährigen: 2019 IPD-Fälle und 435 Todesfälle mehr verhindert; spart 257 Mio. EUR (25% Mehrersparnis). Beide Altersgruppen: PCV21 war in allen Szenarien kostenwirksam.</w:t>
      </w:r>
    </w:p>
    <w:p>
      <w:r>
        <w:rPr>
          <w:b/>
          <w:sz w:val="19"/>
        </w:rPr>
        <w:t xml:space="preserve">Übertragbarkeit: </w:t>
      </w:r>
      <w:r>
        <w:rPr>
          <w:sz w:val="19"/>
        </w:rPr>
        <w:t>Spanien, vergleichbares Versicherungssystem und Epidemiologie wie Deutschland</w:t>
      </w:r>
    </w:p>
    <w:p>
      <w:r>
        <w:rPr>
          <w:color w:val="5A7D3A"/>
          <w:sz w:val="18"/>
        </w:rPr>
        <w:t>https://pubmed.ncbi.nlm.nih.gov/42669238/</w:t>
      </w:r>
    </w:p>
    <w:p>
      <w:pPr>
        <w:pStyle w:val="Heading2"/>
      </w:pPr>
      <w:r>
        <w:t>RSV-Impfung für Neugeborene in Japan: Saisonale vs. ganzjährige Strategie</w:t>
      </w:r>
    </w:p>
    <w:p>
      <w:r>
        <w:rPr>
          <w:i/>
          <w:color w:val="666666"/>
          <w:sz w:val="18"/>
        </w:rPr>
        <w:t>Monoi A et al.  ·  Vaccine  ·  03.10.2026  ·  PMID 42648051</w:t>
      </w:r>
    </w:p>
    <w:p>
      <w:r>
        <w:t>Modellstudie: Vergleich saisonaler und ganzjähriger RSV-Immunisierung von Neugeborenen zur Prävention von Krankenhausaufenthalten.</w:t>
      </w:r>
    </w:p>
    <w:p>
      <w:r>
        <w:rPr>
          <w:b/>
        </w:rPr>
        <w:t xml:space="preserve">Ergebnis: </w:t>
      </w:r>
      <w:r>
        <w:t>Ganzjährige RSVpreF-Impfung: 46 % Reduktion der RSV-Hospitalisierungen (95% UR: 31–65%). Ganzjährig Nirsevimab: 58 % Reduktion (95% UR: 39–79%). Saisonale Programme: bei zeitgerechter Durchführung 56–61 % Reduktion. Effekt stark abhängig von Saisonalitätsprädiktion und logistischen Kapazitäten.</w:t>
      </w:r>
    </w:p>
    <w:p>
      <w:r>
        <w:rPr>
          <w:b/>
          <w:sz w:val="19"/>
        </w:rPr>
        <w:t xml:space="preserve">Übertragbarkeit: </w:t>
      </w:r>
      <w:r>
        <w:rPr>
          <w:sz w:val="19"/>
        </w:rPr>
        <w:t>Japan, anderer Kontext – Befund zur Saisonalität und Impfstoffhaltbarkeit aber grundsätzlich übertragbar</w:t>
      </w:r>
    </w:p>
    <w:p>
      <w:r>
        <w:rPr>
          <w:color w:val="5A7D3A"/>
          <w:sz w:val="18"/>
        </w:rPr>
        <w:t>https://pubmed.ncbi.nlm.nih.gov/42648051/</w:t>
      </w:r>
    </w:p>
    <w:p>
      <w:pPr>
        <w:pStyle w:val="Heading2"/>
      </w:pPr>
      <w:r>
        <w:t>Pneumokokken-Impfung bei Erwachsenen mit Diabetes: Verzögerte Aufnahme in Versorgung</w:t>
      </w:r>
    </w:p>
    <w:p>
      <w:r>
        <w:rPr>
          <w:i/>
          <w:color w:val="666666"/>
          <w:sz w:val="18"/>
        </w:rPr>
        <w:t>Lenzi J et al.  ·  Vaccine  ·  03.10.2026  ·  PMID 42612465</w:t>
      </w:r>
    </w:p>
    <w:p>
      <w:r>
        <w:t>Populationsbasierte Kohortenstudie in Romagna (Italien) mit administrativen Daten: Zeitliche Muster und verpasste Impfgelegenheiten der Pneumokokken-Impfung bei Diabetikern über sieben Jahre.</w:t>
      </w:r>
    </w:p>
    <w:p>
      <w:r>
        <w:rPr>
          <w:b/>
        </w:rPr>
        <w:t xml:space="preserve">Ergebnis: </w:t>
      </w:r>
      <w:r>
        <w:t>Durchimpfungsquote stieg von 7,2 % (Jan. 2017) auf 28,0 % (Juni 2024), blieb aber deutlich unter 30 %. In der Inzidenzkohorte: 4,4 % Impfung nach 1 Jahr, 12,6 % nach 3 Jahren, 34,8 % nach 7 Jahren – kein markanter Anstieg unmittelbar nach Diagnose. Fremdländerisches Herkunftsland assoziiiert mit deutlich niedrigerer Aufnahme (OR: 0,52). Muster deutet auf mangelnde Integration in Diabetes-Versorgungspfade hin.</w:t>
      </w:r>
    </w:p>
    <w:p>
      <w:r>
        <w:rPr>
          <w:b/>
          <w:sz w:val="19"/>
        </w:rPr>
        <w:t xml:space="preserve">Übertragbarkeit: </w:t>
      </w:r>
      <w:r>
        <w:rPr>
          <w:sz w:val="19"/>
        </w:rPr>
        <w:t>Italien, ähnliches Versicherungssystem; Befund zu Versorgungsintegration auf Deutschland übertragbar</w:t>
      </w:r>
    </w:p>
    <w:p>
      <w:r>
        <w:rPr>
          <w:color w:val="5A7D3A"/>
          <w:sz w:val="18"/>
        </w:rPr>
        <w:t>https://pubmed.ncbi.nlm.nih.gov/42612465/</w:t>
      </w:r>
    </w:p>
    <w:p>
      <w:pPr>
        <w:pStyle w:val="Heading2"/>
      </w:pPr>
      <w:r>
        <w:t>Sicherheit der Lebendimpfstoff-Influenzaimpfung in England: Acht Jahre Pharmakovigilanz</w:t>
      </w:r>
    </w:p>
    <w:p>
      <w:r>
        <w:rPr>
          <w:i/>
          <w:color w:val="666666"/>
          <w:sz w:val="18"/>
        </w:rPr>
        <w:t>Dhanda S et al.  ·  Vaccine  ·  03.10.2026  ·  PMID 42607627</w:t>
      </w:r>
    </w:p>
    <w:p>
      <w:r>
        <w:t>Verbesserte passive Sicherheitsüberwachung (EPSS) des intranasalen Lebendimpfstoffs Fluenz® Tetra bei Kindern über acht Grippesaisons in England, mit Sicherheitsberichtskarten in 38–49 Praxen und 25–50 Schulen pro Saison.</w:t>
      </w:r>
    </w:p>
    <w:p>
      <w:r>
        <w:rPr>
          <w:b/>
        </w:rPr>
        <w:t xml:space="preserve">Ergebnis: </w:t>
      </w:r>
      <w:r>
        <w:t>8753–17.922 Sicherheitsberichtskarten ausgegeben jährlich. Rücklaufquoten: 2015/2016: 1,9 %, sinkend auf 2022/2023: 0,4 %. Rhinorrhö am häufigsten gemeldet (0,1–0,6 %). Schwerwiegende unerwünschte Ereignisse selten. Befund unterstützt positives Nutzen-Risiko-Profil über alle acht Saisons.</w:t>
      </w:r>
    </w:p>
    <w:p>
      <w:r>
        <w:rPr>
          <w:b/>
          <w:sz w:val="19"/>
        </w:rPr>
        <w:t xml:space="preserve">Übertragbarkeit: </w:t>
      </w:r>
      <w:r>
        <w:rPr>
          <w:sz w:val="19"/>
        </w:rPr>
        <w:t>Großbritannien, vergleichbare Versorgungsinfrastruktur und Pharmakovigilanz-Standards</w:t>
      </w:r>
    </w:p>
    <w:p>
      <w:r>
        <w:rPr>
          <w:color w:val="5A7D3A"/>
          <w:sz w:val="18"/>
        </w:rPr>
        <w:t>https://pubmed.ncbi.nlm.nih.gov/42607627/</w:t>
      </w:r>
    </w:p>
    <w:p>
      <w:pPr>
        <w:pStyle w:val="Heading1"/>
      </w:pPr>
      <w:r>
        <w:t>Aufgenommen am 12.09.2026</w:t>
      </w:r>
    </w:p>
    <w:p>
      <w:pPr>
        <w:pStyle w:val="Heading2"/>
      </w:pPr>
      <w:r>
        <w:t>COVID-19-Sterblichkeit nach Einkommen: Vorbefunde schlagen Impfung um Faktor 3–5</w:t>
      </w:r>
    </w:p>
    <w:p>
      <w:r>
        <w:rPr>
          <w:i/>
          <w:color w:val="666666"/>
          <w:sz w:val="18"/>
        </w:rPr>
        <w:t>Milkovska E et al.  ·  Int J Epidemiol  ·  18.08.2026  ·  PMID 42727089</w:t>
      </w:r>
    </w:p>
    <w:p>
      <w:r>
        <w:t>Analyse niederländischer Administrativdaten (n = 6.619.699) zur Frage, inwieweit unterschiedliche Vorerkrankungen und Impfquoten die Sterblichkeitsungleichheit nach Einkommen im Jahr 2021 erklären.</w:t>
      </w:r>
    </w:p>
    <w:p>
      <w:r>
        <w:rPr>
          <w:b/>
        </w:rPr>
        <w:t xml:space="preserve">Ergebnis: </w:t>
      </w:r>
      <w:r>
        <w:t>Ärmstes Einkommensfünftel starb 3-mal häufiger an COVID-19 als reichstes. Unterschiede in Vorerkrankungen erklärten 46–67 % der Ungleichheit, Unterschiede in Impfquoten nur 14–19 %. Soziale Determinanten der Gesundheit waren das Haupttreiber.</w:t>
      </w:r>
    </w:p>
    <w:p>
      <w:r>
        <w:rPr>
          <w:b/>
          <w:sz w:val="19"/>
        </w:rPr>
        <w:t xml:space="preserve">Übertragbarkeit: </w:t>
      </w:r>
      <w:r>
        <w:rPr>
          <w:sz w:val="19"/>
        </w:rPr>
        <w:t>Niederländische Administrativdaten mit vergleichbarem Versicherungssystem zu Deutschland</w:t>
      </w:r>
    </w:p>
    <w:p>
      <w:r>
        <w:rPr>
          <w:color w:val="5A7D3A"/>
          <w:sz w:val="18"/>
        </w:rPr>
        <w:t>https://pubmed.ncbi.nlm.nih.gov/42727089/</w:t>
      </w:r>
    </w:p>
    <w:p>
      <w:pPr>
        <w:pStyle w:val="Heading2"/>
      </w:pPr>
      <w:r>
        <w:t>Mütterliche RSV-Impfung reduziert Bronchiolitis-Krankenhauseinweisungen bei Säuglingen um 62 %</w:t>
      </w:r>
    </w:p>
    <w:p>
      <w:r>
        <w:rPr>
          <w:i/>
          <w:color w:val="666666"/>
          <w:sz w:val="18"/>
        </w:rPr>
        <w:t>Broad J et al.  ·  Euro Surveill  ·  Sept. 2026  ·  PMID 42725370</w:t>
      </w:r>
    </w:p>
    <w:p>
      <w:r>
        <w:t>Zeitreihenanalyse zu Auswirkungen der mütterlichen RSV-Impfung auf Hospitalisierungen von Säuglingen unter 3 Monaten in England von September 2024 bis März 2026.</w:t>
      </w:r>
    </w:p>
    <w:p>
      <w:r>
        <w:rPr>
          <w:b/>
        </w:rPr>
        <w:t xml:space="preserve">Ergebnis: </w:t>
      </w:r>
      <w:r>
        <w:t>RSV-Bronchiolitis-Krankenhauseinweisungen sanken um 62,6 % (IRR 0,374; 95%-KI: 0,344–0,407), Bronchiolitis insgesamt um 39,3 %. Bei Impfquote von 55,1 % reduzierten sich Aufnahmen auf Intensivstationen um 41,0 %. Ein bedeutender Schutzeffekt unter realen Versorgungsbedingungen.</w:t>
      </w:r>
    </w:p>
    <w:p>
      <w:r>
        <w:rPr>
          <w:b/>
          <w:sz w:val="19"/>
        </w:rPr>
        <w:t xml:space="preserve">Übertragbarkeit: </w:t>
      </w:r>
      <w:r>
        <w:rPr>
          <w:sz w:val="19"/>
        </w:rPr>
        <w:t>England mit Impfregister; Datenverfügbarkeit ähnlich wie in Skandinavien, nicht Deutschland</w:t>
      </w:r>
    </w:p>
    <w:p>
      <w:r>
        <w:rPr>
          <w:color w:val="5A7D3A"/>
          <w:sz w:val="18"/>
        </w:rPr>
        <w:t>https://pubmed.ncbi.nlm.nih.gov/42725370/</w:t>
      </w:r>
    </w:p>
    <w:p>
      <w:pPr>
        <w:pStyle w:val="Heading2"/>
      </w:pPr>
      <w:r>
        <w:t>Impfskepsis in Pakistan: Datenschutzmethoden zeigen Underreporting bei sensiblen Fragen</w:t>
      </w:r>
    </w:p>
    <w:p>
      <w:r>
        <w:rPr>
          <w:i/>
          <w:color w:val="666666"/>
          <w:sz w:val="18"/>
        </w:rPr>
        <w:t>Shahid MI et al.  ·  Front Public Health  ·  27.08.2026  ·  PMID 42723770</w:t>
      </w:r>
    </w:p>
    <w:p>
      <w:r>
        <w:t>Querschnittsstudie mit 1.200 Teilnehmern in Punjab, Pakistan (Juni–August 2021), die Underreporting von COVID-19-Fällen und Impfskepsis mit privacy-wahrenden randomisierten Antworttechniken misst.</w:t>
      </w:r>
    </w:p>
    <w:p>
      <w:r>
        <w:rPr>
          <w:b/>
        </w:rPr>
        <w:t xml:space="preserve">Ergebnis: </w:t>
      </w:r>
      <w:r>
        <w:t>Direkt berichtete COVID-19-Fälle (städtisch 10,5 %, ländlich 13,7 %) lagen unter datenschutzgeschützten Schätzungen (städtisch 15,3–17,4 %, ländlich 16,7–19,5 %). Impfskepsis-Underreporting kleiner (26,3 % vs. 27,2–27,4 %). PRE &gt;100, bessere Effizienz als Benchmark-Modelle. Privacy-Methoden reduzieren Verzerrung bei sensiblen Outcomes.</w:t>
      </w:r>
    </w:p>
    <w:p>
      <w:r>
        <w:rPr>
          <w:b/>
          <w:sz w:val="19"/>
        </w:rPr>
        <w:t xml:space="preserve">Übertragbarkeit: </w:t>
      </w:r>
      <w:r>
        <w:rPr>
          <w:sz w:val="19"/>
        </w:rPr>
        <w:t>Pakistan, Niedrig-Ressourcen-Setting; Methode zur Verbesserung der Surveillancequalität in Ländern mit schwacher Dokumentation</w:t>
      </w:r>
    </w:p>
    <w:p>
      <w:r>
        <w:rPr>
          <w:color w:val="5A7D3A"/>
          <w:sz w:val="18"/>
        </w:rPr>
        <w:t>https://pubmed.ncbi.nlm.nih.gov/42723770/</w:t>
      </w:r>
    </w:p>
    <w:p>
      <w:pPr>
        <w:pStyle w:val="Heading2"/>
      </w:pPr>
      <w:r>
        <w:t>PCV21-Pneumokokken-Impfung für Risikopatienten 18–64 Jahre in der Schweiz kosteneffektiv</w:t>
      </w:r>
    </w:p>
    <w:p>
      <w:r>
        <w:rPr>
          <w:i/>
          <w:color w:val="666666"/>
          <w:sz w:val="18"/>
        </w:rPr>
        <w:t>Simuzingili M et al.  ·  J Med Econ  ·  10.09.2026  ·  PMID 42723339</w:t>
      </w:r>
    </w:p>
    <w:p>
      <w:r>
        <w:t>Markov-Modell zur Kosten-Effektivität einer PCV21-Impfung für Hochrisiko- und Risiko-Patienten (18–64 Jahre) in der Schweiz mit lebenslanger Perspektive.</w:t>
      </w:r>
    </w:p>
    <w:p>
      <w:r>
        <w:rPr>
          <w:b/>
        </w:rPr>
        <w:t xml:space="preserve">Ergebnis: </w:t>
      </w:r>
      <w:r>
        <w:t>Bei 60-prozentiger Impfquote wurden 518 Fälle invasiver Pneumokokkenerkrankung, 224 Todesfälle und 2.578 ambulant behandelte Pneumonien verhindert. Impfkosten (CHF 39,0 Mio.) überwogen Einsparungen (CHF 21,4 Mio.) um Netto-CHF 17,6 Mio. ICER: CHF 7.665/QALY (kosteneffektiv ab CHF 18.000/QALY-Schwelle). In Sensitivitätsanalyse 100 % Wahrscheinlichkeit Kosteneffektivität.</w:t>
      </w:r>
    </w:p>
    <w:p>
      <w:r>
        <w:rPr>
          <w:b/>
          <w:sz w:val="19"/>
        </w:rPr>
        <w:t xml:space="preserve">Übertragbarkeit: </w:t>
      </w:r>
      <w:r>
        <w:rPr>
          <w:sz w:val="19"/>
        </w:rPr>
        <w:t>Schweizer Gesundheitssystem; Kosten- und Nutzenstruktur ähnlich dem deutschen</w:t>
      </w:r>
    </w:p>
    <w:p>
      <w:r>
        <w:rPr>
          <w:color w:val="5A7D3A"/>
          <w:sz w:val="18"/>
        </w:rPr>
        <w:t>https://pubmed.ncbi.nlm.nih.gov/42723339/</w:t>
      </w:r>
    </w:p>
    <w:p>
      <w:pPr>
        <w:pStyle w:val="Heading2"/>
      </w:pPr>
      <w:r>
        <w:t>RSVpreF-Impfung in Frankreich: Empfohlene Strategie verhindert 7.620 Hospitalisierungen, kostengünstig</w:t>
      </w:r>
    </w:p>
    <w:p>
      <w:r>
        <w:rPr>
          <w:i/>
          <w:color w:val="666666"/>
          <w:sz w:val="18"/>
        </w:rPr>
        <w:t>Fahfouhi Y et al.  ·  Vaccine  ·  03.10.2026  ·  PMID 42628195</w:t>
      </w:r>
    </w:p>
    <w:p>
      <w:r>
        <w:t>Markov-Modell zur Gesundheits- und Kostenfolgen von vier nationalen RSVpreF-Impfstrategien für schwangere Frauen in Frankreich unter Verwendung von Daten zu 627.499 Geburten pro Jahr.</w:t>
      </w:r>
    </w:p>
    <w:p>
      <w:r>
        <w:rPr>
          <w:b/>
        </w:rPr>
        <w:t xml:space="preserve">Ergebnis: </w:t>
      </w:r>
      <w:r>
        <w:t>Ohne Impfung: 38.625 RSV-Hospitalisierungen pro Jahr (Kosten €120,0 Mio.). Empfohlene Strategie (Sept.–Jan.) verhinderte 7.620 Hospitalisierungen (−19,7 %), Kosten €126,4 Mio., €844/Hospitalisierung verhindert, NNV 21. Erweiterte Strategie (Mai–Jan.) zusätzlich 4.111 Fälle vermieden (−13,3 % zusätzlich), erhöhte Gesamtkosten auf €134,4 Mio. (+6,3 %).</w:t>
      </w:r>
    </w:p>
    <w:p>
      <w:r>
        <w:rPr>
          <w:b/>
          <w:sz w:val="19"/>
        </w:rPr>
        <w:t xml:space="preserve">Übertragbarkeit: </w:t>
      </w:r>
      <w:r>
        <w:rPr>
          <w:sz w:val="19"/>
        </w:rPr>
        <w:t>Frankreich, europäisches Versicherungssystem; Nationale Impfkalender und Gesundheitsvergütung vergleichbar</w:t>
      </w:r>
    </w:p>
    <w:p>
      <w:r>
        <w:rPr>
          <w:color w:val="5A7D3A"/>
          <w:sz w:val="18"/>
        </w:rPr>
        <w:t>https://pubmed.ncbi.nlm.nih.gov/42628195/</w:t>
      </w:r>
    </w:p>
    <w:p>
      <w:pPr>
        <w:pStyle w:val="Heading2"/>
      </w:pPr>
      <w:r>
        <w:t>HPV-Impfquote in Europa: 55–60 % im Jahr 5, Schulprogramme und Arztdichte entscheidend</w:t>
      </w:r>
    </w:p>
    <w:p>
      <w:r>
        <w:rPr>
          <w:i/>
          <w:color w:val="666666"/>
          <w:sz w:val="18"/>
        </w:rPr>
        <w:t>Pavia G et al.  ·  Vaccine  ·  03.10.2026  ·  PMID 42623713</w:t>
      </w:r>
    </w:p>
    <w:p>
      <w:r>
        <w:t>Längsschnittstudie über Impfquoten bei 15-jährigen Mädchen in 43 europäischen Ländern 2010–2023, mit Analyse von Prädiktoren und Assoziation mit Google-Suchvolumen.</w:t>
      </w:r>
    </w:p>
    <w:p>
      <w:r>
        <w:rPr>
          <w:b/>
        </w:rPr>
        <w:t xml:space="preserve">Ergebnis: </w:t>
      </w:r>
      <w:r>
        <w:t>Impfquote stieg nach Aufnahme ins nationale Programm auf ~40 % im Jahr 2 , stabilisierte sich bei 55–60 % im Jahr 5. Über 60 % in den meisten Ländern erreicht. Schulprogramme boten schnellere Kurven. Ärztedichte und niedrige öffentliche Skepsis waren signifikante Prädiktoren. WHO-Ziel von 90 % verfehlt.</w:t>
      </w:r>
    </w:p>
    <w:p>
      <w:r>
        <w:rPr>
          <w:b/>
          <w:sz w:val="19"/>
        </w:rPr>
        <w:t xml:space="preserve">Übertragbarkeit: </w:t>
      </w:r>
      <w:r>
        <w:rPr>
          <w:sz w:val="19"/>
        </w:rPr>
        <w:t>Europäische Länder, vergleichbare Systeme; Datenqualität variiert stark (kein deutsches Impfregister)</w:t>
      </w:r>
    </w:p>
    <w:p>
      <w:r>
        <w:rPr>
          <w:color w:val="5A7D3A"/>
          <w:sz w:val="18"/>
        </w:rPr>
        <w:t>https://pubmed.ncbi.nlm.nih.gov/42623713/</w:t>
      </w:r>
    </w:p>
    <w:p>
      <w:pPr>
        <w:pStyle w:val="Heading2"/>
      </w:pPr>
      <w:r>
        <w:t>Diphtherie in der Schweiz 1877–2022: Impfprogramme brachen Epidemie-Wellen</w:t>
      </w:r>
    </w:p>
    <w:p>
      <w:r>
        <w:rPr>
          <w:i/>
          <w:color w:val="666666"/>
          <w:sz w:val="18"/>
        </w:rPr>
        <w:t>Tuor SM et al.  ·  Vaccine  ·  03.10.2026  ·  PMID 42623711</w:t>
      </w:r>
    </w:p>
    <w:p>
      <w:r>
        <w:t>Historische Zeitreihenanalyse der Diphtherie-Morbidität und -Mortalität in der Schweiz über 145 Jahre, mit Bayesianischen Modellen zur Quantifizierung des Impfeffekts ab 1933.</w:t>
      </w:r>
    </w:p>
    <w:p>
      <w:r>
        <w:rPr>
          <w:b/>
        </w:rPr>
        <w:t xml:space="preserve">Ergebnis: </w:t>
      </w:r>
      <w:r>
        <w:t>Von 35.271 Diphtherietodesfällen (1877–2022) starben 99,5 % vor flächendeckender Impfung. Nach Einführung zwingender Impfung in Genf (1933) lagen Inzidenz und Mortalität konsistent unter gemodellten Gegenszenarios. Nach landesweiter Empfehlung (1943) sank Diphtherie schnell in allen Kantonen, aber früher und stärker in Kantonen mit Impfpflicht.</w:t>
      </w:r>
    </w:p>
    <w:p>
      <w:r>
        <w:rPr>
          <w:b/>
          <w:sz w:val="19"/>
        </w:rPr>
        <w:t xml:space="preserve">Übertragbarkeit: </w:t>
      </w:r>
      <w:r>
        <w:rPr>
          <w:sz w:val="19"/>
        </w:rPr>
        <w:t>Schweizer Klinik- und Todesursachendaten; DACH-System mit Dokumentationspflicht vergleichbar</w:t>
      </w:r>
    </w:p>
    <w:p>
      <w:r>
        <w:rPr>
          <w:color w:val="5A7D3A"/>
          <w:sz w:val="18"/>
        </w:rPr>
        <w:t>https://pubmed.ncbi.nlm.nih.gov/42623711/</w:t>
      </w:r>
    </w:p>
    <w:p>
      <w:pPr>
        <w:pStyle w:val="Heading1"/>
      </w:pPr>
      <w:r>
        <w:t>Aufgenommen am 11.09.2026</w:t>
      </w:r>
    </w:p>
    <w:p>
      <w:pPr>
        <w:pStyle w:val="Heading2"/>
      </w:pPr>
      <w:r>
        <w:t>Hebammensicht auf Impfskepsis und Impfverweigerung: Faktoren und Strategien</w:t>
      </w:r>
    </w:p>
    <w:p>
      <w:r>
        <w:rPr>
          <w:i/>
          <w:color w:val="666666"/>
          <w:sz w:val="18"/>
        </w:rPr>
        <w:t>Çatalgöl Ş et al.  ·  Rev Esc Enferm USP  ·  07.09.2026  ·  PMID 42721439</w:t>
      </w:r>
    </w:p>
    <w:p>
      <w:r>
        <w:t>Deskriptive Querschnittsstudie mit 81 Hebammen in türkischen Familien-Gesundheitszentren zu Faktoren der Impfskepsis und empfohlenen Lösungsstrategien.</w:t>
      </w:r>
    </w:p>
    <w:p>
      <w:r>
        <w:rPr>
          <w:b/>
        </w:rPr>
        <w:t xml:space="preserve">Ergebnis: </w:t>
      </w:r>
      <w:r>
        <w:t>Meistgenannte Faktoren der Impfskepsis: Anti-Impf-Websites (90,1 %), Sorgen um Impfstoff-Inhaltsstoffe (70,4 %), Einfluss von Gemeinschaftsführern (66,7 %), religiöse Bedenken (65,4 %). Empfohlene Strategien: Fernsehen-Inhalte zur Impfung (70,4 %), öffentliche Ankündigungen (67,9 %), Informationen durch Gesundheitsarbeiter (58,0 %).</w:t>
      </w:r>
    </w:p>
    <w:p>
      <w:r>
        <w:rPr>
          <w:b/>
          <w:sz w:val="19"/>
        </w:rPr>
        <w:t xml:space="preserve">Übertragbarkeit: </w:t>
      </w:r>
      <w:r>
        <w:rPr>
          <w:sz w:val="19"/>
        </w:rPr>
        <w:t>Türkei, ähnliche Herausforderungen wie deutschsprachige Länder; Rolle von Hebammen in Versorgung relevant</w:t>
      </w:r>
    </w:p>
    <w:p>
      <w:r>
        <w:rPr>
          <w:color w:val="5A7D3A"/>
          <w:sz w:val="18"/>
        </w:rPr>
        <w:t>https://pubmed.ncbi.nlm.nih.gov/42721439/</w:t>
      </w:r>
    </w:p>
    <w:p>
      <w:pPr>
        <w:pStyle w:val="Heading2"/>
      </w:pPr>
      <w:r>
        <w:t>Phase-1-COVID-19-Vakzin-Studien: Flüssige Entscheidungsfindung unter wechselndem Pandemikontext</w:t>
      </w:r>
    </w:p>
    <w:p>
      <w:r>
        <w:rPr>
          <w:i/>
          <w:color w:val="666666"/>
          <w:sz w:val="18"/>
        </w:rPr>
        <w:t>Halperin DM et al.  ·  Hum Vaccin Immunother  ·  10.09.2026  ·  PMID 42721118</w:t>
      </w:r>
    </w:p>
    <w:p>
      <w:r>
        <w:t>Qualitative Studie zur Untersuchung von Faktoren, die Einschluss und Verbleib in Phase-1-COVID-19-Vakzin-Studien beeinflussen, mit semi-strukturierten Interviews bei Teilnehmern und Nicht-Teilnehmern.</w:t>
      </w:r>
    </w:p>
    <w:p>
      <w:r>
        <w:rPr>
          <w:b/>
        </w:rPr>
        <w:t xml:space="preserve">Ergebnis: </w:t>
      </w:r>
      <w:r>
        <w:t>Teilnahmeentscheidungen sind flüssig, nicht einmalig; Teilnehmer bewerteten Prioritäten kontinuierlich neu in Abhängigkeit von öffentlich zugelassenen Impfstoffen, Mandaten und COVID-19-Fallzahlen. Protokoll-Anpassung mit Erlaubnis zur PHAV-Gabe unterstützte Verbleib bis Studienende.</w:t>
      </w:r>
    </w:p>
    <w:p>
      <w:r>
        <w:rPr>
          <w:b/>
          <w:sz w:val="19"/>
        </w:rPr>
        <w:t xml:space="preserve">Übertragbarkeit: </w:t>
      </w:r>
      <w:r>
        <w:rPr>
          <w:sz w:val="19"/>
        </w:rPr>
        <w:t>Kanada, ähnliche Versorgungsstrukturen; qualitative Erkenntnisse auf Impfstoff-Vertrauen übertragbar</w:t>
      </w:r>
    </w:p>
    <w:p>
      <w:r>
        <w:rPr>
          <w:color w:val="5A7D3A"/>
          <w:sz w:val="18"/>
        </w:rPr>
        <w:t>https://pubmed.ncbi.nlm.nih.gov/42721118/</w:t>
      </w:r>
    </w:p>
    <w:p>
      <w:pPr>
        <w:pStyle w:val="Heading2"/>
      </w:pPr>
      <w:r>
        <w:t>Erweiterte HPV-Impfung in Polen: Gesundheitsgewinne und Kosteneffizienz</w:t>
      </w:r>
    </w:p>
    <w:p>
      <w:r>
        <w:rPr>
          <w:i/>
          <w:color w:val="666666"/>
          <w:sz w:val="18"/>
        </w:rPr>
        <w:t>Jaworski R et al.  ·  J Med Econ  ·  09.09.2026  ·  PMID 42717549</w:t>
      </w:r>
    </w:p>
    <w:p>
      <w:r>
        <w:t>Kosten-Nutzen-Analyse zur Erweiterung der HPV-Impfung auf Jungen und Mädchen im Alter 9–17 Jahren in Polen.</w:t>
      </w:r>
    </w:p>
    <w:p>
      <w:r>
        <w:rPr>
          <w:b/>
        </w:rPr>
        <w:t xml:space="preserve">Ergebnis: </w:t>
      </w:r>
      <w:r>
        <w:t>Erhöhung der Impfquoten von 20 % auf 60 % reduziert HPV-assoziierte Erkrankungen um 16 % und Todesfälle um 13 %; bei 90 % Abdeckung Reduktion um 33 % bzw. 27 %. Jeder investierte EUR 1,00 erbringt EUR 4,2 (Gesellschaft) bzw. EUR 2,2 (Fiskus) bei 60 % Abdeckung; EUR 4,6 bzw. EUR 2,4 bei 90 %.</w:t>
      </w:r>
    </w:p>
    <w:p>
      <w:r>
        <w:rPr>
          <w:b/>
          <w:sz w:val="19"/>
        </w:rPr>
        <w:t xml:space="preserve">Übertragbarkeit: </w:t>
      </w:r>
      <w:r>
        <w:rPr>
          <w:sz w:val="19"/>
        </w:rPr>
        <w:t>Polen, europäisches Sozialversicherungssystem, Impfkalender-Modellierung</w:t>
      </w:r>
    </w:p>
    <w:p>
      <w:r>
        <w:rPr>
          <w:color w:val="5A7D3A"/>
          <w:sz w:val="18"/>
        </w:rPr>
        <w:t>https://pubmed.ncbi.nlm.nih.gov/42717549/</w:t>
      </w:r>
    </w:p>
    <w:p>
      <w:pPr>
        <w:pStyle w:val="Heading2"/>
      </w:pPr>
      <w:r>
        <w:t>EV-A71-Impfung in Shanghai: 89,9 % Effektivität, Verschiebung zu Nicht-EV-A71-Serotypen</w:t>
      </w:r>
    </w:p>
    <w:p>
      <w:r>
        <w:rPr>
          <w:i/>
          <w:color w:val="666666"/>
          <w:sz w:val="18"/>
        </w:rPr>
        <w:t>Xu Z et al.  ·  Hum Vaccin Immunother  ·  09.09.2026  ·  PMID 42714139</w:t>
      </w:r>
    </w:p>
    <w:p>
      <w:r>
        <w:t>Test-Negative-Design-Studie zur Wirksamkeit der EV-A71-Impfung gegen Hand-Fuß-Mund-Krankheit in Shanghai 2009–2023, mit Vergleich prä- und post-Impfprogramm-Epidemiologie.</w:t>
      </w:r>
    </w:p>
    <w:p>
      <w:r>
        <w:rPr>
          <w:b/>
        </w:rPr>
        <w:t xml:space="preserve">Ergebnis: </w:t>
      </w:r>
      <w:r>
        <w:t>Gesamtwirksamkeit gegen EV-A71-assoziierte HFMD und Herpangina: 89,9 % (95%-KI: 74,5–96,0) für Zwei-Dosen-Serie, 67,9 % (95%-KI: 2,6–89,6) für Einzeldosis. Nach Impfprogramm-Einführung: Inzidenz-Reduktion 56,7 %, Schweregradreduktion 95,2 %, null Todesfälle (von 3 auf 0).</w:t>
      </w:r>
    </w:p>
    <w:p>
      <w:r>
        <w:rPr>
          <w:b/>
          <w:sz w:val="19"/>
        </w:rPr>
        <w:t xml:space="preserve">Übertragbarkeit: </w:t>
      </w:r>
      <w:r>
        <w:rPr>
          <w:sz w:val="19"/>
        </w:rPr>
        <w:t>China-Daten, aber Versorgungseffektivität in realer Welt gut dokumentiert; Serotyp-Shift hat globale Relevanz</w:t>
      </w:r>
    </w:p>
    <w:p>
      <w:r>
        <w:rPr>
          <w:color w:val="5A7D3A"/>
          <w:sz w:val="18"/>
        </w:rPr>
        <w:t>https://pubmed.ncbi.nlm.nih.gov/42714139/</w:t>
      </w:r>
    </w:p>
    <w:p>
      <w:pPr>
        <w:pStyle w:val="Heading2"/>
      </w:pPr>
      <w:r>
        <w:t>mRNA-Impfung verursacht reproduzierbare Transkript-Isoform-Verschiebungen</w:t>
      </w:r>
    </w:p>
    <w:p>
      <w:r>
        <w:rPr>
          <w:i/>
          <w:color w:val="666666"/>
          <w:sz w:val="18"/>
        </w:rPr>
        <w:t>Riemann L et al.  ·  Eur J Immunol  ·  Sept. 2026  ·  PMID 42670157</w:t>
      </w:r>
    </w:p>
    <w:p>
      <w:r>
        <w:t>Analyse longitudinaler RNA-Sequenzierungs-Daten zur Charakterisierung von Veränderungen in der Transkript-Isoform-Nutzung nach mRNA-Impfung.</w:t>
      </w:r>
    </w:p>
    <w:p>
      <w:r>
        <w:rPr>
          <w:b/>
        </w:rPr>
        <w:t xml:space="preserve">Ergebnis: </w:t>
      </w:r>
      <w:r>
        <w:t>mRNA-Impfung induziert schnelle und transiente Welle differentieller Transkript-Nutzung, die 24 h post-Impfung mit 131 veränderten Isoformen über 107 Gene gipfelt, vor Auflösung bis Tag 14. Muster reproduzierbar über mehrere Impfstoff-Kohorten (MVA-basiert, Influenza, Ebola).</w:t>
      </w:r>
    </w:p>
    <w:p>
      <w:r>
        <w:rPr>
          <w:b/>
          <w:sz w:val="19"/>
        </w:rPr>
        <w:t xml:space="preserve">Übertragbarkeit: </w:t>
      </w:r>
      <w:r>
        <w:rPr>
          <w:sz w:val="19"/>
        </w:rPr>
        <w:t>Grundlagenforschung ohne klinischen Endpunkt, nicht geeignet für Versorgungsanalyse</w:t>
      </w:r>
    </w:p>
    <w:p>
      <w:r>
        <w:rPr>
          <w:color w:val="5A7D3A"/>
          <w:sz w:val="18"/>
        </w:rPr>
        <w:t>https://pubmed.ncbi.nlm.nih.gov/42670157/</w:t>
      </w:r>
    </w:p>
    <w:p>
      <w:pPr>
        <w:pStyle w:val="Heading2"/>
      </w:pPr>
      <w:r>
        <w:t>Influenza- und Herpes-Zoster-Impfeffektivität bei Autoimmunerkrankungen: keine Unterschiede zu Gesunden</w:t>
      </w:r>
    </w:p>
    <w:p>
      <w:r>
        <w:rPr>
          <w:i/>
          <w:color w:val="666666"/>
          <w:sz w:val="18"/>
        </w:rPr>
        <w:t>Denz R et al.  ·  J Infect Public Health  ·  02.07.2026  ·  PMID 42398453</w:t>
      </w:r>
    </w:p>
    <w:p>
      <w:r>
        <w:t>Emulierte Zielstudien mit Anspruchsdaten einer großen deutschen Krankenkasse zur Vergleichbarkeit der Impfwirksamkeit zwischen Personen mit und ohne Autoimmunerkrankungen (MS, IBD, CIRD).</w:t>
      </w:r>
    </w:p>
    <w:p>
      <w:r>
        <w:rPr>
          <w:b/>
        </w:rPr>
        <w:t xml:space="preserve">Ergebnis: </w:t>
      </w:r>
      <w:r>
        <w:t>Herpes-Zoster-Wirksamkeit: 68,73 % (95%-KI: 55,75–77,91) bei AID, 60,30 % (55,59–64,52) ohne AID; Wirksamkeitsverhältnis 1,14 (0,93–1,30). Influenza-Wirksamkeit ohne relevante Unterschiede über vier Saisonen; alle Wirksamkeitsverhältnisse nahe 1.</w:t>
      </w:r>
    </w:p>
    <w:p>
      <w:r>
        <w:rPr>
          <w:b/>
          <w:sz w:val="19"/>
        </w:rPr>
        <w:t xml:space="preserve">Übertragbarkeit: </w:t>
      </w:r>
      <w:r>
        <w:rPr>
          <w:sz w:val="19"/>
        </w:rPr>
        <w:t>Deutsche Anspruchsdaten, vergleichbar mit Routine-Versorgung; MS, IBD, CIRD-Patienten relevant für Versorgung</w:t>
      </w:r>
    </w:p>
    <w:p>
      <w:r>
        <w:rPr>
          <w:color w:val="5A7D3A"/>
          <w:sz w:val="18"/>
        </w:rPr>
        <w:t>https://pubmed.ncbi.nlm.nih.gov/42398453/</w:t>
      </w:r>
    </w:p>
    <w:p>
      <w:pPr>
        <w:pStyle w:val="Heading1"/>
      </w:pPr>
      <w:r>
        <w:t>Aufgenommen am 10.09.2026</w:t>
      </w:r>
    </w:p>
    <w:p>
      <w:pPr>
        <w:pStyle w:val="Heading2"/>
      </w:pPr>
      <w:r>
        <w:t>RSV-Impfskepsis bei chinesischen Eltern: Informationssuche dominiert, nicht Vertrauen</w:t>
      </w:r>
    </w:p>
    <w:p>
      <w:r>
        <w:rPr>
          <w:i/>
          <w:color w:val="666666"/>
          <w:sz w:val="18"/>
        </w:rPr>
        <w:t>Zhu Y et al.  ·  Hum Vaccin Immunother  ·  31.12.2026  ·  PMID 42714313</w:t>
      </w:r>
    </w:p>
    <w:p>
      <w:r>
        <w:t>Querschnittstudie mit 4.422 Paaren (Schwangere und Partner) in acht chinesischen Provinzen zur Analyse psychologischer Vorstufen der Vaccine Hesitancy gegenüber RSV-Impfstoffen und RSV-Antikörpern.</w:t>
      </w:r>
    </w:p>
    <w:p>
      <w:r>
        <w:rPr>
          <w:b/>
        </w:rPr>
        <w:t xml:space="preserve">Ergebnis: </w:t>
      </w:r>
      <w:r>
        <w:t>Frauen zeigten marginal niedrigere 5C-Werte als Partner für mütterliche Impfung (45,88 vs. 46,25; Cohen's d = −0,06). Älteres Alter, ländlicher Wohnort und niedriges Einkommen waren unabhängig mit höherer Hesitancy assoziiert. 'Calculation' (aktive Informationssuche) scorte bei beiden Gruppen am höchsten.</w:t>
      </w:r>
    </w:p>
    <w:p>
      <w:r>
        <w:rPr>
          <w:b/>
          <w:sz w:val="19"/>
        </w:rPr>
        <w:t xml:space="preserve">Übertragbarkeit: </w:t>
      </w:r>
      <w:r>
        <w:rPr>
          <w:sz w:val="19"/>
        </w:rPr>
        <w:t>China-Studie; Psychologische Grundmuster der Vaccine Hesitancy international relevant.</w:t>
      </w:r>
    </w:p>
    <w:p>
      <w:r>
        <w:rPr>
          <w:color w:val="5A7D3A"/>
          <w:sz w:val="18"/>
        </w:rPr>
        <w:t>https://pubmed.ncbi.nlm.nih.gov/42714313/</w:t>
      </w:r>
    </w:p>
    <w:p>
      <w:pPr>
        <w:pStyle w:val="Heading2"/>
      </w:pPr>
      <w:r>
        <w:t>Gesundheitskommunikation gegen Impfskepsis bei Kinderimpfungen in Nigeria – Systematische Übersicht</w:t>
      </w:r>
    </w:p>
    <w:p>
      <w:r>
        <w:rPr>
          <w:i/>
          <w:color w:val="666666"/>
          <w:sz w:val="18"/>
        </w:rPr>
        <w:t>Ike TJ et al.  ·  Front Public Health  ·  25.08.2026  ·  PMID 42713528</w:t>
      </w:r>
    </w:p>
    <w:p>
      <w:r>
        <w:t>Systematische Übersicht mit thematischer Synthese von 12 Studien (2017–2026) zu Kommunikationsstrategien gegen elterliche Vaccine Hesitancy bei Kinderimpfungen in Nigeria.</w:t>
      </w:r>
    </w:p>
    <w:p>
      <w:r>
        <w:rPr>
          <w:b/>
        </w:rPr>
        <w:t xml:space="preserve">Ergebnis: </w:t>
      </w:r>
      <w:r>
        <w:t>Vier Strategietypen identifiziert: Medienkampagnen, staatlich gesponserte Kommunikation, Gemeinde-zentrierte Ansätze und telefonische Interventionen. Kulturelle Anpassung, Einbindung vertrauter Führungspersonen (religiöse/traditionelle Leader), Multi-Kanal-Ansatz und Responsivität auf strukturelle Barrieren und Informationsbedarf waren erfolgskritisch.</w:t>
      </w:r>
    </w:p>
    <w:p>
      <w:r>
        <w:rPr>
          <w:b/>
          <w:sz w:val="19"/>
        </w:rPr>
        <w:t xml:space="preserve">Übertragbarkeit: </w:t>
      </w:r>
      <w:r>
        <w:rPr>
          <w:sz w:val="19"/>
        </w:rPr>
        <w:t>Nigeria, niedriges Einkommen; Kommunikationsprinzipien zu Vaccine Hesitancy aber universal relevant.</w:t>
      </w:r>
    </w:p>
    <w:p>
      <w:r>
        <w:rPr>
          <w:color w:val="5A7D3A"/>
          <w:sz w:val="18"/>
        </w:rPr>
        <w:t>https://pubmed.ncbi.nlm.nih.gov/42713528/</w:t>
      </w:r>
    </w:p>
    <w:p>
      <w:pPr>
        <w:pStyle w:val="Heading2"/>
      </w:pPr>
      <w:r>
        <w:t>HPV-Impfquote 70% in Shenzhen: Psychologische Modelle verlieren Erklärungskraft, Kosten bleiben Barriere</w:t>
      </w:r>
    </w:p>
    <w:p>
      <w:r>
        <w:rPr>
          <w:i/>
          <w:color w:val="666666"/>
          <w:sz w:val="18"/>
        </w:rPr>
        <w:t>Liu Y et al.  ·  Front Public Health  ·  25.08.2026  ·  PMID 42712616</w:t>
      </w:r>
    </w:p>
    <w:p>
      <w:r>
        <w:t>Querschnittstudie mit 1.257 Frauen in Shenzhen zur Diskriminanzvalidität von Health Belief Model und 3C-Modell bei Restimpfverweigerung nach bereits 70% HPV-Impfquote.</w:t>
      </w:r>
    </w:p>
    <w:p>
      <w:r>
        <w:rPr>
          <w:b/>
        </w:rPr>
        <w:t xml:space="preserve">Ergebnis: </w:t>
      </w:r>
      <w:r>
        <w:t>Bei 70% Durchimpfung zeigten HBM und 3C-Skalen begrenzte Diskriminanzvalidität zwischen Geimpften und Ungeimpften (nur 2 von 10 Konstrukten signifikant, triviale Effektgrößen d=0,13). Hauptgründe für Nicht-Impfung: hohe Kosten (42,3%) und Sicherheitsbedenken (33,8%). Hukou moderierte wahrgenommene Barrieren suggestiv (nicht signifikant).</w:t>
      </w:r>
    </w:p>
    <w:p>
      <w:r>
        <w:rPr>
          <w:b/>
          <w:sz w:val="19"/>
        </w:rPr>
        <w:t xml:space="preserve">Übertragbarkeit: </w:t>
      </w:r>
      <w:r>
        <w:rPr>
          <w:sz w:val="19"/>
        </w:rPr>
        <w:t>China, hochquoten-Setting; zeigt, dass psychologische Standardmodelle bei Hochquoten an Grenzen stoßen.</w:t>
      </w:r>
    </w:p>
    <w:p>
      <w:r>
        <w:rPr>
          <w:color w:val="5A7D3A"/>
          <w:sz w:val="18"/>
        </w:rPr>
        <w:t>https://pubmed.ncbi.nlm.nih.gov/42712616/</w:t>
      </w:r>
    </w:p>
    <w:p>
      <w:pPr>
        <w:pStyle w:val="Heading2"/>
      </w:pPr>
      <w:r>
        <w:t>EV-A71-Impfung reduzierte Hand-Fuß-Mund-Krankheit um 57% in Shanghai – Shift zu anderen Serotypen beobachtet</w:t>
      </w:r>
    </w:p>
    <w:p>
      <w:r>
        <w:rPr>
          <w:i/>
          <w:color w:val="666666"/>
          <w:sz w:val="18"/>
        </w:rPr>
        <w:t>Deng L et al.  ·  Front Public Health  ·  12.08.2026  ·  PMID 42656515</w:t>
      </w:r>
    </w:p>
    <w:p>
      <w:r>
        <w:t>Analyse epidemiologischer Veränderungen der Hand-Fuß-Mund-Krankheit (HFMD) über 15 Jahre in Minhang-Bezirk Shanghai mit Schätzung der Impfeffektivität nach Test-Negative-Design.</w:t>
      </w:r>
    </w:p>
    <w:p>
      <w:r>
        <w:rPr>
          <w:b/>
        </w:rPr>
        <w:t xml:space="preserve">Ergebnis: </w:t>
      </w:r>
      <w:r>
        <w:t>Nach Einführung der EV-A71-Impfung (2016) sanken Inzidenz um 56,7%, Schweregrad um 95,2%, Sterblichkeit um 100%. Gesamtimpfeffektivität gegen EV-A71-assoziierte HFMD: 89,9% (95%-KI 74,5–96,0) für Zwei-Dosen-Serie; Durchimpfungsquote 50%. Keine Kreuzprotektion gegen andere Serotypen.</w:t>
      </w:r>
    </w:p>
    <w:p>
      <w:r>
        <w:rPr>
          <w:b/>
          <w:sz w:val="19"/>
        </w:rPr>
        <w:t xml:space="preserve">Übertragbarkeit: </w:t>
      </w:r>
      <w:r>
        <w:rPr>
          <w:sz w:val="19"/>
        </w:rPr>
        <w:t>China-Studie, System unterscheidet sich; Effektivitätsmessung an Bevölkerungsdaten aber global vergleichbar.</w:t>
      </w:r>
    </w:p>
    <w:p>
      <w:r>
        <w:rPr>
          <w:color w:val="5A7D3A"/>
          <w:sz w:val="18"/>
        </w:rPr>
        <w:t>https://pubmed.ncbi.nlm.nih.gov/42656515/</w:t>
      </w:r>
    </w:p>
    <w:p>
      <w:pPr>
        <w:pStyle w:val="Heading2"/>
      </w:pPr>
      <w:r>
        <w:t>COVID-19-Impfung in Irland: Barrieren und Förderfaktoren im Implementierungsprozess</w:t>
      </w:r>
    </w:p>
    <w:p>
      <w:r>
        <w:rPr>
          <w:i/>
          <w:color w:val="666666"/>
          <w:sz w:val="18"/>
        </w:rPr>
        <w:t>Kandulu CC et al.  ·  Vaccine  ·  30.08.2026  ·  PMID 42407300</w:t>
      </w:r>
    </w:p>
    <w:p>
      <w:r>
        <w:t>Qualitative Studie mit 16 Stakeholdern zur Identifikation von Faktoren, die die Umsetzung des COVID-19-Impfprogramms in Irland auf nationaler, regionaler und lokaler Ebene beeinflussten.</w:t>
      </w:r>
    </w:p>
    <w:p>
      <w:r>
        <w:rPr>
          <w:b/>
        </w:rPr>
        <w:t xml:space="preserve">Ergebnis: </w:t>
      </w:r>
      <w:r>
        <w:t>Verzögerte oder sich ändernde Evidenz, Komplexität der Impfstoffe und Anpassung der Bereitstellungskonzepte (Skalierung auf Massenimpfzentren) waren kritische Faktoren. Ressourcenverfügbarkeit, organisatorische Infrastruktur, Policy-Rahmen, Kommunikation und Fachkompetenz waren entscheidend für die Umsetzung.</w:t>
      </w:r>
    </w:p>
    <w:p>
      <w:r>
        <w:rPr>
          <w:b/>
          <w:sz w:val="19"/>
        </w:rPr>
        <w:t xml:space="preserve">Übertragbarkeit: </w:t>
      </w:r>
      <w:r>
        <w:rPr>
          <w:sz w:val="19"/>
        </w:rPr>
        <w:t>Irland, vergleichbares europäisches Gesundheitssystem mit dezentraler Struktur.</w:t>
      </w:r>
    </w:p>
    <w:p>
      <w:r>
        <w:rPr>
          <w:color w:val="5A7D3A"/>
          <w:sz w:val="18"/>
        </w:rPr>
        <w:t>https://pubmed.ncbi.nlm.nih.gov/42407300/</w:t>
      </w:r>
    </w:p>
    <w:p>
      <w:pPr>
        <w:pStyle w:val="Heading2"/>
      </w:pPr>
      <w:r>
        <w:t>SARS-CoV-2-Auffrischimpfungen schützen Menschen mit Autoimmunerkrankungen vor schwerer COVID-19</w:t>
      </w:r>
    </w:p>
    <w:p>
      <w:r>
        <w:rPr>
          <w:i/>
          <w:color w:val="666666"/>
          <w:sz w:val="18"/>
        </w:rPr>
        <w:t>Kukreja NS et al.  ·  RMD Open  ·  03.07.2026  ·  PMID 42399080</w:t>
      </w:r>
    </w:p>
    <w:p>
      <w:r>
        <w:t>Nested Case-Control-Studie mit englischen Primärversorgungs- und Krankenhausdaten zu Schutzwirkung von COVID-19-Auffrischimpfungen bei erwachsenen Patienten mit immunmediierter Entzündungserkrankung (IMID).</w:t>
      </w:r>
    </w:p>
    <w:p>
      <w:r>
        <w:rPr>
          <w:b/>
        </w:rPr>
        <w:t xml:space="preserve">Ergebnis: </w:t>
      </w:r>
      <w:r>
        <w:t>Drei Auffrischimpfungen reduzierten Hospitalisierung/Tod um 80% (aOR 0,20; 95%-KI 0,15–0,28), zwei Dosen um 71% (aOR 0,29; 95%-KI 0,23–0,36), eine Dosis um 44% (aOR 0,56; 95%-KI 0,48–0,65). Schutz bestand innerhalb 365 Tage nach Impfung; Impfungen &gt;365 Tage alt zeigten keinen signifikanten Schutz.</w:t>
      </w:r>
    </w:p>
    <w:p>
      <w:r>
        <w:rPr>
          <w:b/>
          <w:sz w:val="19"/>
        </w:rPr>
        <w:t xml:space="preserve">Übertragbarkeit: </w:t>
      </w:r>
      <w:r>
        <w:rPr>
          <w:sz w:val="19"/>
        </w:rPr>
        <w:t>Englische primärärztliche Flächendaten mit Impfquoten und Krankenhausdokumentation, auf deutsches System übertragbar.</w:t>
      </w:r>
    </w:p>
    <w:p>
      <w:r>
        <w:rPr>
          <w:color w:val="5A7D3A"/>
          <w:sz w:val="18"/>
        </w:rPr>
        <w:t>https://pubmed.ncbi.nlm.nih.gov/42399080/</w:t>
      </w:r>
    </w:p>
    <w:p>
      <w:pPr>
        <w:pStyle w:val="Heading1"/>
      </w:pPr>
      <w:r>
        <w:t>Aufgenommen am 09.09.2026</w:t>
      </w:r>
    </w:p>
    <w:p>
      <w:pPr>
        <w:pStyle w:val="Heading2"/>
      </w:pPr>
      <w:r>
        <w:t>Eltern akzeptieren Meningokokken-B-Impfung für Säuglinge unter fachlicher Empfehlung</w:t>
      </w:r>
    </w:p>
    <w:p>
      <w:r>
        <w:rPr>
          <w:i/>
          <w:color w:val="666666"/>
          <w:sz w:val="18"/>
        </w:rPr>
        <w:t>Herrera-Restrepo O et al.  ·  Hum Vaccin Immunother  ·  08.09.2026  ·  PMID 42709765</w:t>
      </w:r>
    </w:p>
    <w:p>
      <w:r>
        <w:t>US-Online-Befragung von 1.051 Eltern mit Kindern ≤18 Monaten zu Impfbereitschaft gegen Meningokokken B.</w:t>
      </w:r>
    </w:p>
    <w:p>
      <w:r>
        <w:rPr>
          <w:b/>
        </w:rPr>
        <w:t xml:space="preserve">Ergebnis: </w:t>
      </w:r>
      <w:r>
        <w:t>73,4% Kinder vollständig geimpft. Von 266 mit unvollständiger Impfung: 59,8% besorgt um Nebenwirkungen. Ohne Fachempfehlung: 66,3% würden MenB-Impfung akzeptieren, mit Krankheitsinformation: 72,1%. Fachperson-Kommunikation war Schlüsselfaktor.</w:t>
      </w:r>
    </w:p>
    <w:p>
      <w:r>
        <w:rPr>
          <w:b/>
          <w:sz w:val="19"/>
        </w:rPr>
        <w:t xml:space="preserve">Übertragbarkeit: </w:t>
      </w:r>
      <w:r>
        <w:rPr>
          <w:sz w:val="19"/>
        </w:rPr>
        <w:t>USA-System, aber Bedeutung der Fachperson-Kommunikation universal anwendbar, nicht auf Registerdaten übertragbar.</w:t>
      </w:r>
    </w:p>
    <w:p>
      <w:r>
        <w:rPr>
          <w:color w:val="5A7D3A"/>
          <w:sz w:val="18"/>
        </w:rPr>
        <w:t>https://pubmed.ncbi.nlm.nih.gov/42709765/</w:t>
      </w:r>
    </w:p>
    <w:p>
      <w:pPr>
        <w:pStyle w:val="Heading2"/>
      </w:pPr>
      <w:r>
        <w:t>Pneumokokken-Impfung ab 50 Jahren hätte 520.000 Erkrankungsfälle verhindern können</w:t>
      </w:r>
    </w:p>
    <w:p>
      <w:r>
        <w:rPr>
          <w:i/>
          <w:color w:val="666666"/>
          <w:sz w:val="18"/>
        </w:rPr>
        <w:t>Sharomi O et al.  ·  Hum Vaccin Immunother  ·  08.09.2026  ·  PMID 42708971</w:t>
      </w:r>
    </w:p>
    <w:p>
      <w:r>
        <w:t>Modellrechnung zu epidemiologischen Effekten einer Senkung der Impfaltersgrenze für Erwachsene von 60 auf 50 Jahre in Deutschland mit V116 oder PCV20.</w:t>
      </w:r>
    </w:p>
    <w:p>
      <w:r>
        <w:rPr>
          <w:b/>
        </w:rPr>
        <w:t xml:space="preserve">Ergebnis: </w:t>
      </w:r>
      <w:r>
        <w:t>Bei Impfquote von 30%: V116 ab 50 Jahren führte zu 520.128 weniger Pneumokokkus-Erkrankungsfällen, PCV20 zu 325.694 weniger. IPD-Inzidenz im Jahr 10 mit V116 ab 50 Jahren: 20,5 pro 100.000 (vs. 22,1 ab 60 Jahren).</w:t>
      </w:r>
    </w:p>
    <w:p>
      <w:r>
        <w:rPr>
          <w:b/>
          <w:sz w:val="19"/>
        </w:rPr>
        <w:t xml:space="preserve">Übertragbarkeit: </w:t>
      </w:r>
      <w:r>
        <w:rPr>
          <w:sz w:val="19"/>
        </w:rPr>
        <w:t>Deutschland, Modellierung mit deutschen Serotyphaten und Epidemiologie, aber keine empirische Versorgungsdatenbasis.</w:t>
      </w:r>
    </w:p>
    <w:p>
      <w:r>
        <w:rPr>
          <w:color w:val="5A7D3A"/>
          <w:sz w:val="18"/>
        </w:rPr>
        <w:t>https://pubmed.ncbi.nlm.nih.gov/42708971/</w:t>
      </w:r>
    </w:p>
    <w:p>
      <w:pPr>
        <w:pStyle w:val="Heading2"/>
      </w:pPr>
      <w:r>
        <w:t>Mütter wählen Impfungen nach Sicherheit – Information und Vertrauen entscheidend</w:t>
      </w:r>
    </w:p>
    <w:p>
      <w:r>
        <w:rPr>
          <w:i/>
          <w:color w:val="666666"/>
          <w:sz w:val="18"/>
        </w:rPr>
        <w:t>Xing R et al.  ·  Front Public Health  ·  24.08.2026  ·  PMID 42707176</w:t>
      </w:r>
    </w:p>
    <w:p>
      <w:r>
        <w:t>Qualitative Studie mit 16 Müttern in China zu Entscheidungsfaktoren bei selbstgezahlten Kinderimpfungen.</w:t>
      </w:r>
    </w:p>
    <w:p>
      <w:r>
        <w:rPr>
          <w:b/>
        </w:rPr>
        <w:t xml:space="preserve">Ergebnis: </w:t>
      </w:r>
      <w:r>
        <w:t>Sicherheit war Voraussetzung vor Nutzenabwägung. Mütter navigierten asymmetrische Informationen, balancierten Vertrauen in Fachpersonen mit unabhängiger Verifikation. Kosten wirkten als Filter oder Priorisierungsmechanismus. Kommunikationsqualität mit Anbieter:innen prägte Vertrauensaufbau; unzureichende Beratung erhöhte Unsicherheit.</w:t>
      </w:r>
    </w:p>
    <w:p>
      <w:r>
        <w:rPr>
          <w:b/>
          <w:sz w:val="19"/>
        </w:rPr>
        <w:t xml:space="preserve">Übertragbarkeit: </w:t>
      </w:r>
      <w:r>
        <w:rPr>
          <w:sz w:val="19"/>
        </w:rPr>
        <w:t>China, aber Entscheidungsprozesse universal; Qualitätskriterien für Beratung auf deutsches System übertragbar.</w:t>
      </w:r>
    </w:p>
    <w:p>
      <w:r>
        <w:rPr>
          <w:color w:val="5A7D3A"/>
          <w:sz w:val="18"/>
        </w:rPr>
        <w:t>https://pubmed.ncbi.nlm.nih.gov/42707176/</w:t>
      </w:r>
    </w:p>
    <w:p>
      <w:pPr>
        <w:pStyle w:val="Heading2"/>
      </w:pPr>
      <w:r>
        <w:t>Impfkampagne in Onkologie erhöht Impfquoten deutlich</w:t>
      </w:r>
    </w:p>
    <w:p>
      <w:r>
        <w:rPr>
          <w:i/>
          <w:color w:val="666666"/>
          <w:sz w:val="18"/>
        </w:rPr>
        <w:t>Markus T et al.  ·  BMC Public Health  ·  07.09.2026  ·  PMID 42706520</w:t>
      </w:r>
    </w:p>
    <w:p>
      <w:r>
        <w:t>Kölner Universitätsklinik testete eine Interventionsstudie mit Patientenaufklärung, Personalschulung und vor-Ort-Impfung über 1,5 Jahre.</w:t>
      </w:r>
    </w:p>
    <w:p>
      <w:r>
        <w:rPr>
          <w:b/>
        </w:rPr>
        <w:t xml:space="preserve">Ergebnis: </w:t>
      </w:r>
      <w:r>
        <w:t>Gesamtimpfquote stieg von 43% auf 49%, Influenza von 37% auf 48%, Pneumokokken von 16% auf 36%, Herpes zoster von 22% auf 33%. Anteil vollständig geimpfter Patienten: 6% auf 16%.</w:t>
      </w:r>
    </w:p>
    <w:p>
      <w:r>
        <w:rPr>
          <w:b/>
          <w:sz w:val="19"/>
        </w:rPr>
        <w:t xml:space="preserve">Übertragbarkeit: </w:t>
      </w:r>
      <w:r>
        <w:rPr>
          <w:sz w:val="19"/>
        </w:rPr>
        <w:t>Deutschland, Universitätsklinik mit vergleichbarem Dokumentationssystem, Patient:innen mit Malignomen.</w:t>
      </w:r>
    </w:p>
    <w:p>
      <w:r>
        <w:rPr>
          <w:color w:val="5A7D3A"/>
          <w:sz w:val="18"/>
        </w:rPr>
        <w:t>https://pubmed.ncbi.nlm.nih.gov/42706520/</w:t>
      </w:r>
    </w:p>
    <w:p>
      <w:pPr>
        <w:pStyle w:val="Heading2"/>
      </w:pPr>
      <w:r>
        <w:t>COVID-19-Impfstoffsicherheit: Präklinische und klinische Pharmakovigilanz verglichen</w:t>
      </w:r>
    </w:p>
    <w:p>
      <w:r>
        <w:rPr>
          <w:i/>
          <w:color w:val="666666"/>
          <w:sz w:val="18"/>
        </w:rPr>
        <w:t>Gonin C et al.  ·  Regul Toxicol Pharmacol  ·  11.07.2026  ·  PMID 42435835</w:t>
      </w:r>
    </w:p>
    <w:p>
      <w:r>
        <w:t>Französische Behörde (ANSM) verglich Sicherheitsdaten aus Laborstudien und Arzneimittelüberwachung für fünf COVID-19-Impfstoffe auf Reaktogenität, Myokarditis und Thrombose.</w:t>
      </w:r>
    </w:p>
    <w:p>
      <w:r>
        <w:rPr>
          <w:b/>
        </w:rPr>
        <w:t xml:space="preserve">Ergebnis: </w:t>
      </w:r>
      <w:r>
        <w:t>Virale Vektorimpfstoffe zeigten höhere Reaktogenität. Myokarditis und Thrombose-Thrombozytopenie wurden nicht in präklinischen Studien vorhergesagt. Biomarker wie Troponin waren klinisch aussagekräftig; keine Korrelation zwischen präklinischen Parametern und klinischen Ergebnissen.</w:t>
      </w:r>
    </w:p>
    <w:p>
      <w:r>
        <w:rPr>
          <w:b/>
          <w:sz w:val="19"/>
        </w:rPr>
        <w:t xml:space="preserve">Übertragbarkeit: </w:t>
      </w:r>
      <w:r>
        <w:rPr>
          <w:sz w:val="19"/>
        </w:rPr>
        <w:t>Frankreich, nationale Pharmakovigilanz mit europäischem Zulassungskontext, auf Deutschland übertragbar.</w:t>
      </w:r>
    </w:p>
    <w:p>
      <w:r>
        <w:rPr>
          <w:color w:val="5A7D3A"/>
          <w:sz w:val="18"/>
        </w:rPr>
        <w:t>https://pubmed.ncbi.nlm.nih.gov/42435835/</w:t>
      </w:r>
    </w:p>
    <w:p>
      <w:pPr>
        <w:pStyle w:val="Heading2"/>
      </w:pPr>
      <w:r>
        <w:t>COVID-19- und Influenza-Impfung sequenziell in Dialyse-Patienten: Immunogenität stabil</w:t>
      </w:r>
    </w:p>
    <w:p>
      <w:r>
        <w:rPr>
          <w:i/>
          <w:color w:val="666666"/>
          <w:sz w:val="18"/>
        </w:rPr>
        <w:t>Bronder S et al.  ·  Sci Rep  ·  06.07.2026  ·  PMID 42410167</w:t>
      </w:r>
    </w:p>
    <w:p>
      <w:r>
        <w:t>Beobachtungsstudie mit 113 dialysepflichtigen Patienten zu sequenzieller Gabe von XBB.1.5-COVID-19-Impfung und Influenza-Impfung im Abstand von 14 Tagen.</w:t>
      </w:r>
    </w:p>
    <w:p>
      <w:r>
        <w:rPr>
          <w:b/>
        </w:rPr>
        <w:t xml:space="preserve">Ergebnis: </w:t>
      </w:r>
      <w:r>
        <w:t>Nach beiden Impfungen: robuste Steigerung humoraler und zellulärer Antworten. Influenza-Impfung beeinträchtigte Spike-spezifische Antikörper oder T-Zell-Antworten nicht. Spike-Reaktionen blieben 6 Monate stabil und über Niveau ungeimpfter Kontrollen.</w:t>
      </w:r>
    </w:p>
    <w:p>
      <w:r>
        <w:rPr>
          <w:b/>
          <w:sz w:val="19"/>
        </w:rPr>
        <w:t xml:space="preserve">Übertragbarkeit: </w:t>
      </w:r>
      <w:r>
        <w:rPr>
          <w:sz w:val="19"/>
        </w:rPr>
        <w:t>Deutschland, vergleichbares Dialyse-System, aber kleine Kohorte; Transfer auf Hochrisiko-Populationen möglich.</w:t>
      </w:r>
    </w:p>
    <w:p>
      <w:r>
        <w:rPr>
          <w:color w:val="5A7D3A"/>
          <w:sz w:val="18"/>
        </w:rPr>
        <w:t>https://pubmed.ncbi.nlm.nih.gov/42410167/</w:t>
      </w:r>
    </w:p>
    <w:p>
      <w:pPr>
        <w:pStyle w:val="Heading1"/>
      </w:pPr>
      <w:r>
        <w:t>Aufgenommen am 08.09.2026</w:t>
      </w:r>
    </w:p>
    <w:p>
      <w:pPr>
        <w:pStyle w:val="Heading2"/>
      </w:pPr>
      <w:r>
        <w:t>Influenzaimpfung in der Schwangerschaft: Wahrnehmungen, Barrieren und Einflussfaktoren im Iran</w:t>
      </w:r>
    </w:p>
    <w:p>
      <w:r>
        <w:rPr>
          <w:i/>
          <w:color w:val="666666"/>
          <w:sz w:val="18"/>
        </w:rPr>
        <w:t>Yousefi M et al.  ·  Hum Vaccin Immunother  ·  07.09.2026  ·  PMID 42704733</w:t>
      </w:r>
    </w:p>
    <w:p>
      <w:r>
        <w:t>Querschnittsbefragung von 630 schwangeren Frauen zu Determinanten der Influenzaimpfakzeptanz mittels kombiniertem Health Belief Model und Theory of Planned Behavior.</w:t>
      </w:r>
    </w:p>
    <w:p>
      <w:r>
        <w:rPr>
          <w:b/>
        </w:rPr>
        <w:t xml:space="preserve">Ergebnis: </w:t>
      </w:r>
      <w:r>
        <w:t>73% wurden während Schwangerschaft geimpft. Wahrgenommene Anfälligkeit und positive Einstellung waren Prädiktoren für Impfintention (β=0,18 bzw. 0,13), wahrgenommene Barrieren wirkten negativ (β=-0,15). Häufigste Barrieren: Nebenwirkungsangst (49,4%), eingeschränkter Zugang (28,2%), fehlende Ärztempfehlung (27,1%), unzureichende Information (34,1%).</w:t>
      </w:r>
    </w:p>
    <w:p>
      <w:r>
        <w:rPr>
          <w:b/>
          <w:sz w:val="19"/>
        </w:rPr>
        <w:t xml:space="preserve">Übertragbarkeit: </w:t>
      </w:r>
      <w:r>
        <w:rPr>
          <w:sz w:val="19"/>
        </w:rPr>
        <w:t>Iran; Erkenntnisse zu Kommunikationsbarrieren in Ländern mit schwächerer Gesundheitsinfrastruktur teilweise übertragbar</w:t>
      </w:r>
    </w:p>
    <w:p>
      <w:r>
        <w:rPr>
          <w:color w:val="5A7D3A"/>
          <w:sz w:val="18"/>
        </w:rPr>
        <w:t>https://pubmed.ncbi.nlm.nih.gov/42704733/</w:t>
      </w:r>
    </w:p>
    <w:p>
      <w:pPr>
        <w:pStyle w:val="Heading2"/>
      </w:pPr>
      <w:r>
        <w:t>Schulisches Engagement für HPV-Impfbewusstsein steigert Akzeptanz bei Mädchen in Malawi</w:t>
      </w:r>
    </w:p>
    <w:p>
      <w:r>
        <w:rPr>
          <w:i/>
          <w:color w:val="666666"/>
          <w:sz w:val="18"/>
        </w:rPr>
        <w:t>Lubanga AF et al.  ·  Hum Vaccin Immunother  ·  07.09.2026  ·  PMID 42703762</w:t>
      </w:r>
    </w:p>
    <w:p>
      <w:r>
        <w:t>Implementierungsfallstudie einer zweitägigen Schulen- und Gemeinde-Engagementinitiative zur HPV-Impfförderung in Lilongwe, Malawi (2025–2026).</w:t>
      </w:r>
    </w:p>
    <w:p>
      <w:r>
        <w:rPr>
          <w:b/>
        </w:rPr>
        <w:t xml:space="preserve">Ergebnis: </w:t>
      </w:r>
      <w:r>
        <w:t>Über 500 Mädchen (9–14 Jahre) wurden durch schulische Aufklärung erreicht, 45 Gemeindeakteure eingebunden, 100 berechtigte Mädchen geimpft. Zentrale Erfolgsfaktoren: Vertrauen zu Impfpersonal, Schulbeteiligung, Dialogformate, Unterstützung von Gemeindeleitern. Identifizierte Bedenken: Fertilitätsangst, Impfstoffsicherheit, Geschlechtszielung.</w:t>
      </w:r>
    </w:p>
    <w:p>
      <w:r>
        <w:rPr>
          <w:b/>
          <w:sz w:val="19"/>
        </w:rPr>
        <w:t xml:space="preserve">Übertragbarkeit: </w:t>
      </w:r>
      <w:r>
        <w:rPr>
          <w:sz w:val="19"/>
        </w:rPr>
        <w:t>Subsahara-Afrika; Strategien für vertrauensbasierte Gemeindemobilisierung teilweise auf Deutschland übertragbar</w:t>
      </w:r>
    </w:p>
    <w:p>
      <w:r>
        <w:rPr>
          <w:color w:val="5A7D3A"/>
          <w:sz w:val="18"/>
        </w:rPr>
        <w:t>https://pubmed.ncbi.nlm.nih.gov/42703762/</w:t>
      </w:r>
    </w:p>
    <w:p>
      <w:pPr>
        <w:pStyle w:val="Heading2"/>
      </w:pPr>
      <w:r>
        <w:t>COVID-19-Auffrischungsimpfung: Ländliche und städtische Disparitäten in Südbangladesh</w:t>
      </w:r>
    </w:p>
    <w:p>
      <w:r>
        <w:rPr>
          <w:i/>
          <w:color w:val="666666"/>
          <w:sz w:val="18"/>
        </w:rPr>
        <w:t>Nath Roy D et al.  ·  Risk Anal  ·  Sept. 2026  ·  PMID 42702940</w:t>
      </w:r>
    </w:p>
    <w:p>
      <w:r>
        <w:t>Querschnittsbeobachtungsstudie (Dezember 2023–März 2024) zu Akzeptanz und Prädiktoren der Auffrischungsimpfung in ländlichen (n=379) und städtischen (n=328) Populationen in Südbangladesh.</w:t>
      </w:r>
    </w:p>
    <w:p>
      <w:r>
        <w:rPr>
          <w:b/>
        </w:rPr>
        <w:t xml:space="preserve">Ergebnis: </w:t>
      </w:r>
      <w:r>
        <w:t>Akzeptanzquote 69,9% insgesamt, ländlich 62,5% (95%-KI: 60,6–64,8) vs. urban 78,4% (95%-KI: 76,2–80,6; p&lt;0,001). Nebenwirkungsangst negativ assoziiert in beiden Settings. Ländlich: Kommunikation, Vertrauen, sozialer Einfluss positiv assoziiert. Urban: Gemeinschaftsschutz und Risiko-Nutzen-Verhältnis signifikant; Unabhängigkeit von Nicht-Pharmaka negativ assoziiert.</w:t>
      </w:r>
    </w:p>
    <w:p>
      <w:r>
        <w:rPr>
          <w:b/>
          <w:sz w:val="19"/>
        </w:rPr>
        <w:t xml:space="preserve">Übertragbarkeit: </w:t>
      </w:r>
      <w:r>
        <w:rPr>
          <w:sz w:val="19"/>
        </w:rPr>
        <w:t>Bangladesch; Erkenntnisse zu Vertrauenslücken und Kommunikationshindernissen in Ländern mit niedriger Impfquote</w:t>
      </w:r>
    </w:p>
    <w:p>
      <w:r>
        <w:rPr>
          <w:color w:val="5A7D3A"/>
          <w:sz w:val="18"/>
        </w:rPr>
        <w:t>https://pubmed.ncbi.nlm.nih.gov/42702940/</w:t>
      </w:r>
    </w:p>
    <w:p>
      <w:pPr>
        <w:pStyle w:val="Heading2"/>
      </w:pPr>
      <w:r>
        <w:t>COVID-19-Impfquote bei Psychiatriepatienten in Bayern deutlich höher als in der Bevölkerung</w:t>
      </w:r>
    </w:p>
    <w:p>
      <w:r>
        <w:rPr>
          <w:i/>
          <w:color w:val="666666"/>
          <w:sz w:val="18"/>
        </w:rPr>
        <w:t>Aksar A et al.  ·  J Psychiatr Res  ·  12.08.2026  ·  PMID 42603342</w:t>
      </w:r>
    </w:p>
    <w:p>
      <w:r>
        <w:t>Retrospektive Analyse der COVID-19-Impfquoten bei psychiatrischen Patienten in stationärer und ambulanter Behandlung in Südostbayern (2022–2023) im Vergleich zur Allgemeinbevölkerung.</w:t>
      </w:r>
    </w:p>
    <w:p>
      <w:r>
        <w:rPr>
          <w:b/>
        </w:rPr>
        <w:t xml:space="preserve">Ergebnis: </w:t>
      </w:r>
      <w:r>
        <w:t>Ungeimpftenquote in der Studiengruppe (n=3.734 Fälle) 13,6% vs. Bayerndurchschnitt 15–20%; höhere Quoten bei älteren und weiblichen Patienten, niedrigere bei Alkohol- und Substanzabhängigen. Ergebnis deuted auf positive Effekte von stationären Impfangeboten hin, bedarf aber weiterer Erforschung.</w:t>
      </w:r>
    </w:p>
    <w:p>
      <w:r>
        <w:rPr>
          <w:b/>
          <w:sz w:val="19"/>
        </w:rPr>
        <w:t xml:space="preserve">Übertragbarkeit: </w:t>
      </w:r>
      <w:r>
        <w:rPr>
          <w:sz w:val="19"/>
        </w:rPr>
        <w:t>Deutsche Klinikdaten, eigene Impfdokumentation ohne Registeranbindung</w:t>
      </w:r>
    </w:p>
    <w:p>
      <w:r>
        <w:rPr>
          <w:color w:val="5A7D3A"/>
          <w:sz w:val="18"/>
        </w:rPr>
        <w:t>https://pubmed.ncbi.nlm.nih.gov/42603342/</w:t>
      </w:r>
    </w:p>
    <w:p>
      <w:pPr>
        <w:pStyle w:val="Heading2"/>
      </w:pPr>
      <w:r>
        <w:t>Neustart in der RSV-Prävention: Nirsevimab und mütterliche Vakzination reduzieren Hospitalisierungen</w:t>
      </w:r>
    </w:p>
    <w:p>
      <w:r>
        <w:rPr>
          <w:i/>
          <w:color w:val="666666"/>
          <w:sz w:val="18"/>
        </w:rPr>
        <w:t>Marchetti F  ·  Recenti Prog Med  ·  Juli 2026  ·  PMID 42459097</w:t>
      </w:r>
    </w:p>
    <w:p>
      <w:r>
        <w:t>Narrativer Übersichtsartikel zur neuen Ärade der RSV-Prävention in früher Kindheit durch langwirksames monoklonales Antikörper Nirsevimab und mütterliche RSVpreF-Impfung basierend auf Real-World Evidence.</w:t>
      </w:r>
    </w:p>
    <w:p>
      <w:r>
        <w:rPr>
          <w:b/>
        </w:rPr>
        <w:t xml:space="preserve">Ergebnis: </w:t>
      </w:r>
      <w:r>
        <w:t>Großangelegte bevölkerungsbasierte Studien (z.B. französische Studie mit &gt;160.000 Säuglingen) belegen wesentliche Reduktion von RSV-bedingten Hospitalisierungen, intensivmedizinischer Aufnahmen und Beatmungsbedarf bei Nirsevimab-geimpften Säuglingen. Mütterliche Impfung schützt transplazentar bei optimaler Timing; Nirsevimab bietet unabhängige Vorhersagbarkeit.</w:t>
      </w:r>
    </w:p>
    <w:p>
      <w:r>
        <w:rPr>
          <w:b/>
          <w:sz w:val="19"/>
        </w:rPr>
        <w:t xml:space="preserve">Übertragbarkeit: </w:t>
      </w:r>
      <w:r>
        <w:rPr>
          <w:sz w:val="19"/>
        </w:rPr>
        <w:t>Frankreich und europäische Daten zur Implementierungserfahrung; nationales Impfprogramm für Deutschland noch zu entwickeln</w:t>
      </w:r>
    </w:p>
    <w:p>
      <w:r>
        <w:rPr>
          <w:color w:val="5A7D3A"/>
          <w:sz w:val="18"/>
        </w:rPr>
        <w:t>https://pubmed.ncbi.nlm.nih.gov/42459097/</w:t>
      </w:r>
    </w:p>
    <w:p>
      <w:pPr>
        <w:pStyle w:val="Heading2"/>
      </w:pPr>
      <w:r>
        <w:t>Immunitätslücken bei Diphtherie, Tetanus und Keuchhusten in Norwegen</w:t>
      </w:r>
    </w:p>
    <w:p>
      <w:r>
        <w:rPr>
          <w:i/>
          <w:color w:val="666666"/>
          <w:sz w:val="18"/>
        </w:rPr>
        <w:t>Aase A et al.  ·  Vaccine  ·  30.08.2026  ·  PMID 42413320</w:t>
      </w:r>
    </w:p>
    <w:p>
      <w:r>
        <w:t>Serologische Querschnittsstudie an repräsentativer norwegischer Bevölkerung (n=3.051, Alter 2–95 Jahre) zur Antikörperprävalenz gegen sieben Impfkrankheiten.</w:t>
      </w:r>
    </w:p>
    <w:p>
      <w:r>
        <w:rPr>
          <w:b/>
        </w:rPr>
        <w:t xml:space="preserve">Ergebnis: </w:t>
      </w:r>
      <w:r>
        <w:t>39,8% der Frauen und 25,0% der Männer ≥60 Jahre unter Schutzwert Diphtherie; 76,5% bzw. 41,7% unter Schutzwert Tetanus. Bei 6-Jährigen: 20,7% unter Diphtherie-, 25,0% unter Tetanus-Schutzwert vor Auffrischung. Masern und Röteln ausreichend protektiv in allen Altersgruppen.</w:t>
      </w:r>
    </w:p>
    <w:p>
      <w:r>
        <w:rPr>
          <w:b/>
          <w:sz w:val="19"/>
        </w:rPr>
        <w:t xml:space="preserve">Übertragbarkeit: </w:t>
      </w:r>
      <w:r>
        <w:rPr>
          <w:sz w:val="19"/>
        </w:rPr>
        <w:t>Nordeuropäisches Impfregister ermöglicht präzise Kohortenabfrage; Empfehlungskalender und Auffrischungsintervalle nicht direkt auf Deutschland übertragbar</w:t>
      </w:r>
    </w:p>
    <w:p>
      <w:r>
        <w:rPr>
          <w:color w:val="5A7D3A"/>
          <w:sz w:val="18"/>
        </w:rPr>
        <w:t>https://pubmed.ncbi.nlm.nih.gov/42413320/</w:t>
      </w:r>
    </w:p>
    <w:p>
      <w:pPr>
        <w:pStyle w:val="Heading1"/>
      </w:pPr>
      <w:r>
        <w:t>Aufgenommen am 07.09.2026</w:t>
      </w:r>
    </w:p>
    <w:p>
      <w:pPr>
        <w:pStyle w:val="Heading2"/>
      </w:pPr>
      <w:r>
        <w:t>HPV-Impfbereitschaft männlicher Studierender: Krankheitserkennung stärker als Dienstleistungsbewusstsein</w:t>
      </w:r>
    </w:p>
    <w:p>
      <w:r>
        <w:rPr>
          <w:i/>
          <w:color w:val="666666"/>
          <w:sz w:val="18"/>
        </w:rPr>
        <w:t>Zhang Y et al.  ·  Front Public Health  ·  21.08.2026  ·  PMID 42698614</w:t>
      </w:r>
    </w:p>
    <w:p>
      <w:r>
        <w:t>Querschnittsumfrage mit 4.260 männlichen Studierenden in China (Festland, Hongkong, Macau, Ausland) zur Bereitschaft für Grenzüberschreitungs-HPV-Impfung (2025–2026).</w:t>
      </w:r>
    </w:p>
    <w:p>
      <w:r>
        <w:rPr>
          <w:b/>
        </w:rPr>
        <w:t xml:space="preserve">Ergebnis: </w:t>
      </w:r>
      <w:r>
        <w:t>74,7% (3.182/4.260) zeigten Bereitschaft für Grenzüberschreitung. Krankheitserkennung war dominantester Faktor: Teilnehmer ohne Erkennung ≥1 HPV-assoziierter Erkrankung hatten deutlich niedrigere Quote (aOR=0,041, 95%-KI 0,017–0,095, p&lt;0,001). Bewusstsein für Grenzüberschreitungsangebot schwach positiv (aOR=1,233, p=0,008). Schulische HPV-Aufklärung (aOR=1,203, p=0,044) und höheres Klassenniveau (aOR=1,111 pro Stufe, p=0,012) assoziiert.</w:t>
      </w:r>
    </w:p>
    <w:p>
      <w:r>
        <w:rPr>
          <w:b/>
          <w:sz w:val="19"/>
        </w:rPr>
        <w:t xml:space="preserve">Übertragbarkeit: </w:t>
      </w:r>
      <w:r>
        <w:rPr>
          <w:sz w:val="19"/>
        </w:rPr>
        <w:t>China – kulturell/system-spezifisch, Erkenntnisse zu Edukationsbedarf und männlicher Impfskepsis aber verallgemeinerbar</w:t>
      </w:r>
    </w:p>
    <w:p>
      <w:r>
        <w:rPr>
          <w:color w:val="5A7D3A"/>
          <w:sz w:val="18"/>
        </w:rPr>
        <w:t>https://pubmed.ncbi.nlm.nih.gov/42698614/</w:t>
      </w:r>
    </w:p>
    <w:p>
      <w:pPr>
        <w:pStyle w:val="Heading2"/>
      </w:pPr>
      <w:r>
        <w:t>Neutralisierende Antikörper senken Risiko für schwere COVID-19 um durchschnittlich 43 %</w:t>
      </w:r>
    </w:p>
    <w:p>
      <w:r>
        <w:rPr>
          <w:i/>
          <w:color w:val="666666"/>
          <w:sz w:val="18"/>
        </w:rPr>
        <w:t>Elias KM et al.  ·  PLoS Med  ·  02.09.2026  ·  PMID 42685247</w:t>
      </w:r>
    </w:p>
    <w:p>
      <w:r>
        <w:t>Meta-Analyse von 25 klinischen Studien zur Wirksamkeit vakzininduzierten Neutralisierungstitern gegen Progression zu schwerem COVID-19 bei Infizierten.</w:t>
      </w:r>
    </w:p>
    <w:p>
      <w:r>
        <w:rPr>
          <w:b/>
        </w:rPr>
        <w:t xml:space="preserve">Ergebnis: </w:t>
      </w:r>
      <w:r>
        <w:t>Zehnfacher Anstieg der Neutralisierungstiter senkt relatives Progressionsrisiko zu schwerer Erkrankung um 43% (RR 0,57, 95%-KI [0,51–0,64], p&lt;0,001). Schutz durch Impfung übertrifft passiv verabreichte Antikörper, deutet aber auch auf zusätzliche T-Zell-Mechanismen hin.</w:t>
      </w:r>
    </w:p>
    <w:p>
      <w:r>
        <w:rPr>
          <w:b/>
          <w:sz w:val="19"/>
        </w:rPr>
        <w:t xml:space="preserve">Übertragbarkeit: </w:t>
      </w:r>
      <w:r>
        <w:rPr>
          <w:sz w:val="19"/>
        </w:rPr>
        <w:t>Australien/international – laborbasierte Korrelate, mechanistischer Befund übertragbar auf deutsche Population</w:t>
      </w:r>
    </w:p>
    <w:p>
      <w:r>
        <w:rPr>
          <w:color w:val="5A7D3A"/>
          <w:sz w:val="18"/>
        </w:rPr>
        <w:t>https://pubmed.ncbi.nlm.nih.gov/42685247/</w:t>
      </w:r>
    </w:p>
    <w:p>
      <w:pPr>
        <w:pStyle w:val="Heading2"/>
      </w:pPr>
      <w:r>
        <w:t>Sicherheit von fünf COVID-19-Impfstoffen: Vergleich von Laborprüfung und Pharmakovigilanz</w:t>
      </w:r>
    </w:p>
    <w:p>
      <w:r>
        <w:rPr>
          <w:i/>
          <w:color w:val="666666"/>
          <w:sz w:val="18"/>
        </w:rPr>
        <w:t>Ren L et al.  ·  Trends Cancer  ·  09.07.2026  ·  PMID 42425835</w:t>
      </w:r>
    </w:p>
    <w:p>
      <w:r>
        <w:t>Vergleichende Analyse von Nichtkliniksicherheitsstudien und Pharmakovigilanzüberwachung zu fünf in Frankreich autorisierten COVID-19-Impfstoffen (Comirnaty, Spikevax, Vaxzevria, Jcovden, Nuvaxovid).</w:t>
      </w:r>
    </w:p>
    <w:p>
      <w:r>
        <w:rPr>
          <w:b/>
        </w:rPr>
        <w:t xml:space="preserve">Ergebnis: </w:t>
      </w:r>
      <w:r>
        <w:t>Reaktogenität bei Vektor-Impfstoffen höher als mRNA-Stoffen. Für seltene Ereignisse (Myokarditis, VITT) zeigten nichtklische Modelle begrenzte Vorhersagekraft. Troponin als klinischer Biomarker identifiziert; Harmonisierung der Biomarker-Überwachung empfohlen – klinische Phänomene wurden durch Labortests nicht vorhergesagt.</w:t>
      </w:r>
    </w:p>
    <w:p>
      <w:r>
        <w:rPr>
          <w:b/>
          <w:sz w:val="19"/>
        </w:rPr>
        <w:t xml:space="preserve">Übertragbarkeit: </w:t>
      </w:r>
      <w:r>
        <w:rPr>
          <w:sz w:val="19"/>
        </w:rPr>
        <w:t>Frankreich/Europa – europäische Zulassungsdaten, PV-Praktiken, pharmakovigilanzregeln vergleichbar</w:t>
      </w:r>
    </w:p>
    <w:p>
      <w:r>
        <w:rPr>
          <w:color w:val="5A7D3A"/>
          <w:sz w:val="18"/>
        </w:rPr>
        <w:t>https://pubmed.ncbi.nlm.nih.gov/42425835/</w:t>
      </w:r>
    </w:p>
    <w:p>
      <w:pPr>
        <w:pStyle w:val="Heading2"/>
      </w:pPr>
      <w:r>
        <w:t>Pneumokokken-Impfquote bei immunsupprimierten Personen in England deutlich unter Zielwert</w:t>
      </w:r>
    </w:p>
    <w:p>
      <w:r>
        <w:rPr>
          <w:i/>
          <w:color w:val="666666"/>
          <w:sz w:val="18"/>
        </w:rPr>
        <w:t>Meza B et al.  ·  JMIR Res Protoc  ·  09.07.2026  ·  PMID 42424613</w:t>
      </w:r>
    </w:p>
    <w:p>
      <w:r>
        <w:t>Retrospektive Kohortenstudie mit Registerdaten von 2025 bis 2026 zur Impfquote bei Erwachsenen mit Immunsuppression in primärärztlicher Versorgung (Oxford-RCGP-Netzwerk).</w:t>
      </w:r>
    </w:p>
    <w:p>
      <w:r>
        <w:rPr>
          <w:b/>
        </w:rPr>
        <w:t xml:space="preserve">Ergebnis: </w:t>
      </w:r>
      <w:r>
        <w:t>Pneumokokken-Impfquote in der immunsupprimierten Population bleibt eine Unbekannte, die Studie befindet sich noch in Analyse (Ergebnisse für 2026 erwartet). Ziel: Disaggregierte Berichte über Impfquoten nach Immunsuppression-Grund, sozioökonomischem Gradienten und ethnischer Gruppe. Erkenntes Problem: Breite Lücke bei hochrisikogruppenspezifischen Impfquoten-Daten.</w:t>
      </w:r>
    </w:p>
    <w:p>
      <w:r>
        <w:rPr>
          <w:b/>
          <w:sz w:val="19"/>
        </w:rPr>
        <w:t xml:space="preserve">Übertragbarkeit: </w:t>
      </w:r>
      <w:r>
        <w:rPr>
          <w:sz w:val="19"/>
        </w:rPr>
        <w:t>Großbritannien – vergleichbares NHS-System, aber kein deutsches Impfregister; Qualität hängt von Registerdatenverfügbarkeit ab</w:t>
      </w:r>
    </w:p>
    <w:p>
      <w:r>
        <w:rPr>
          <w:color w:val="5A7D3A"/>
          <w:sz w:val="18"/>
        </w:rPr>
        <w:t>https://pubmed.ncbi.nlm.nih.gov/42424613/</w:t>
      </w:r>
    </w:p>
    <w:p>
      <w:pPr>
        <w:pStyle w:val="Heading2"/>
      </w:pPr>
      <w:r>
        <w:t>COVID-Impfmandates als Anreiz-Instrumente: 7S-Rahmen für Mandatspolitik</w:t>
      </w:r>
    </w:p>
    <w:p>
      <w:r>
        <w:rPr>
          <w:i/>
          <w:color w:val="666666"/>
          <w:sz w:val="18"/>
        </w:rPr>
        <w:t>Duong H et al.  ·  Glob Public Health  ·  31.12.2026  ·  PMID 42421423</w:t>
      </w:r>
    </w:p>
    <w:p>
      <w:r>
        <w:t>Qualitative Analyse von Impfmandaten in sechs Ländern (Australien, Frankreich, Israel, Malaysia, Singapur, Vietnam) zur Unterscheidung zwischen Zwang und Anreizen.</w:t>
      </w:r>
    </w:p>
    <w:p>
      <w:r>
        <w:rPr>
          <w:b/>
        </w:rPr>
        <w:t xml:space="preserve">Ergebnis: </w:t>
      </w:r>
      <w:r>
        <w:t>Mandate funktionierten überwiegend als Anreize zur Wiederherstellung von Grundrechten (Arbeit, Reisen, öffentliche Räume), die durch Lockdowns entzogen wurden. Theoretischer Rahmen zeigt: Konzeptionelle Definition muss zwischen «Entziehung-Wiederherstellung» und echtem Zwang unterscheiden. Kernaussage für Mandatsforschung: Kontext von Pandemie-Restriktionen prägt Wahrnehmung und Effektivität erheblich.</w:t>
      </w:r>
    </w:p>
    <w:p>
      <w:r>
        <w:rPr>
          <w:b/>
          <w:sz w:val="19"/>
        </w:rPr>
        <w:t xml:space="preserve">Übertragbarkeit: </w:t>
      </w:r>
      <w:r>
        <w:rPr>
          <w:sz w:val="19"/>
        </w:rPr>
        <w:t>Internationale Perspektive – Policyanalyse, weniger direkt auf deutsches System übertragbar, aber konzeptuell relevant für Impfpflicht-Debatten</w:t>
      </w:r>
    </w:p>
    <w:p>
      <w:r>
        <w:rPr>
          <w:color w:val="5A7D3A"/>
          <w:sz w:val="18"/>
        </w:rPr>
        <w:t>https://pubmed.ncbi.nlm.nih.gov/42421423/</w:t>
      </w:r>
    </w:p>
    <w:p>
      <w:pPr>
        <w:pStyle w:val="Heading2"/>
      </w:pPr>
      <w:r>
        <w:t>Video-Intervention steigert Impfbewusstsein bei psychischen Erkrankungen, nicht Impfbereitschaft</w:t>
      </w:r>
    </w:p>
    <w:p>
      <w:r>
        <w:rPr>
          <w:i/>
          <w:color w:val="666666"/>
          <w:sz w:val="18"/>
        </w:rPr>
        <w:t>Huth D et al.  ·  Front Public Health  ·  23.06.2026  ·  PMID 42415765</w:t>
      </w:r>
    </w:p>
    <w:p>
      <w:r>
        <w:t>Randomisierte Online-Studie mit 639 deutschsprachigen Teilnehmern (24,4% mit selbstberichteter psychischer Störung) zur Wirkung eines Aufklärungsvideos auf COVID-19-Impfakzeptanz bei vulnerablen Gruppen.</w:t>
      </w:r>
    </w:p>
    <w:p>
      <w:r>
        <w:rPr>
          <w:b/>
        </w:rPr>
        <w:t xml:space="preserve">Ergebnis: </w:t>
      </w:r>
      <w:r>
        <w:t>Video erhöhte Risikobewusstsein signifikant (p=0,010, d=0,21) und Verständnis für Impfung bei psychischen Erkrankungen (p=0,033, d=0,17), steigerte aber nicht die Impfbereitschaft. Versorgungslücke bleibt offen: Psychisch kranke Menschen zeigen höhere wahrgenommene Anfälligkeit (p=0,032, d=0,36), aber Aufklärung allein führt zu keinem Verhaltenswechsel.</w:t>
      </w:r>
    </w:p>
    <w:p>
      <w:r>
        <w:rPr>
          <w:b/>
          <w:sz w:val="19"/>
        </w:rPr>
        <w:t xml:space="preserve">Übertragbarkeit: </w:t>
      </w:r>
      <w:r>
        <w:rPr>
          <w:sz w:val="19"/>
        </w:rPr>
        <w:t>Deutschland – Teilnehmer aus deutscher Bevölkerung, lokale Vulnerabilitätsgruppen</w:t>
      </w:r>
    </w:p>
    <w:p>
      <w:r>
        <w:rPr>
          <w:color w:val="5A7D3A"/>
          <w:sz w:val="18"/>
        </w:rPr>
        <w:t>https://pubmed.ncbi.nlm.nih.gov/42415765/</w:t>
      </w:r>
    </w:p>
    <w:p>
      <w:pPr>
        <w:pStyle w:val="Heading1"/>
      </w:pPr>
      <w:r>
        <w:t>Aufgenommen am 06.09.2026</w:t>
      </w:r>
    </w:p>
    <w:p>
      <w:pPr>
        <w:pStyle w:val="Heading2"/>
      </w:pPr>
      <w:r>
        <w:t>Tetanus-Schutzimpfungen bei Frauen in Afghanistan: massive Deckungslücken</w:t>
      </w:r>
    </w:p>
    <w:p>
      <w:r>
        <w:rPr>
          <w:i/>
          <w:color w:val="666666"/>
          <w:sz w:val="18"/>
        </w:rPr>
        <w:t>Stanikzai MH et al.  ·  Hum Vaccin Immunother  ·  02.09.2026  ·  PMID 42683523</w:t>
      </w:r>
    </w:p>
    <w:p>
      <w:r>
        <w:t>Nationale Survey mit 12450 verheirateten Frauen in Afghanistan untersuchte Tetanus-Impfquoten und deren Assoziationen.</w:t>
      </w:r>
    </w:p>
    <w:p>
      <w:r>
        <w:rPr>
          <w:b/>
        </w:rPr>
        <w:t xml:space="preserve">Ergebnis: </w:t>
      </w:r>
      <w:r>
        <w:t>Nur 49,9% mit adäquater TT-Immunisierung. Höhere Quote bei sekundärer/höherer Bildung (AOR=1,57), bei ≥4 Antenatal-Care-Besuchen (AOR=4,67), in Regionen mit besserer Infrastruktur. Geringere Quote bei Frauen ≥40 Jahren (AOR=0,76) und in Ost- und Westregionen. Zeigt massive Ungleichheit.</w:t>
      </w:r>
    </w:p>
    <w:p>
      <w:r>
        <w:rPr>
          <w:b/>
          <w:sz w:val="19"/>
        </w:rPr>
        <w:t xml:space="preserve">Übertragbarkeit: </w:t>
      </w:r>
      <w:r>
        <w:rPr>
          <w:sz w:val="19"/>
        </w:rPr>
        <w:t>Afghanistan-spezifisch, aber Methode zur Identifikation von Zugangsbarrieren übertragbar</w:t>
      </w:r>
    </w:p>
    <w:p>
      <w:r>
        <w:rPr>
          <w:color w:val="5A7D3A"/>
          <w:sz w:val="18"/>
        </w:rPr>
        <w:t>https://pubmed.ncbi.nlm.nih.gov/42683523/</w:t>
      </w:r>
    </w:p>
    <w:p>
      <w:pPr>
        <w:pStyle w:val="Heading2"/>
      </w:pPr>
      <w:r>
        <w:t>Masern-Antikörperwaning gefährdet Herdenimmunität trotz hoher Impfquoten</w:t>
      </w:r>
    </w:p>
    <w:p>
      <w:r>
        <w:rPr>
          <w:i/>
          <w:color w:val="666666"/>
          <w:sz w:val="18"/>
        </w:rPr>
        <w:t>Wang W et al.  ·  Front Immunol  ·  18.08.2026  ·  PMID 42682682</w:t>
      </w:r>
    </w:p>
    <w:p>
      <w:r>
        <w:t>Chinesische Serologie-Studie mit 2083 Teilnehmern untersuchte Masern-Antikörper-Persistenz und Immunitätslücken nach Elimination des Wildvirus.</w:t>
      </w:r>
    </w:p>
    <w:p>
      <w:r>
        <w:rPr>
          <w:b/>
        </w:rPr>
        <w:t xml:space="preserve">Ergebnis: </w:t>
      </w:r>
      <w:r>
        <w:t>Gesamte Seropositiv-Quote 84,59%, aber Antikörper-Spiegel zeigten nicht-linearen Rückgang mit Zeit. Kinder 8–17 Monate: nur 28,13% Seropositiv. Jedes Jahr seit letzter Impfung erhöhte Seronegativi-Risiko um 11% (AOR=1,11). Dies zeigt erhebliche Immunitätslücken trotz hoher MCV-Abdeckung.</w:t>
      </w:r>
    </w:p>
    <w:p>
      <w:r>
        <w:rPr>
          <w:b/>
          <w:sz w:val="19"/>
        </w:rPr>
        <w:t xml:space="preserve">Übertragbarkeit: </w:t>
      </w:r>
      <w:r>
        <w:rPr>
          <w:sz w:val="19"/>
        </w:rPr>
        <w:t>Epidemiologische Erkenntnisse übertragbar auf systematische Surveillance-Überwachung</w:t>
      </w:r>
    </w:p>
    <w:p>
      <w:r>
        <w:rPr>
          <w:color w:val="5A7D3A"/>
          <w:sz w:val="18"/>
        </w:rPr>
        <w:t>https://pubmed.ncbi.nlm.nih.gov/42682682/</w:t>
      </w:r>
    </w:p>
    <w:p>
      <w:pPr>
        <w:pStyle w:val="Heading2"/>
      </w:pPr>
      <w:r>
        <w:t>HPV-Impfschutz bestätigt trotz hoher Prävalenz nicht-geimpfter Typen</w:t>
      </w:r>
    </w:p>
    <w:p>
      <w:r>
        <w:rPr>
          <w:i/>
          <w:color w:val="666666"/>
          <w:sz w:val="18"/>
        </w:rPr>
        <w:t>Gross S et al.  ·  Arch Virol  ·  28.08.2026  ·  PMID 42663706</w:t>
      </w:r>
    </w:p>
    <w:p>
      <w:r>
        <w:t>Französische Studie untersuchte HPV-Genotypen bei 464 geimpften Frauen zur Bewertung der Impfeffektivität unter Alltagsbedingungen.</w:t>
      </w:r>
    </w:p>
    <w:p>
      <w:r>
        <w:rPr>
          <w:b/>
        </w:rPr>
        <w:t xml:space="preserve">Ergebnis: </w:t>
      </w:r>
      <w:r>
        <w:t>HPV16/18-Prävalenz lag bei nur 4,3%, was die Impfeffektivität bestätigt. Allerdings wurden hochrisiko-HPV-Typen (52, 51, 56) in 8,2–5,8% nachgewiesen, die nicht in Bivalent- oder Quadrivalent-Impfstoffen enthalten sind. Dies unterstreicht die Überlegenheit nonavalenter Impfstoffe.</w:t>
      </w:r>
    </w:p>
    <w:p>
      <w:r>
        <w:rPr>
          <w:b/>
          <w:sz w:val="19"/>
        </w:rPr>
        <w:t xml:space="preserve">Übertragbarkeit: </w:t>
      </w:r>
      <w:r>
        <w:rPr>
          <w:sz w:val="19"/>
        </w:rPr>
        <w:t>Frankreich, vergleichbares Versicherungssystem, Screening-Daten verfügbar</w:t>
      </w:r>
    </w:p>
    <w:p>
      <w:r>
        <w:rPr>
          <w:color w:val="5A7D3A"/>
          <w:sz w:val="18"/>
        </w:rPr>
        <w:t>https://pubmed.ncbi.nlm.nih.gov/42663706/</w:t>
      </w:r>
    </w:p>
    <w:p>
      <w:pPr>
        <w:pStyle w:val="Heading2"/>
      </w:pPr>
      <w:r>
        <w:t>HBV-Therapeutische Impfung zeigt Immunantwort, aber keine funktionale Heilung</w:t>
      </w:r>
    </w:p>
    <w:p>
      <w:r>
        <w:rPr>
          <w:i/>
          <w:color w:val="666666"/>
          <w:sz w:val="18"/>
        </w:rPr>
        <w:t>Jeng WJ et al.  ·  Hepatol Commun  ·  01.09.2026  ·  PMID 42623526</w:t>
      </w:r>
    </w:p>
    <w:p>
      <w:r>
        <w:t>Phase-1/2-RCT mit 134 Patienten mit chronischer Hepatitis B unter Nukleos(t)id-Analoga testete heterologe prime-boost Impfstrategie.</w:t>
      </w:r>
    </w:p>
    <w:p>
      <w:r>
        <w:rPr>
          <w:b/>
        </w:rPr>
        <w:t xml:space="preserve">Ergebnis: </w:t>
      </w:r>
      <w:r>
        <w:t>Kein HBsAg-Verlust oder ≥1-log-Reduktion bei allen 134 Patienten (primärer Endpunkt verfehlt). Co-Gabe induzierte stärkste Anti-HBs-Antwort (73,7% ≥10 mIU/mL vs. 40% sequential). Grade-3-AE häufiger bei Co-Gabe (59,3% systemisch). CD4+/CD8+ T-Zell-Antworten nachgewiesen, aber begrenzte klinische Wirksamkeit.</w:t>
      </w:r>
    </w:p>
    <w:p>
      <w:r>
        <w:rPr>
          <w:b/>
          <w:sz w:val="19"/>
        </w:rPr>
        <w:t xml:space="preserve">Übertragbarkeit: </w:t>
      </w:r>
      <w:r>
        <w:rPr>
          <w:sz w:val="19"/>
        </w:rPr>
        <w:t>Europäische und internationale Zentren, vergleichbar mit deutschem Versicherungssystem</w:t>
      </w:r>
    </w:p>
    <w:p>
      <w:r>
        <w:rPr>
          <w:color w:val="5A7D3A"/>
          <w:sz w:val="18"/>
        </w:rPr>
        <w:t>https://pubmed.ncbi.nlm.nih.gov/42623526/</w:t>
      </w:r>
    </w:p>
    <w:p>
      <w:pPr>
        <w:pStyle w:val="Heading2"/>
      </w:pPr>
      <w:r>
        <w:t>Computergestützte Prognosen in Schwedens COVID-Impfphase: Forschung ohne Politikbezug</w:t>
      </w:r>
    </w:p>
    <w:p>
      <w:r>
        <w:rPr>
          <w:i/>
          <w:color w:val="666666"/>
          <w:sz w:val="18"/>
        </w:rPr>
        <w:t>Jöud AS et al.  ·  BMC Health Serv Res  ·  10.07.2026  ·  PMID 42432642</w:t>
      </w:r>
    </w:p>
    <w:p>
      <w:r>
        <w:t>Systematische Literaturübersicht bewertete 6 peer-reviewte Computerprognosestudien mit Schwedendaten zur COVID-19-Impfphase 2020–2023.</w:t>
      </w:r>
    </w:p>
    <w:p>
      <w:r>
        <w:rPr>
          <w:b/>
        </w:rPr>
        <w:t xml:space="preserve">Ergebnis: </w:t>
      </w:r>
      <w:r>
        <w:t>Alle 6 Studien zeigten Bayesianische Kalibrierung als Methode, aber keine externe Modellvalidation. Kein einziger Artikel bezog sich auf Politikentscheidungen als primären Forschungskontext. Schluss: Computergestützte Forschung diente Modellentwicklung, nicht Politikunterstützung – Kluft zwischen Forschung und Versorgungsbedarf.</w:t>
      </w:r>
    </w:p>
    <w:p>
      <w:r>
        <w:rPr>
          <w:b/>
          <w:sz w:val="19"/>
        </w:rPr>
        <w:t xml:space="preserve">Übertragbarkeit: </w:t>
      </w:r>
      <w:r>
        <w:rPr>
          <w:sz w:val="19"/>
        </w:rPr>
        <w:t>Schweden, zeigte methodische Lücke bei Verankerung von Forschung in Versorgungspraxis</w:t>
      </w:r>
    </w:p>
    <w:p>
      <w:r>
        <w:rPr>
          <w:color w:val="5A7D3A"/>
          <w:sz w:val="18"/>
        </w:rPr>
        <w:t>https://pubmed.ncbi.nlm.nih.gov/42432642/</w:t>
      </w:r>
    </w:p>
    <w:p>
      <w:pPr>
        <w:pStyle w:val="Heading2"/>
      </w:pPr>
      <w:r>
        <w:t>PCV21 kosteneffektiver als PCV20 in Dänemarks Pneumokokken-Impfprogramm</w:t>
      </w:r>
    </w:p>
    <w:p>
      <w:r>
        <w:rPr>
          <w:i/>
          <w:color w:val="666666"/>
          <w:sz w:val="18"/>
        </w:rPr>
        <w:t>Sharomi O et al.  ·  Expert Rev Pharmacoecon Outcomes Res  ·  10.07.2026  ·  PMID 42421526</w:t>
      </w:r>
    </w:p>
    <w:p>
      <w:r>
        <w:t>Dänemark: Modellanalyse verglich 100-Jahres-Gesundheitsfolgen von PCV21- vs. PCV20-Programm für Erwachsene ≥65 Jahre.</w:t>
      </w:r>
    </w:p>
    <w:p>
      <w:r>
        <w:rPr>
          <w:b/>
        </w:rPr>
        <w:t xml:space="preserve">Ergebnis: </w:t>
      </w:r>
      <w:r>
        <w:t>PCV21 gegenüber PCV20: 29309 NBPP-Fälle, 627 IPD-Fälle und 1312 Todesfälle vermieden über 100 Jahre. 835,2 Mio. dänische Kronen Kosteneinsparung, 759 QALY-Gewinn. ICER-Wert zeigt kostenspannung dominante Strategie (dominant = Einsparungen + bessere Outcomes).</w:t>
      </w:r>
    </w:p>
    <w:p>
      <w:r>
        <w:rPr>
          <w:b/>
          <w:sz w:val="19"/>
        </w:rPr>
        <w:t xml:space="preserve">Übertragbarkeit: </w:t>
      </w:r>
      <w:r>
        <w:rPr>
          <w:sz w:val="19"/>
        </w:rPr>
        <w:t>Dänemark, vergleichbares nordeuropäisches Versicherungssystem und Impfkalender</w:t>
      </w:r>
    </w:p>
    <w:p>
      <w:r>
        <w:rPr>
          <w:color w:val="5A7D3A"/>
          <w:sz w:val="18"/>
        </w:rPr>
        <w:t>https://pubmed.ncbi.nlm.nih.gov/42421526/</w:t>
      </w:r>
    </w:p>
    <w:p>
      <w:pPr>
        <w:pStyle w:val="Heading1"/>
      </w:pPr>
      <w:r>
        <w:t>Aufgenommen am 05.09.2026</w:t>
      </w:r>
    </w:p>
    <w:p>
      <w:pPr>
        <w:pStyle w:val="Heading2"/>
      </w:pPr>
      <w:r>
        <w:t>Influenza-Impfeffektivität gegen Hospitalisierung bei Erwachsenen mit chronischen Erkrankungen</w:t>
      </w:r>
    </w:p>
    <w:p>
      <w:r>
        <w:rPr>
          <w:i/>
          <w:color w:val="666666"/>
          <w:sz w:val="18"/>
        </w:rPr>
        <w:t>Toledo D et al.  ·  Influenza Other Respir Viruses  ·  Sept. 2026  ·  PMID 42693773</w:t>
      </w:r>
    </w:p>
    <w:p>
      <w:r>
        <w:t>Multizentrisches Fall-Kontroll-Verfahren aus 17 spanischen Krankenhäusern zur Bestimmung der klinischen Effektivität der saisonalen Influenzaimpfung bei hospitalisiert behandelten Erwachsenen (15–64 Jahre) mit vorbestehenden medizinischen Erkrankungen über drei Influenzajahreszeiten.</w:t>
      </w:r>
    </w:p>
    <w:p>
      <w:r>
        <w:rPr>
          <w:b/>
        </w:rPr>
        <w:t xml:space="preserve">Ergebnis: </w:t>
      </w:r>
      <w:r>
        <w:t>Von 1.220 hospitalisierten Erwachsenen waren 25,2 % geimpft. Die Impfeffektivität variierte nach Saison, Altersgruppe und Virus-Subtyp; statistisch signifikanter Schutz wurde für alle Jahreszeiten gemeinsam gegen A(H3N2) beobachtet, einzelne Jahreszeiten zeigten keine signifikanten Unterschiede. Die Studie unterstreicht geringe saisonale Influenzaimpfquoten in dieser Bevölkerungsgruppe und die Notwendigkeit verbesserter Impfstrategien.</w:t>
      </w:r>
    </w:p>
    <w:p>
      <w:r>
        <w:rPr>
          <w:b/>
          <w:sz w:val="19"/>
        </w:rPr>
        <w:t xml:space="preserve">Übertragbarkeit: </w:t>
      </w:r>
      <w:r>
        <w:rPr>
          <w:sz w:val="19"/>
        </w:rPr>
        <w:t>Spanien, vergleichbares Gesundheitssystem; Hospitalisierungsdaten messbar</w:t>
      </w:r>
    </w:p>
    <w:p>
      <w:r>
        <w:rPr>
          <w:color w:val="5A7D3A"/>
          <w:sz w:val="18"/>
        </w:rPr>
        <w:t>https://pubmed.ncbi.nlm.nih.gov/42693773/</w:t>
      </w:r>
    </w:p>
    <w:p>
      <w:pPr>
        <w:pStyle w:val="Heading2"/>
      </w:pPr>
      <w:r>
        <w:t>Klima und Impfung als Determinanten für Durchfall-Morbidität in afrikanischen Ländern</w:t>
      </w:r>
    </w:p>
    <w:p>
      <w:r>
        <w:rPr>
          <w:i/>
          <w:color w:val="666666"/>
          <w:sz w:val="18"/>
        </w:rPr>
        <w:t>Kowalcyk M et al.  ·  Nat Commun  ·  06.08.2026  ·  PMID 42693103</w:t>
      </w:r>
    </w:p>
    <w:p>
      <w:r>
        <w:t>Sekundäranalyse der Global Enteric Multicenter Study (GEMS) und VIDA-Studie zur Rolle von Klima und sozioökonomischen Vulnerabilitätsfaktoren bei der Vorhersage pathogenspezifischer Durchfall-Erkrankungen bei Kindern in Gambia, Kenia und Mali.</w:t>
      </w:r>
    </w:p>
    <w:p>
      <w:r>
        <w:rPr>
          <w:b/>
        </w:rPr>
        <w:t xml:space="preserve">Ergebnis: </w:t>
      </w:r>
      <w:r>
        <w:t>Soziodemografische Vulnerabilität (Transport-, Fernseh-, Stromzugang) und Rotavirus-Impfeinführung modifizierten die Assoziation zwischen Wetter und moderatem-schwerem Durchfall. Diese Modifikationen waren standort- und pathogenspezifisch. Bevölkerungszahl war stärkster Prädiktor (SHAP mean absolute 0,167 für Inzidenz). Die Studie zeigt, dass Vulnerabilitätsfaktoren mit variable pathogenspezifischen Erkrankungsrisiken korreliert sind.</w:t>
      </w:r>
    </w:p>
    <w:p>
      <w:r>
        <w:rPr>
          <w:b/>
          <w:sz w:val="19"/>
        </w:rPr>
        <w:t xml:space="preserve">Übertragbarkeit: </w:t>
      </w:r>
      <w:r>
        <w:rPr>
          <w:sz w:val="19"/>
        </w:rPr>
        <w:t>Afrika; Vulnerabilität und Impfprogramme, Versorgungsforschung in ressourcenlimitierten Settings</w:t>
      </w:r>
    </w:p>
    <w:p>
      <w:r>
        <w:rPr>
          <w:color w:val="5A7D3A"/>
          <w:sz w:val="18"/>
        </w:rPr>
        <w:t>https://pubmed.ncbi.nlm.nih.gov/42693103/</w:t>
      </w:r>
    </w:p>
    <w:p>
      <w:pPr>
        <w:pStyle w:val="Heading2"/>
      </w:pPr>
      <w:r>
        <w:t>Barrieren und Beförderer der HPV-Impfakzeptanz in Pakistan vor Programmstart</w:t>
      </w:r>
    </w:p>
    <w:p>
      <w:r>
        <w:rPr>
          <w:i/>
          <w:color w:val="666666"/>
          <w:sz w:val="18"/>
        </w:rPr>
        <w:t>Noreen K et al.  ·  Hum Vaccin Immunother  ·  03.09.2026  ·  PMID 42692950</w:t>
      </w:r>
    </w:p>
    <w:p>
      <w:r>
        <w:t>Qualitative Studie mit Fokusgruppen und Interviews bei Community Worker, Gesundheitspersonal, Lehrkräften, Mädchen und Eltern zur Erfassung von Hemmnissen und Förderungsfaktoren der HPV-Impfakzeptanz vor dem ersten nationalen HPV-Impfprogramm in Pakistan.</w:t>
      </w:r>
    </w:p>
    <w:p>
      <w:r>
        <w:rPr>
          <w:b/>
        </w:rPr>
        <w:t xml:space="preserve">Ergebnis: </w:t>
      </w:r>
      <w:r>
        <w:t>Barrieren: Furcht vor Nebenwirkungen, Impfskepsis, Fehlinformation über soziale Medien, religiöse Wahrnehmungen, patriarchale Entscheidungsfindung, Wartezeitprobleme, Widerstand in der Gemeinde. Beförderer: Erkenntnis des Impfnutzens, unterstützende Familie und Gemeinschaftsnormen, Gesundheitsfachleute-Beratung, religiöse Argumente, aufsuchende Dienste und Vertrauenspersonen wie Schulleitung. Die Befunde unterstreichen Bedarf für kulturell sensible, vertrauensaufbauende Strategien über klinischen Ansatz hinaus.</w:t>
      </w:r>
    </w:p>
    <w:p>
      <w:r>
        <w:rPr>
          <w:b/>
          <w:sz w:val="19"/>
        </w:rPr>
        <w:t xml:space="preserve">Übertragbarkeit: </w:t>
      </w:r>
      <w:r>
        <w:rPr>
          <w:sz w:val="19"/>
        </w:rPr>
        <w:t>Pakistan; Implementierungsforschung für Programmstart nötig, nicht direkt auf Deutschland übertragbar</w:t>
      </w:r>
    </w:p>
    <w:p>
      <w:r>
        <w:rPr>
          <w:color w:val="5A7D3A"/>
          <w:sz w:val="18"/>
        </w:rPr>
        <w:t>https://pubmed.ncbi.nlm.nih.gov/42692950/</w:t>
      </w:r>
    </w:p>
    <w:p>
      <w:pPr>
        <w:pStyle w:val="Heading2"/>
      </w:pPr>
      <w:r>
        <w:t>Monitoring von Impfabbrüchen: Effekt auf Durchimpfungsquoten im ländlichen Südsudan</w:t>
      </w:r>
    </w:p>
    <w:p>
      <w:r>
        <w:rPr>
          <w:i/>
          <w:color w:val="666666"/>
          <w:sz w:val="18"/>
        </w:rPr>
        <w:t>Igga DOM et al.  ·  PLoS One  ·  03.09.2026  ·  PMID 42691046</w:t>
      </w:r>
    </w:p>
    <w:p>
      <w:r>
        <w:t>Prospektive Kohortenstudie über drei Monate in 14 Gesundheitseinrichtungen im Maridi County (Südsudan) zur Wirksamkeit von Monitoring-Mechanismen zur Reduzierung von Impfausfällen bei Säuglingen und Kleinkindern.</w:t>
      </w:r>
    </w:p>
    <w:p>
      <w:r>
        <w:rPr>
          <w:b/>
        </w:rPr>
        <w:t xml:space="preserve">Ergebnis: </w:t>
      </w:r>
      <w:r>
        <w:t>Einrichtungen mit aktualisierten Monitoring-Charts hatten signifikant niedrigere Ausfallquoten (Spearman r = -0,725, p = 0,003). Boma Health Worker (Community-Helfer zur Verfolgung ausstehender Impfungen) waren in 64 % der Einrichtungen präsent; 91,7 % der Einrichtungen mit niedrigen Ausfallquoten hatten Helfer, gegenüber 37,5 % mit hohen Ausfallquoten. Kombinierte Facility- und Community-basierte Monitoring-Mechanismen zeigten komplementären Effekt. Ausfallquoten über 10 % sanken über drei Monate um 9,6 Prozentpunkte.</w:t>
      </w:r>
    </w:p>
    <w:p>
      <w:r>
        <w:rPr>
          <w:b/>
          <w:sz w:val="19"/>
        </w:rPr>
        <w:t xml:space="preserve">Übertragbarkeit: </w:t>
      </w:r>
      <w:r>
        <w:rPr>
          <w:sz w:val="19"/>
        </w:rPr>
        <w:t>Südsudan; Monitoring-Muster auch für Deutschland relevant, aber Gesundheitssystem-Kontext verschieden</w:t>
      </w:r>
    </w:p>
    <w:p>
      <w:r>
        <w:rPr>
          <w:color w:val="5A7D3A"/>
          <w:sz w:val="18"/>
        </w:rPr>
        <w:t>https://pubmed.ncbi.nlm.nih.gov/42691046/</w:t>
      </w:r>
    </w:p>
    <w:p>
      <w:pPr>
        <w:pStyle w:val="Heading2"/>
      </w:pPr>
      <w:r>
        <w:t>Quoten bei Jugendlichen-Impfung USA 2025: HPV stagniert, Tdap und MenACWY leicht gesunken</w:t>
      </w:r>
    </w:p>
    <w:p>
      <w:r>
        <w:rPr>
          <w:i/>
          <w:color w:val="666666"/>
          <w:sz w:val="18"/>
        </w:rPr>
        <w:t>Pingali C et al.  ·  MMWR Morb Mortal Wkly Rep  ·  03.09.2026  ·  PMID 42691006</w:t>
      </w:r>
    </w:p>
    <w:p>
      <w:r>
        <w:t>Analyse der 2025 National Immunization Survey-Teen für 18.692 Adoleszente (13–17 Jahre) zur Erfassung von Trends bei Tetanus-Diptherie-Pertussis (Tdap), Meningokokken- und HPV-Impfquoten in den USA.</w:t>
      </w:r>
    </w:p>
    <w:p>
      <w:r>
        <w:rPr>
          <w:b/>
        </w:rPr>
        <w:t xml:space="preserve">Ergebnis: </w:t>
      </w:r>
      <w:r>
        <w:t>Tdap und MenACWY 2025 zu ca. 90 %, leicht gesunken gegenüber 2024. HPV-Impfquoten (≥1 Dosis und Serie-Vollständigkeit) stiegen zum vierten Jahr nicht an und blieben deutlich unter Tdap/MenACWY. HPV-Quote in ländlich geprägten Gebieten 12,0 Prozentpunkte niedriger als in städtischen Gegenden. Größte Variation zwischen Bundesländern bei HPV. Geografische und regionale Disparitäten persistent.</w:t>
      </w:r>
    </w:p>
    <w:p>
      <w:r>
        <w:rPr>
          <w:b/>
          <w:sz w:val="19"/>
        </w:rPr>
        <w:t xml:space="preserve">Übertragbarkeit: </w:t>
      </w:r>
      <w:r>
        <w:rPr>
          <w:sz w:val="19"/>
        </w:rPr>
        <w:t>USA; Quoten nicht direkt übertragbar, aber Disparitätsmuster ländlich/urban ähnlich Deutschland</w:t>
      </w:r>
    </w:p>
    <w:p>
      <w:r>
        <w:rPr>
          <w:color w:val="5A7D3A"/>
          <w:sz w:val="18"/>
        </w:rPr>
        <w:t>https://pubmed.ncbi.nlm.nih.gov/42691006/</w:t>
      </w:r>
    </w:p>
    <w:p>
      <w:pPr>
        <w:pStyle w:val="Heading2"/>
      </w:pPr>
      <w:r>
        <w:t>Impfassoziierte Belastung: Implementierung canadischer Leitlinien in Niederländisches Impfprogramm</w:t>
      </w:r>
    </w:p>
    <w:p>
      <w:r>
        <w:rPr>
          <w:i/>
          <w:color w:val="666666"/>
          <w:sz w:val="18"/>
        </w:rPr>
        <w:t>Huijten DCM et al.  ·  Clin J Pain  ·  01.08.2026  ·  PMID 42444177</w:t>
      </w:r>
    </w:p>
    <w:p>
      <w:r>
        <w:t>Erfahrungsbericht zur kulturellen Anpassung des CARD-Systems (Comfort-Ask-Relax-Distract) aus Kanada für das Niederländische Nationale Impfprogramm, um impfassoziierte Stress-Reaktionen (Schmerz, Nadelangst) zu reduzieren und Quote zu erhöhen.</w:t>
      </w:r>
    </w:p>
    <w:p>
      <w:r>
        <w:rPr>
          <w:b/>
        </w:rPr>
        <w:t xml:space="preserve">Ergebnis: </w:t>
      </w:r>
      <w:r>
        <w:t>Der CARD-Multikomponenten-Ansatz kombiniert Edukation mit mehreren Interventionen zur Stressreduktion (prozessual, physisch, pharmakologisch, psychologisch). Systematische Anpassung mittels EPIS-Rahmenwerk (Exploration-Preparation-Implementation-Sustainment) wurde durchgeführt. Das Konzept zeigt, dass Effektivität in einem Kontext (Kanada) nicht automatisch in anderem (Niederlande) funktioniert. Pilotstudie im niederländischen Kontext geplant.</w:t>
      </w:r>
    </w:p>
    <w:p>
      <w:r>
        <w:rPr>
          <w:b/>
          <w:sz w:val="19"/>
        </w:rPr>
        <w:t xml:space="preserve">Übertragbarkeit: </w:t>
      </w:r>
      <w:r>
        <w:rPr>
          <w:sz w:val="19"/>
        </w:rPr>
        <w:t>Niederlande, vergleichbares Impfprogramm; übertragbar auf Deutsche Impfkompetenz-Schulung</w:t>
      </w:r>
    </w:p>
    <w:p>
      <w:r>
        <w:rPr>
          <w:color w:val="5A7D3A"/>
          <w:sz w:val="18"/>
        </w:rPr>
        <w:t>https://pubmed.ncbi.nlm.nih.gov/42444177/</w:t>
      </w:r>
    </w:p>
    <w:p>
      <w:pPr>
        <w:pStyle w:val="Heading1"/>
      </w:pPr>
      <w:r>
        <w:t>Aufgenommen am 04.09.2026</w:t>
      </w:r>
    </w:p>
    <w:p>
      <w:pPr>
        <w:pStyle w:val="Heading2"/>
      </w:pPr>
      <w:r>
        <w:t>HPV-Impfbewusstsein in indigenen Gemeinschaften Kanadas niedrig</w:t>
      </w:r>
    </w:p>
    <w:p>
      <w:r>
        <w:rPr>
          <w:i/>
          <w:color w:val="666666"/>
          <w:sz w:val="18"/>
        </w:rPr>
        <w:t>Omidimorad A et al.  ·  PLoS One  ·  03.09.2026  ·  PMID 42691150</w:t>
      </w:r>
    </w:p>
    <w:p>
      <w:r>
        <w:t>Community-based participatory research in 11 indigenen Gemeinschaften der Northwest Territories (Kanada, n=221 Erwachsene ≥18 Jahre): Quantitative und qualitative Befragung zu HPV- und HPV-Impfbewusstsein; Multiple logistische Regression und thematische Analyse zu Nicht-Impfungs-Gründen.</w:t>
      </w:r>
    </w:p>
    <w:p>
      <w:r>
        <w:rPr>
          <w:b/>
        </w:rPr>
        <w:t xml:space="preserve">Ergebnis: </w:t>
      </w:r>
      <w:r>
        <w:t>Etwa 50% hatten von HPV gehört, &lt;1/3 von HPV-Impfstoff. Bildung signifikant assoziiert: Niedrigere Bildung → niedrigeres HPV-Bewusstsein (p&lt;0,001). Alter, Geschlecht, Bildung prädizieren Impfstoff-Bewusstsein (Frauen, höhere Bildung, jünger: höher). Nur 26,3% der Geimpften ≤26 Jahre. Qualitativ: Mangelndes Wissen und unzureichende Information sind Hauptbarrieren.</w:t>
      </w:r>
    </w:p>
    <w:p>
      <w:r>
        <w:rPr>
          <w:b/>
          <w:sz w:val="19"/>
        </w:rPr>
        <w:t xml:space="preserve">Übertragbarkeit: </w:t>
      </w:r>
      <w:r>
        <w:rPr>
          <w:sz w:val="19"/>
        </w:rPr>
        <w:t>Kanada, indigene Populations-spezifik; Lessons für deutsche Gesundheitsungleichheit relevant.</w:t>
      </w:r>
    </w:p>
    <w:p>
      <w:r>
        <w:rPr>
          <w:color w:val="5A7D3A"/>
          <w:sz w:val="18"/>
        </w:rPr>
        <w:t>https://pubmed.ncbi.nlm.nih.gov/42691150/</w:t>
      </w:r>
    </w:p>
    <w:p>
      <w:pPr>
        <w:pStyle w:val="Heading2"/>
      </w:pPr>
      <w:r>
        <w:t>Peer-Education durch Medizinstudierende steigert HPV-Impfwissen bei japanischen Jugendlichen</w:t>
      </w:r>
    </w:p>
    <w:p>
      <w:r>
        <w:rPr>
          <w:i/>
          <w:color w:val="666666"/>
          <w:sz w:val="18"/>
        </w:rPr>
        <w:t>Nakajima K et al.  ·  Hum Vaccin Immunother  ·  02.09.2026  ·  PMID 42687414</w:t>
      </w:r>
    </w:p>
    <w:p>
      <w:r>
        <w:t>Explorative Interventionsstudie (Feb 2022–März 2024): Medizinstudierende gaben 1-Stunden-Schulungen zu HPV-Transmission, Gebärmutterhalskrebs-Prävention und Impfwirksamkeit in japanischen Schulen; Folgeerhebung 1–2 Wochen später zu Wissen, Haltung und Impfverhalten.</w:t>
      </w:r>
    </w:p>
    <w:p>
      <w:r>
        <w:rPr>
          <w:b/>
        </w:rPr>
        <w:t xml:space="preserve">Ergebnis: </w:t>
      </w:r>
      <w:r>
        <w:t>864 Schüler teilgenommen, 332 gefolgt. Von 248 Ungeimpften vor Session: 10 Mädchen (7,5%) und 1 Junge (0,9%) erhielten HPV-Impfung innerhalb von 2 Wochen. Schüler mit positiver Impfabsicht zeigten höhere Verständnis-Scores. Geimpfte identifizierten HPV-verhinderbare Krebsarten häufiger korrekt.</w:t>
      </w:r>
    </w:p>
    <w:p>
      <w:r>
        <w:rPr>
          <w:b/>
          <w:sz w:val="19"/>
        </w:rPr>
        <w:t xml:space="preserve">Übertragbarkeit: </w:t>
      </w:r>
      <w:r>
        <w:rPr>
          <w:sz w:val="19"/>
        </w:rPr>
        <w:t>Japan-Daten; Near-Peer-Modell könnte für deutsches Schulimpf-Setting adaptierbar sein.</w:t>
      </w:r>
    </w:p>
    <w:p>
      <w:r>
        <w:rPr>
          <w:color w:val="5A7D3A"/>
          <w:sz w:val="18"/>
        </w:rPr>
        <w:t>https://pubmed.ncbi.nlm.nih.gov/42687414/</w:t>
      </w:r>
    </w:p>
    <w:p>
      <w:pPr>
        <w:pStyle w:val="Heading2"/>
      </w:pPr>
      <w:r>
        <w:t>HPV-Impfbereitschaft bei Eltern in ethnischen Autonomie-Bezirken Chinas</w:t>
      </w:r>
    </w:p>
    <w:p>
      <w:r>
        <w:rPr>
          <w:i/>
          <w:color w:val="666666"/>
          <w:sz w:val="18"/>
        </w:rPr>
        <w:t>Li X et al.  ·  Hum Vaccin Immunother  ·  01.09.2026  ·  PMID 42678389</w:t>
      </w:r>
    </w:p>
    <w:p>
      <w:r>
        <w:t>Querschnittsbefragung in Qinghai-Provinz (Dezember 2024–Februar 2025): Erziehungsberechtigte von Schulkindern zu HPV-Impfbereitschaft; Theorien: Health Belief Model und Theory of Planned Behavior (TPB); Hierarchische Regressionsmodelle.</w:t>
      </w:r>
    </w:p>
    <w:p>
      <w:r>
        <w:rPr>
          <w:b/>
        </w:rPr>
        <w:t xml:space="preserve">Ergebnis: </w:t>
      </w:r>
      <w:r>
        <w:t>Hui-Ethnie vs. Han-Ethnie: niedrigere Impfbereitschaft (B=−0,229, p=0,003). Positive Assoziationen mit: Aktionsimpulsen (β=0,121), wahrgenommenen Barrieren (β=0,128), Einstellungen (β=0,203), wahrgenommenem Verhaltenskontrolle (β=0,107), Subjektiven Normen (β=0,323). Bildung und mittleres Einkommen prädizierten höhere Bereitschaft.</w:t>
      </w:r>
    </w:p>
    <w:p>
      <w:r>
        <w:rPr>
          <w:b/>
          <w:sz w:val="19"/>
        </w:rPr>
        <w:t xml:space="preserve">Übertragbarkeit: </w:t>
      </w:r>
      <w:r>
        <w:rPr>
          <w:sz w:val="19"/>
        </w:rPr>
        <w:t>China, kollektive Health-Literacy-Strukturen; Barrieren für deutsche Migrantengruppen vergleichbar.</w:t>
      </w:r>
    </w:p>
    <w:p>
      <w:r>
        <w:rPr>
          <w:color w:val="5A7D3A"/>
          <w:sz w:val="18"/>
        </w:rPr>
        <w:t>https://pubmed.ncbi.nlm.nih.gov/42678389/</w:t>
      </w:r>
    </w:p>
    <w:p>
      <w:pPr>
        <w:pStyle w:val="Heading2"/>
      </w:pPr>
      <w:r>
        <w:t>Geospatial mapping reveals Zero-Dose concentrations in low- und lower-middle-income countries</w:t>
      </w:r>
    </w:p>
    <w:p>
      <w:r>
        <w:rPr>
          <w:i/>
          <w:color w:val="666666"/>
          <w:sz w:val="18"/>
        </w:rPr>
        <w:t>Njogu AM et al.  ·  Vaccine  ·  30.08.2026  ·  PMID 42442083</w:t>
      </w:r>
    </w:p>
    <w:p>
      <w:r>
        <w:t>Scoping Review zu räumlichen Modellierungsmethoden für Impfquoten in Ländern mit niedrigem Einkommen: 102 Artikel analysiert, hauptsächlich zu Routineimpfungen; nur 19,6% zu Zero-Dose-Prävalenz.</w:t>
      </w:r>
    </w:p>
    <w:p>
      <w:r>
        <w:rPr>
          <w:b/>
        </w:rPr>
        <w:t xml:space="preserve">Ergebnis: </w:t>
      </w:r>
      <w:r>
        <w:t>70% der Studien stammen aus 2021-2024. Die meisten nutzen Befragungsdaten statt Routinedaten. Größte Defizite: uneinheitliche Zero-Dose-Definitionen, begrenzte Routinedaten-Nutzung, Unterrepräsentation marginalisierter Gruppen. Geospatiale Kartierung expandiert, aber explorativ statt präzise genug zum gezielten Targeting.</w:t>
      </w:r>
    </w:p>
    <w:p>
      <w:r>
        <w:rPr>
          <w:b/>
          <w:sz w:val="19"/>
        </w:rPr>
        <w:t xml:space="preserve">Übertragbarkeit: </w:t>
      </w:r>
      <w:r>
        <w:rPr>
          <w:sz w:val="19"/>
        </w:rPr>
        <w:t>Entwicklungsländer-Fokus; Erkenntnisse für deutsche Registerentwicklung nicht direkt übertragbar.</w:t>
      </w:r>
    </w:p>
    <w:p>
      <w:r>
        <w:rPr>
          <w:color w:val="5A7D3A"/>
          <w:sz w:val="18"/>
        </w:rPr>
        <w:t>https://pubmed.ncbi.nlm.nih.gov/42442083/</w:t>
      </w:r>
    </w:p>
    <w:p>
      <w:pPr>
        <w:pStyle w:val="Heading2"/>
      </w:pPr>
      <w:r>
        <w:t>Antikörperpersistenz nach Kinderimpfungen mit maternaler Tdap-Exposition</w:t>
      </w:r>
    </w:p>
    <w:p>
      <w:r>
        <w:rPr>
          <w:i/>
          <w:color w:val="666666"/>
          <w:sz w:val="18"/>
        </w:rPr>
        <w:t>De Weerdt L et al.  ·  Vaccine  ·  13.08.2026  ·  PMID 42430876</w:t>
      </w:r>
    </w:p>
    <w:p>
      <w:r>
        <w:t>Längsschnittstudie an belgischen Kindern (Term und Frühgeborene) zu Antikörperpersistenz nach sechsvalenter DTaP-IPV-HB-PRP-Impfung und Antwort auf Auffrischung im Schulalter; Maternale Tdap-Impfung während Schwangerschaft als Exposition.</w:t>
      </w:r>
    </w:p>
    <w:p>
      <w:r>
        <w:rPr>
          <w:b/>
        </w:rPr>
        <w:t xml:space="preserve">Ergebnis: </w:t>
      </w:r>
      <w:r>
        <w:t>128 Kinder bei 3 Jahren, 106 bei 5 Jahren, 94 mit Schulauffrischung. Antikörperspiegel sanken zwischen Jahr 3 und 5, Schutzraten blieben hoch (außer Anti-HB: sinkend). Nach Auffrischung: 100% Seroschutz für Diphtherie/Tetanus/Polio Typ 1, ≥96% für Polio Typ 2+3, ≥93% Pertussis-Serokonversion. Maternale Tdap-Strategie wird gestützt.</w:t>
      </w:r>
    </w:p>
    <w:p>
      <w:r>
        <w:rPr>
          <w:b/>
          <w:sz w:val="19"/>
        </w:rPr>
        <w:t xml:space="preserve">Übertragbarkeit: </w:t>
      </w:r>
      <w:r>
        <w:rPr>
          <w:sz w:val="19"/>
        </w:rPr>
        <w:t>Belgien, vergleichbares Versicherungssystem; Impfkalender-Struktur ähnlich.</w:t>
      </w:r>
    </w:p>
    <w:p>
      <w:r>
        <w:rPr>
          <w:color w:val="5A7D3A"/>
          <w:sz w:val="18"/>
        </w:rPr>
        <w:t>https://pubmed.ncbi.nlm.nih.gov/42430876/</w:t>
      </w:r>
    </w:p>
    <w:p>
      <w:pPr>
        <w:pStyle w:val="Heading2"/>
      </w:pPr>
      <w:r>
        <w:t>COVID-19-Impfakzeptanz variiert nach Herkunftsregion in Schweden</w:t>
      </w:r>
    </w:p>
    <w:p>
      <w:r>
        <w:rPr>
          <w:i/>
          <w:color w:val="666666"/>
          <w:sz w:val="18"/>
        </w:rPr>
        <w:t>Hassan M et al.  ·  Front Public Health  ·  24.06.2026  ·  PMID 42422674</w:t>
      </w:r>
    </w:p>
    <w:p>
      <w:r>
        <w:t>Querschnittsbefragung in Schweden (n=3.281) zur COVID-19-Impfbereitschaft stratifiziert nach Geburtsregion: Schweden, Westländer, Nicht-Westländer. Sechs Domänen (Vertrauensdomänen, Normen, Erreichbarkeit) gemessen.</w:t>
      </w:r>
    </w:p>
    <w:p>
      <w:r>
        <w:rPr>
          <w:b/>
        </w:rPr>
        <w:t xml:space="preserve">Ergebnis: </w:t>
      </w:r>
      <w:r>
        <w:t>Geimpfte aus Schweden und Westländern hatten 9,5 bzw. 8,9 Punkte höhere Akzeptanzscores als Ungeimpfte; bei Nicht-Westländern nur 2,8 Punkte Unterschied. Bei Schweden/Westländern: ‚Deskriptive Normen' und ‚Vertrauen in Impfstoffe' stärkste Prädiktoren (OR 2,5–3,6). Bei Nicht-Westländern nur ‚Vertrauen' und ‚Nutzen-Risiko' relevant (OR 1,6–1,7).</w:t>
      </w:r>
    </w:p>
    <w:p>
      <w:r>
        <w:rPr>
          <w:b/>
          <w:sz w:val="19"/>
        </w:rPr>
        <w:t xml:space="preserve">Übertragbarkeit: </w:t>
      </w:r>
      <w:r>
        <w:rPr>
          <w:sz w:val="19"/>
        </w:rPr>
        <w:t>Skandinavien, Public-Health-System ähnlich; zeigt Defizit bei Migranten-Outreach.</w:t>
      </w:r>
    </w:p>
    <w:p>
      <w:r>
        <w:rPr>
          <w:color w:val="5A7D3A"/>
          <w:sz w:val="18"/>
        </w:rPr>
        <w:t>https://pubmed.ncbi.nlm.nih.gov/42422674/</w:t>
      </w:r>
    </w:p>
    <w:p>
      <w:pPr>
        <w:pStyle w:val="Heading1"/>
      </w:pPr>
      <w:r>
        <w:t>Aufgenommen am 03.09.2026</w:t>
      </w:r>
    </w:p>
    <w:p>
      <w:pPr>
        <w:pStyle w:val="Heading2"/>
      </w:pPr>
      <w:r>
        <w:t>Grippeimpf-Bewusstsein und -Quote bei Frauen im gebärfähigen Alter in Shanghai</w:t>
      </w:r>
    </w:p>
    <w:p>
      <w:r>
        <w:rPr>
          <w:i/>
          <w:color w:val="666666"/>
          <w:sz w:val="18"/>
        </w:rPr>
        <w:t>Liu P et al.  ·  Hum Vaccin Immunother  ·  16.07.2026  ·  PMID 42684141</w:t>
      </w:r>
    </w:p>
    <w:p>
      <w:r>
        <w:t>Bevölkerungsbasierte Querschnittsstudie zur Impfbereitschaft gegen Influenza bei Frauen im Alter von 15–49 Jahren in Shanghai (Pudong), einschließlich Schwangerenszenarien.</w:t>
      </w:r>
    </w:p>
    <w:p>
      <w:r>
        <w:rPr>
          <w:b/>
        </w:rPr>
        <w:t xml:space="preserve">Ergebnis: </w:t>
      </w:r>
      <w:r>
        <w:t>Wissenswert: 60,61 % zu Influenza, 56,46 % zu Grippeimpfstoff. Gesundheitsberufe hatten höchste Kompetenz. Bei hypothetischer Schwangerschaft: Injektionspräferenz fiel von 41,25 % auf 13,31 %, Nasenspray stieg von 10,60 % auf 23,17 %, Ablehnung von 10,19 % auf 35,58 %. Schwangere bevorzugten Nasenspray (41,67 %). 87,63 % würden Empfehlungen von Frauenärzten folgen.</w:t>
      </w:r>
    </w:p>
    <w:p>
      <w:r>
        <w:rPr>
          <w:b/>
          <w:sz w:val="19"/>
        </w:rPr>
        <w:t xml:space="preserve">Übertragbarkeit: </w:t>
      </w:r>
      <w:r>
        <w:rPr>
          <w:sz w:val="19"/>
        </w:rPr>
        <w:t>China, aber zeigt Muster zur Impfentscheidung in Schwangerschaft anwendbar auf deutsche Kommunikation</w:t>
      </w:r>
    </w:p>
    <w:p>
      <w:r>
        <w:rPr>
          <w:color w:val="5A7D3A"/>
          <w:sz w:val="18"/>
        </w:rPr>
        <w:t>https://pubmed.ncbi.nlm.nih.gov/42684141/</w:t>
      </w:r>
    </w:p>
    <w:p>
      <w:pPr>
        <w:pStyle w:val="Heading2"/>
      </w:pPr>
      <w:r>
        <w:t>Influenza-Impfquoten bei Ärztinnen und Pflegekräften: Deutschland und China im Vergleich</w:t>
      </w:r>
    </w:p>
    <w:p>
      <w:r>
        <w:rPr>
          <w:i/>
          <w:color w:val="666666"/>
          <w:sz w:val="18"/>
        </w:rPr>
        <w:t>Sanftenberg L et al.  ·  BMC Public Health  ·  01.09.2026  ·  PMID 42681616</w:t>
      </w:r>
    </w:p>
    <w:p>
      <w:r>
        <w:t>Vergleichende Querschnittsstudie zu psychologischen und strukturellen Barrieren für die Grippeimpfung bei Gesundheitspersonal in Deutschland (8.351 Arbeitskräfte, 72 Krankenhäuser) und China (689 Arbeitskräfte, 9 Krankenhäuser) 2024–2025.</w:t>
      </w:r>
    </w:p>
    <w:p>
      <w:r>
        <w:rPr>
          <w:b/>
        </w:rPr>
        <w:t xml:space="preserve">Ergebnis: </w:t>
      </w:r>
      <w:r>
        <w:t>Deutsche Ärzte: 80,9 % geimpft, deutsche Pflegekräfte 48,7 %; chinesische Ärzte: 28,8 %, chinesische Pflegekräfte 32,2 %. Vertrauen und Eigenverantwortung waren wichtige Treiber in beiden Ländern. Deutsche Profis nannten individuelle Gründe für Ablehnung, chinesische hingegen Hürden in der Einrichtung (Zeitmangel). Effektive Interventionen: kostenlose Impfung, Bildung, organisatorische Maßnahmen.</w:t>
      </w:r>
    </w:p>
    <w:p>
      <w:r>
        <w:rPr>
          <w:b/>
          <w:sz w:val="19"/>
        </w:rPr>
        <w:t xml:space="preserve">Übertragbarkeit: </w:t>
      </w:r>
      <w:r>
        <w:rPr>
          <w:sz w:val="19"/>
        </w:rPr>
        <w:t>Deutsche Klinikdaten, vergleichbares Versicherungssystem und Gesundheitsberuferegeln</w:t>
      </w:r>
    </w:p>
    <w:p>
      <w:r>
        <w:rPr>
          <w:color w:val="5A7D3A"/>
          <w:sz w:val="18"/>
        </w:rPr>
        <w:t>https://pubmed.ncbi.nlm.nih.gov/42681616/</w:t>
      </w:r>
    </w:p>
    <w:p>
      <w:pPr>
        <w:pStyle w:val="Heading2"/>
      </w:pPr>
      <w:r>
        <w:t>COVID-19-Impfung bei fortgeschrittenem Lungenkarzinom und Immuntherapie: Real-World-Daten aus Rumänien</w:t>
      </w:r>
    </w:p>
    <w:p>
      <w:r>
        <w:rPr>
          <w:i/>
          <w:color w:val="666666"/>
          <w:sz w:val="18"/>
        </w:rPr>
        <w:t>Gheorghiță V et al.  ·  Medicina (Kaunas)  ·  18.08.2026  ·  PMID 42654486</w:t>
      </w:r>
    </w:p>
    <w:p>
      <w:r>
        <w:t>Retrospektive Kohortenstudie an 139 Patienten mit Stadium-IV-Nicht-Kleinzellkarzinom, die Immun-Checkpoint-Inhibitoren erhielten, stratifiziert nach COVID-19-Impfstatus (0–1 vs. ≥2 Dosen).</w:t>
      </w:r>
    </w:p>
    <w:p>
      <w:r>
        <w:rPr>
          <w:b/>
        </w:rPr>
        <w:t xml:space="preserve">Ergebnis: </w:t>
      </w:r>
      <w:r>
        <w:t>Geimpfte Patienten: längeres progressionsfreies Überleben (13,0 vs. 11,0 Monate) und Gesamtüberleben (29,0 vs. 24,0 Monate; beide p&lt;0,001). Nach Multivariablenkalibrierung abgeschwächt, aber Grenzwertbereich (OS HR=0,83; PFS HR=0,79). ≥2 Dosen assoziiert mit besseren Ergebnissen (PFS 14,0 vs. 12,0 Monate, OS 30,0 vs. 24,0 Monate). Höhere Odds für Grad-1/2-Toxizität mit ≥2 Dosen (OR=2,47, p=0,037), aber keine Grade-4/5-Ereignisse.</w:t>
      </w:r>
    </w:p>
    <w:p>
      <w:r>
        <w:rPr>
          <w:b/>
          <w:sz w:val="19"/>
        </w:rPr>
        <w:t xml:space="preserve">Übertragbarkeit: </w:t>
      </w:r>
      <w:r>
        <w:rPr>
          <w:sz w:val="19"/>
        </w:rPr>
        <w:t>Rumänien, aber Sicherheit in vulnerabler Patientengruppe mit Immuntherapie untersucht</w:t>
      </w:r>
    </w:p>
    <w:p>
      <w:r>
        <w:rPr>
          <w:color w:val="5A7D3A"/>
          <w:sz w:val="18"/>
        </w:rPr>
        <w:t>https://pubmed.ncbi.nlm.nih.gov/42654486/</w:t>
      </w:r>
    </w:p>
    <w:p>
      <w:pPr>
        <w:pStyle w:val="Heading2"/>
      </w:pPr>
      <w:r>
        <w:t>Jennerian-Vakzination in Europa (1799–1810): Transnational verbreitete Arznei und Wissen</w:t>
      </w:r>
    </w:p>
    <w:p>
      <w:r>
        <w:rPr>
          <w:i/>
          <w:color w:val="666666"/>
          <w:sz w:val="18"/>
        </w:rPr>
        <w:t>Tuells J  ·  Vaccine  ·  17.09.2026  ·  PMID 42600246</w:t>
      </w:r>
    </w:p>
    <w:p>
      <w:r>
        <w:t>Historische Studie zur frühen Verbreitung der Kuhpockenvakzination in Europa durch ein Netzwerk von Ärzten, anhand von Korrespondenz und Materialflüssen zwischen London, Wien und Genf.</w:t>
      </w:r>
    </w:p>
    <w:p>
      <w:r>
        <w:rPr>
          <w:b/>
        </w:rPr>
        <w:t xml:space="preserve">Ergebnis: </w:t>
      </w:r>
      <w:r>
        <w:t>Jean de Carro, ein Genfer Arzt in Wien, fungierte als Vermittler für die Verbreitung von Vakzinationswissen und Impfstoff-Lymphe. Das Netzwerk ermöglichte die rasche Ausbreitung von 1799 bis 1810 in Richtung Ottomanisches Reich und Indien. Vakzination verbreitete sich nicht allein durch staatliche Kampagnen, sondern durch transnationale ärztliche Netzwerke.</w:t>
      </w:r>
    </w:p>
    <w:p>
      <w:r>
        <w:rPr>
          <w:b/>
          <w:sz w:val="19"/>
        </w:rPr>
        <w:t xml:space="preserve">Übertragbarkeit: </w:t>
      </w:r>
      <w:r>
        <w:rPr>
          <w:sz w:val="19"/>
        </w:rPr>
        <w:t>Historische Perspektive auf Vakzinationsverbreitung durch Netzwerke und persönliche Verbindungen</w:t>
      </w:r>
    </w:p>
    <w:p>
      <w:r>
        <w:rPr>
          <w:color w:val="5A7D3A"/>
          <w:sz w:val="18"/>
        </w:rPr>
        <w:t>https://pubmed.ncbi.nlm.nih.gov/42600246/</w:t>
      </w:r>
    </w:p>
    <w:p>
      <w:pPr>
        <w:pStyle w:val="Heading2"/>
      </w:pPr>
      <w:r>
        <w:t>Mütterliche Sechsfach-Streptococcus-B-Impfung: Phase-1/2-Studie bei nicht-schwangeren und schwangeren Frauen</w:t>
      </w:r>
    </w:p>
    <w:p>
      <w:r>
        <w:rPr>
          <w:i/>
          <w:color w:val="666666"/>
          <w:sz w:val="18"/>
        </w:rPr>
        <w:t>Madhi SA et al.  ·  Nat Med  ·  28.07.2026  ·  PMID 42521820</w:t>
      </w:r>
    </w:p>
    <w:p>
      <w:r>
        <w:t>Randomisierte Phase-1/2-Studie zur Sicherheit, Verträglichkeit und Immunogenität einer hexavalenten Polysaccharid-Protein-Konjugat-GBS-Vakzine (GBS6) in nicht-schwangeren Frauen und schwangeren Frauen sowie deren Neugeborenen.</w:t>
      </w:r>
    </w:p>
    <w:p>
      <w:r>
        <w:rPr>
          <w:b/>
        </w:rPr>
        <w:t xml:space="preserve">Ergebnis: </w:t>
      </w:r>
      <w:r>
        <w:t>Stadium 1 (n=66 nicht-schwanger): GBS6, GBS6+AlPO4 oder Placebo. Subgruppe erhielt Booster ~2 Jahre später. Stadium 3 (n=216 schwanger, 209 Neugeborene): GBS6 oder Placebo (Woche 24–36 Schwangerschaft). Fast alle Reaktogenizität-Ereignisse mild oder moderat. SAE/MAE ähnlich zwischen GBS6 und Placebo bei Müttern und Neugeborenen. GBS6 induzierte robuste Immunantworten; serotyp-spezifische Antikörper in Neugeborenen, deren Mütter GBS6 erhielten. Zwei neonatale Sepsis-Todesfälle (je einer in GBS6 und Placebo), keiner als vakzine-bedingt bewertet.</w:t>
      </w:r>
    </w:p>
    <w:p>
      <w:r>
        <w:rPr>
          <w:b/>
          <w:sz w:val="19"/>
        </w:rPr>
        <w:t xml:space="preserve">Übertragbarkeit: </w:t>
      </w:r>
      <w:r>
        <w:rPr>
          <w:sz w:val="19"/>
        </w:rPr>
        <w:t>Südafrika, USA, UK – erste klinische Daten zu maternaler GBS-Vakzination für neonatalen Schutz</w:t>
      </w:r>
    </w:p>
    <w:p>
      <w:r>
        <w:rPr>
          <w:color w:val="5A7D3A"/>
          <w:sz w:val="18"/>
        </w:rPr>
        <w:t>https://pubmed.ncbi.nlm.nih.gov/42521820/</w:t>
      </w:r>
    </w:p>
    <w:p>
      <w:pPr>
        <w:pStyle w:val="Heading2"/>
      </w:pPr>
      <w:r>
        <w:t>Hochdosis-Grippeimpfstoff in Spanien: Einführung, Anwendung und Evidenz</w:t>
      </w:r>
    </w:p>
    <w:p>
      <w:r>
        <w:rPr>
          <w:i/>
          <w:color w:val="666666"/>
          <w:sz w:val="18"/>
        </w:rPr>
        <w:t>Sanz-Muñoz I et al.  ·  Front Immunol  ·  30.06.2026  ·  PMID 42454050</w:t>
      </w:r>
    </w:p>
    <w:p>
      <w:r>
        <w:t>Narrative Synthese der klinischen Evidenz und Analyse von Vakzinierungsstrategien in spanischen autonomen Gemeinschaften seit Einführung von Hochdosis-Grippeimpfstoffen während der COVID-19-Pandemie.</w:t>
      </w:r>
    </w:p>
    <w:p>
      <w:r>
        <w:rPr>
          <w:b/>
        </w:rPr>
        <w:t xml:space="preserve">Ergebnis: </w:t>
      </w:r>
      <w:r>
        <w:t>Hochdosis-Grippeimpfstoffe zeigen überlegene Effektivität gegen schwere Influenza, Lungenentzündung und Mortalität bei Erwachsenen ≥60 Jahren in randomisierten Studien und Real-World-Daten. Heterogene regionale Aufnahme: manche Regionen priorisierten Institutionalisierte, andere erweiterten auf Community-Bewohner ≥60 Jahre. Trend zu breiter Adoption und Senkung des Altersgrenzwerts.</w:t>
      </w:r>
    </w:p>
    <w:p>
      <w:r>
        <w:rPr>
          <w:b/>
          <w:sz w:val="19"/>
        </w:rPr>
        <w:t xml:space="preserve">Übertragbarkeit: </w:t>
      </w:r>
      <w:r>
        <w:rPr>
          <w:sz w:val="19"/>
        </w:rPr>
        <w:t>Spanien, vergleichbare Gesundheitssysteme in Europa und Altersstruktur-Problematik</w:t>
      </w:r>
    </w:p>
    <w:p>
      <w:r>
        <w:rPr>
          <w:color w:val="5A7D3A"/>
          <w:sz w:val="18"/>
        </w:rPr>
        <w:t>https://pubmed.ncbi.nlm.nih.gov/42454050/</w:t>
      </w:r>
    </w:p>
    <w:p>
      <w:pPr>
        <w:pStyle w:val="Heading1"/>
      </w:pPr>
      <w:r>
        <w:t>Aufgenommen am 02.09.2026</w:t>
      </w:r>
    </w:p>
    <w:p>
      <w:pPr>
        <w:pStyle w:val="Heading2"/>
      </w:pPr>
      <w:r>
        <w:t>Grippeimpfstoff-Wirksamkeit gegen mild und schwer verlaufende Infektionen in Portugal</w:t>
      </w:r>
    </w:p>
    <w:p>
      <w:r>
        <w:rPr>
          <w:i/>
          <w:color w:val="666666"/>
          <w:sz w:val="18"/>
        </w:rPr>
        <w:t>Mourao F et al.  ·  Influenza Other Respir Viruses  ·  Sept. 2026  ·  PMID 42675936</w:t>
      </w:r>
    </w:p>
    <w:p>
      <w:r>
        <w:t>Testvergleichsstudie an 3.393 PCR-getesteten Patienten in Portugal (2015/16–2023/24) zur Grippeimpfstoff-Effektivität (IVE) gegen leichte und schwere Erkrankung.</w:t>
      </w:r>
    </w:p>
    <w:p>
      <w:r>
        <w:rPr>
          <w:b/>
        </w:rPr>
        <w:t xml:space="preserve">Ergebnis: </w:t>
      </w:r>
      <w:r>
        <w:t>IVE betrug 40,4 % (KI 22,7–54,0) bei ambulanten Patienten und 38,7 % (KI 17,6–54,5) bei hospitalisierten Fällen; Unterschied von 1,7 % war statistisch nicht signifikant (KI −22,0; 26,8). Keine relevanten Unterschiede in Subgruppen (≥65 Jahre, Komorbiditäten, Influenza-A-Subtypen). Impfstoff schützt über Versorgungssettings hinweg ähnlich gut.</w:t>
      </w:r>
    </w:p>
    <w:p>
      <w:r>
        <w:rPr>
          <w:b/>
          <w:sz w:val="19"/>
        </w:rPr>
        <w:t xml:space="preserve">Übertragbarkeit: </w:t>
      </w:r>
      <w:r>
        <w:rPr>
          <w:sz w:val="19"/>
        </w:rPr>
        <w:t>Portugal, EU-Nachbarland, Gesundheitssystem vergleichbar mit Deutschland</w:t>
      </w:r>
    </w:p>
    <w:p>
      <w:r>
        <w:rPr>
          <w:color w:val="5A7D3A"/>
          <w:sz w:val="18"/>
        </w:rPr>
        <w:t>https://pubmed.ncbi.nlm.nih.gov/42675936/</w:t>
      </w:r>
    </w:p>
    <w:p>
      <w:pPr>
        <w:pStyle w:val="Heading2"/>
      </w:pPr>
      <w:r>
        <w:t>HPV-Impfprogramme weltweit: Schulgebundenes Impfen erzielte höchste Quoten</w:t>
      </w:r>
    </w:p>
    <w:p>
      <w:r>
        <w:rPr>
          <w:i/>
          <w:color w:val="666666"/>
          <w:sz w:val="18"/>
        </w:rPr>
        <w:t>Kyei GK et al.  ·  J Nurs Scholarsh  ·  Sept. 2026  ·  PMID 42670010</w:t>
      </w:r>
    </w:p>
    <w:p>
      <w:r>
        <w:t>Qualitative Vergleichsanalyse von HPV-Impfrichtlinien in acht Ländern (Australien, Brasilien, Japan, Nigeria, Ruanda, Schweden, Großbritannien, USA) zur Identifikation von Einflussfaktoren auf Impfquoten.</w:t>
      </w:r>
    </w:p>
    <w:p>
      <w:r>
        <w:rPr>
          <w:b/>
        </w:rPr>
        <w:t xml:space="preserve">Ergebnis: </w:t>
      </w:r>
      <w:r>
        <w:t>Fünf Programmarchetypen identifiziert. Schulgebundene universelle Programme mit Pflegekräfte-Unterstützung erzielten höchste und gerechteste Abdeckung. Ruanda erreichte trotz Mädchen-fokussiertem, Donor-finanziertem Modell 98 % (Governance und Vertrauen überwogen Programmdesign). Transition zu Ein-Dosis-Impfung erfordert landesspezifische Anpassung.</w:t>
      </w:r>
    </w:p>
    <w:p>
      <w:r>
        <w:rPr>
          <w:b/>
          <w:sz w:val="19"/>
        </w:rPr>
        <w:t xml:space="preserve">Übertragbarkeit: </w:t>
      </w:r>
      <w:r>
        <w:rPr>
          <w:sz w:val="19"/>
        </w:rPr>
        <w:t>Programm-Vergleich, Strukturmerkmale übertragbar, insbesondere schulbasierte Systeme</w:t>
      </w:r>
    </w:p>
    <w:p>
      <w:r>
        <w:rPr>
          <w:color w:val="5A7D3A"/>
          <w:sz w:val="18"/>
        </w:rPr>
        <w:t>https://pubmed.ncbi.nlm.nih.gov/42670010/</w:t>
      </w:r>
    </w:p>
    <w:p>
      <w:pPr>
        <w:pStyle w:val="Heading2"/>
      </w:pPr>
      <w:r>
        <w:t>ChAdOx1 nCoV-19: Langzeitsicherheit bei 4.470 Probanden über 11,77 Monate</w:t>
      </w:r>
    </w:p>
    <w:p>
      <w:r>
        <w:rPr>
          <w:i/>
          <w:color w:val="666666"/>
          <w:sz w:val="18"/>
        </w:rPr>
        <w:t>Ebrahimi N et al.  ·  Vaccine  ·  13.08.2026  ·  PMID 42472497</w:t>
      </w:r>
    </w:p>
    <w:p>
      <w:r>
        <w:t>Prospektive Kohortenstudie von Probanden aus ChAdOx1-nCoV-19-Originalstudien mit follow-up September 2021–April 2022, Erfassung schwerwiegender unerwünschter Ereignisse (SAE) und Ereignisse von besonderem Interesse (AESI) nach Brighton-Collaboration-Definitionen.</w:t>
      </w:r>
    </w:p>
    <w:p>
      <w:r>
        <w:rPr>
          <w:b/>
        </w:rPr>
        <w:t xml:space="preserve">Ergebnis: </w:t>
      </w:r>
      <w:r>
        <w:t>4.470 Teilnehmer, 3.845 (86,0 %) Studienabschluss. Mediane Nachbeobachtung 11,77 Monate, 48.116 Personenmonate Gesamtnachbeobachtung. 174 SAE und 71 AESI (33 als beide registriert) bei 195 Teilnehmern, darunter 5 Todesfälle. Gesamtimmunglobulin-IgG gegen trimeres SARS-CoV-2-Spike-Protein zeigte Anstiegstendenz während Studie. Keine emergenten Sicherheitssignale; kontinuierliche Pharmakovigilanz bleibt essentiell, besonders für neurologische Störungen.</w:t>
      </w:r>
    </w:p>
    <w:p>
      <w:r>
        <w:rPr>
          <w:b/>
          <w:sz w:val="19"/>
        </w:rPr>
        <w:t xml:space="preserve">Übertragbarkeit: </w:t>
      </w:r>
      <w:r>
        <w:rPr>
          <w:sz w:val="19"/>
        </w:rPr>
        <w:t>Großbritannien, Oxford-Studie, NHS-basierte Kohortenverfolgung, vergleichbar mit deutschen Versorgungsdaten</w:t>
      </w:r>
    </w:p>
    <w:p>
      <w:r>
        <w:rPr>
          <w:color w:val="5A7D3A"/>
          <w:sz w:val="18"/>
        </w:rPr>
        <w:t>https://pubmed.ncbi.nlm.nih.gov/42472497/</w:t>
      </w:r>
    </w:p>
    <w:p>
      <w:pPr>
        <w:pStyle w:val="Heading2"/>
      </w:pPr>
      <w:r>
        <w:t>Hochdosis-Grippeimpfung für Senioren in Skandinavien: Kostenwirksamkeit und Nutzen</w:t>
      </w:r>
    </w:p>
    <w:p>
      <w:r>
        <w:rPr>
          <w:i/>
          <w:color w:val="666666"/>
          <w:sz w:val="18"/>
        </w:rPr>
        <w:t>Grootendorst A et al.  ·  Vaccine  ·  13.08.2026  ·  PMID 42468224</w:t>
      </w:r>
    </w:p>
    <w:p>
      <w:r>
        <w:t>Modellrechnung (Entscheidungsbaum-Influenza-Modell) für vier nordische Länder zum Vergleich nationaler Impfpolitik mit ausgeweitertem Hochdosis-Grippeimpfstoff-Programm für Erwachsene ≥65 Jahre.</w:t>
      </w:r>
    </w:p>
    <w:p>
      <w:r>
        <w:rPr>
          <w:b/>
        </w:rPr>
        <w:t xml:space="preserve">Ergebnis: </w:t>
      </w:r>
      <w:r>
        <w:t>Ausweitung auf alle ≥65-Jährigen würde in Schweden 13.929, Finnland 6.411, Norwegen 5.951 und Dänemark 2.438 symptomatische Fälle verhindern; entsprechend 1.615, 804, 762 bzw. 407 gewonnene Lebensjahre. Hospitalisierungen reduziert um 786, 362, 336 bzw. 138; Zusatzkosten €7,7 Mio (Schweden), €2,5 Mio (Finnland), €4,4 Mio (Norwegen), €2,4 Mio (Dänemark) – vertretbar im Verhältnis zur Gesamtausgaben.</w:t>
      </w:r>
    </w:p>
    <w:p>
      <w:r>
        <w:rPr>
          <w:b/>
          <w:sz w:val="19"/>
        </w:rPr>
        <w:t xml:space="preserve">Übertragbarkeit: </w:t>
      </w:r>
      <w:r>
        <w:rPr>
          <w:sz w:val="19"/>
        </w:rPr>
        <w:t>Skandinavien, Sozialversicherungssysteme vergleichbar mit Deutschland</w:t>
      </w:r>
    </w:p>
    <w:p>
      <w:r>
        <w:rPr>
          <w:color w:val="5A7D3A"/>
          <w:sz w:val="18"/>
        </w:rPr>
        <w:t>https://pubmed.ncbi.nlm.nih.gov/42468224/</w:t>
      </w:r>
    </w:p>
    <w:p>
      <w:pPr>
        <w:pStyle w:val="Heading2"/>
      </w:pPr>
      <w:r>
        <w:t>Bereitschaft zur Cholera-Impfung in sechs afrikanischen Ländern: Psychologische Faktoren und Krankheitsrisiko</w:t>
      </w:r>
    </w:p>
    <w:p>
      <w:r>
        <w:rPr>
          <w:i/>
          <w:color w:val="666666"/>
          <w:sz w:val="18"/>
        </w:rPr>
        <w:t>Geiger M et al.  ·  Vaccine  ·  13.08.2026  ·  PMID 42462676</w:t>
      </w:r>
    </w:p>
    <w:p>
      <w:r>
        <w:t>Querschnittsbefragung von 14.132 englischsprachigen Teilnehmern in Ghana, Kenia, Nigeria, Südafrika, Tansania und Uganda zur Impfbereitschaft gegen Cholera anhand des 7C-Modells (Vertrauen, Unachtsamkeit, Zwänge, Berechnung, kollektive Verantwortung, Einhaltung, Verschwörungsdenken).</w:t>
      </w:r>
    </w:p>
    <w:p>
      <w:r>
        <w:rPr>
          <w:b/>
        </w:rPr>
        <w:t xml:space="preserve">Ergebnis: </w:t>
      </w:r>
      <w:r>
        <w:t>Impfbereitschaft korrelierte stark mit selbstberichteter Cholera-Impfstatus (d = 0,32) und allgemeinem Impfstatus (r = 0,35). Persönliche Cholera-Erfahrung assoziiert mit höherer Bereitschaft (d = 0,14). Auf Länderebene: Durchschnittliche Bereitschaft korrelierte stark mit Cholera-Inzidenz letzte drei Jahre (ρ = 0,89) – höhere Bereitschaft in Ländern mit höherer Krankheitslast.</w:t>
      </w:r>
    </w:p>
    <w:p>
      <w:r>
        <w:rPr>
          <w:b/>
          <w:sz w:val="19"/>
        </w:rPr>
        <w:t xml:space="preserve">Übertragbarkeit: </w:t>
      </w:r>
      <w:r>
        <w:rPr>
          <w:sz w:val="19"/>
        </w:rPr>
        <w:t>Afrika, methodologische Erkenntnis zu Vaccine Hesitancy-Messung in Ländern mit niedrigem Impfniveau</w:t>
      </w:r>
    </w:p>
    <w:p>
      <w:r>
        <w:rPr>
          <w:color w:val="5A7D3A"/>
          <w:sz w:val="18"/>
        </w:rPr>
        <w:t>https://pubmed.ncbi.nlm.nih.gov/42462676/</w:t>
      </w:r>
    </w:p>
    <w:p>
      <w:pPr>
        <w:pStyle w:val="Heading2"/>
      </w:pPr>
      <w:r>
        <w:t>SARS-CoV-2-Impfung bei Stammzell-Transplantierten: Antikörperantwort vergleichbar mit Gesunden</w:t>
      </w:r>
    </w:p>
    <w:p>
      <w:r>
        <w:rPr>
          <w:i/>
          <w:color w:val="666666"/>
          <w:sz w:val="18"/>
        </w:rPr>
        <w:t>Maier CP et al.  ·  Front Immunol  ·  01.07.2026  ·  PMID 42459652</w:t>
      </w:r>
    </w:p>
    <w:p>
      <w:r>
        <w:t>Längsschnitt-Studie an 354 allogenen Stammzell-Transplantierten und 647 gesunden Kontrollen zu IgG-, IgM-, IgA-Antikörper-Kinetik gegen SARS-CoV-2-Antigene nach mRNA-, Vektor- und Protein-Impfstoff-Dosen.</w:t>
      </w:r>
    </w:p>
    <w:p>
      <w:r>
        <w:rPr>
          <w:b/>
        </w:rPr>
        <w:t xml:space="preserve">Ergebnis: </w:t>
      </w:r>
      <w:r>
        <w:t>Anti-Spike-IgG-Serokonversion: nach 1. Dosis 27 % (Patienten) vs. 28 % (Kontrollen), nach 2. Dosis 65 % vs. 59 %, nach 3. Dosis 93 % vs. 98 %. Nach drei Dosen keine signifikanten Unterschiede mehr zwischen Gruppen. IgM/IgA selten. Negative Prädiktoren nach 1. Dosis (Diagnose, kürzeres Intervall, niedrige Lymphozyten), nach 3. Dosis keine. Antikörperspiegel ≥6 Monate stabil. Durchbruchinfektionen mild.</w:t>
      </w:r>
    </w:p>
    <w:p>
      <w:r>
        <w:rPr>
          <w:b/>
          <w:sz w:val="19"/>
        </w:rPr>
        <w:t xml:space="preserve">Übertragbarkeit: </w:t>
      </w:r>
      <w:r>
        <w:rPr>
          <w:sz w:val="19"/>
        </w:rPr>
        <w:t>Deutschland, deutschsprachige Autoren (Tübingen), Transplantationszentren vergleichbar</w:t>
      </w:r>
    </w:p>
    <w:p>
      <w:r>
        <w:rPr>
          <w:color w:val="5A7D3A"/>
          <w:sz w:val="18"/>
        </w:rPr>
        <w:t>https://pubmed.ncbi.nlm.nih.gov/42459652/</w:t>
      </w:r>
    </w:p>
    <w:p>
      <w:pPr>
        <w:pStyle w:val="Heading1"/>
      </w:pPr>
      <w:r>
        <w:t>Aufgenommen am 01.09.2026</w:t>
      </w:r>
    </w:p>
    <w:p>
      <w:pPr>
        <w:pStyle w:val="Heading2"/>
      </w:pPr>
      <w:r>
        <w:t>Neue mRNA-Impfstoffe gegen COVID-19 in Phase 2: Sicherheit und Immunogenität</w:t>
      </w:r>
    </w:p>
    <w:p>
      <w:r>
        <w:rPr>
          <w:i/>
          <w:color w:val="666666"/>
          <w:sz w:val="18"/>
        </w:rPr>
        <w:t>Wong R et al.  ·  Hum Vaccin Immunother  ·  26.08.2026  ·  PMID 42647564</w:t>
      </w:r>
    </w:p>
    <w:p>
      <w:r>
        <w:t>Phase-2-Studie mit 425 vorgeimpften Erwachsenen in Australien: Vergleich experimenteller bivalenter und monovalenter mRNA-Impfstoffe mit lizenziertem Wuhan/BA.4-5-Impfstoff.</w:t>
      </w:r>
    </w:p>
    <w:p>
      <w:r>
        <w:rPr>
          <w:b/>
        </w:rPr>
        <w:t xml:space="preserve">Ergebnis: </w:t>
      </w:r>
      <w:r>
        <w:t>Überwiegend milde bis moderate Lokalreaktionen. Keine impfstoffbedingten schwerwiegenden Nebenwirkungen oder Myokarditis/Perikarditis. CV0701-Impfstoff (bivalent) zeigte dosisabhängige Neutralisationsantikörper-Anstiege gegen ancestrales D614G und Omicron BA.4-5. CD4+- und CD8+-T-Zell-Antworten in allen Gruppen außer niedrigster CV0701-Dosis.</w:t>
      </w:r>
    </w:p>
    <w:p>
      <w:r>
        <w:rPr>
          <w:b/>
          <w:sz w:val="19"/>
        </w:rPr>
        <w:t xml:space="preserve">Übertragbarkeit: </w:t>
      </w:r>
      <w:r>
        <w:rPr>
          <w:sz w:val="19"/>
        </w:rPr>
        <w:t>Australisches Studienzentrum, Phase 2; Sicherheitsprofil übertragbar, Immunogenität Laborbiomarker.</w:t>
      </w:r>
    </w:p>
    <w:p>
      <w:r>
        <w:rPr>
          <w:color w:val="5A7D3A"/>
          <w:sz w:val="18"/>
        </w:rPr>
        <w:t>https://pubmed.ncbi.nlm.nih.gov/42647564/</w:t>
      </w:r>
    </w:p>
    <w:p>
      <w:pPr>
        <w:pStyle w:val="Heading2"/>
      </w:pPr>
      <w:r>
        <w:t>Pertussis-Impfschutz in Schweden durch Durchbruchinfektionen gefährdet</w:t>
      </w:r>
    </w:p>
    <w:p>
      <w:r>
        <w:rPr>
          <w:i/>
          <w:color w:val="666666"/>
          <w:sz w:val="18"/>
        </w:rPr>
        <w:t>Brett TS et al.  ·  PLoS Comput Biol  ·  04.08.2026  ·  PMID 42550879</w:t>
      </w:r>
    </w:p>
    <w:p>
      <w:r>
        <w:t>Mathematisches Modell der Pertussis-Dynamik in Schweden mit empirischen Meldedaten: Kombination aus leaky DTaP-Immunität, Impfstoffschutz-Abnahme und erhöhter Datenerfassung seit 2014.</w:t>
      </w:r>
    </w:p>
    <w:p>
      <w:r>
        <w:rPr>
          <w:b/>
        </w:rPr>
        <w:t xml:space="preserve">Ergebnis: </w:t>
      </w:r>
      <w:r>
        <w:t>Die DTaP-Impfung verhindert etwa 50% der Infektionen bei ungeimpften Neugeborenen (indirekter Schutz). Pertussis-Elimination ist mit azellulärem Impfstoff nicht möglich wegen Impfstoff-Durchlässigkeit und Immunitätsverlust. Der Anstieg der Fallmeldungen ab 2014 wird nicht allein durch echte Infektionszunahme erklärt, sondern auch durch verbesserte Labortestung.</w:t>
      </w:r>
    </w:p>
    <w:p>
      <w:r>
        <w:rPr>
          <w:b/>
          <w:sz w:val="19"/>
        </w:rPr>
        <w:t xml:space="preserve">Übertragbarkeit: </w:t>
      </w:r>
      <w:r>
        <w:rPr>
          <w:sz w:val="19"/>
        </w:rPr>
        <w:t>Schweden mit detailliertem Surveillance-System; Befund auf Deutschland übertragbar.</w:t>
      </w:r>
    </w:p>
    <w:p>
      <w:r>
        <w:rPr>
          <w:color w:val="5A7D3A"/>
          <w:sz w:val="18"/>
        </w:rPr>
        <w:t>https://pubmed.ncbi.nlm.nih.gov/42550879/</w:t>
      </w:r>
    </w:p>
    <w:p>
      <w:pPr>
        <w:pStyle w:val="Heading2"/>
      </w:pPr>
      <w:r>
        <w:t>Zoster-Impfstoff während Krebstherapie: Umsetzbarkeit und Sicherheit</w:t>
      </w:r>
    </w:p>
    <w:p>
      <w:r>
        <w:rPr>
          <w:i/>
          <w:color w:val="666666"/>
          <w:sz w:val="18"/>
        </w:rPr>
        <w:t>Ciappina G et al.  ·  Hum Vaccin Immunother  ·  30.07.2026  ·  PMID 42529910</w:t>
      </w:r>
    </w:p>
    <w:p>
      <w:r>
        <w:t>Retrospektive Kohorte von 42 Krebspatienten unter systemischer Therapie, denen rekombinanter Zoster-Impfstoff (RZV) angeboten wurde; zwei Dosen im Standard-Abstand.</w:t>
      </w:r>
    </w:p>
    <w:p>
      <w:r>
        <w:rPr>
          <w:b/>
        </w:rPr>
        <w:t xml:space="preserve">Ergebnis: </w:t>
      </w:r>
      <w:r>
        <w:t>37 von 42 (88,1%) vollendeten beide Dosen. Verträglichkeit günstig: Injektionsstellen-Schmerz am häufigsten, Systembeschwerden mild und vorübergehend. Keine schweren impfbezogenen Ereignisse, keine Behandlungsverzögerungen. Nach Median 11,5 Monaten kein dokumentiertes Herpes zoster (aber kleine Fallzahl).</w:t>
      </w:r>
    </w:p>
    <w:p>
      <w:r>
        <w:rPr>
          <w:b/>
          <w:sz w:val="19"/>
        </w:rPr>
        <w:t xml:space="preserve">Übertragbarkeit: </w:t>
      </w:r>
      <w:r>
        <w:rPr>
          <w:sz w:val="19"/>
        </w:rPr>
        <w:t>Einzelnes italienisches Zentrum; Machbarkeitsbefund für Impfen unter Immunsuppression relevant.</w:t>
      </w:r>
    </w:p>
    <w:p>
      <w:r>
        <w:rPr>
          <w:color w:val="5A7D3A"/>
          <w:sz w:val="18"/>
        </w:rPr>
        <w:t>https://pubmed.ncbi.nlm.nih.gov/42529910/</w:t>
      </w:r>
    </w:p>
    <w:p>
      <w:pPr>
        <w:pStyle w:val="Heading2"/>
      </w:pPr>
      <w:r>
        <w:t>HPV-Impfbereitschaft bei ländlichen Eltern: Barrieren und Anreize in Äthiopien</w:t>
      </w:r>
    </w:p>
    <w:p>
      <w:r>
        <w:rPr>
          <w:i/>
          <w:color w:val="666666"/>
          <w:sz w:val="18"/>
        </w:rPr>
        <w:t>Zenebe S et al.  ·  PLoS One  ·  22.07.2026  ·  PMID 42485289</w:t>
      </w:r>
    </w:p>
    <w:p>
      <w:r>
        <w:t>Qualitative Studie zu Faktoren der HPV-Impf-Akzeptanz bei Eltern von Mädchen im ländlichen Südäthiopien mittels Fokusgruppen und Einzelinterviews.</w:t>
      </w:r>
    </w:p>
    <w:p>
      <w:r>
        <w:rPr>
          <w:b/>
        </w:rPr>
        <w:t xml:space="preserve">Ergebnis: </w:t>
      </w:r>
      <w:r>
        <w:t>Befürworter: Krebsprävention, elterliche Verantwortung, Vertrauen in Fachkräfte-Empfehlungen. Barrieren: Mangelndes Wissen, fehlende zuverlässige Informationsquellen, Impfskepsis, Angst vor Nebenwirkungen, kulturelle und religiöse Faktoren. Hauptempfehlung: Behörden und Institutionen müssen zusammen gegen erkannte Barrieren vorgehen.</w:t>
      </w:r>
    </w:p>
    <w:p>
      <w:r>
        <w:rPr>
          <w:b/>
          <w:sz w:val="19"/>
        </w:rPr>
        <w:t xml:space="preserve">Übertragbarkeit: </w:t>
      </w:r>
      <w:r>
        <w:rPr>
          <w:sz w:val="19"/>
        </w:rPr>
        <w:t>Äthiopien-Setting; Befunde zu Vertrauensfaktoren und Wissensdefiziten weltweit relevant.</w:t>
      </w:r>
    </w:p>
    <w:p>
      <w:r>
        <w:rPr>
          <w:color w:val="5A7D3A"/>
          <w:sz w:val="18"/>
        </w:rPr>
        <w:t>https://pubmed.ncbi.nlm.nih.gov/42485289/</w:t>
      </w:r>
    </w:p>
    <w:p>
      <w:pPr>
        <w:pStyle w:val="Heading2"/>
      </w:pPr>
      <w:r>
        <w:t>CAR-T-Zelltherapie für Autoimmunerkrankungen: Stand und Perspektiven</w:t>
      </w:r>
    </w:p>
    <w:p>
      <w:r>
        <w:rPr>
          <w:i/>
          <w:color w:val="666666"/>
          <w:sz w:val="18"/>
        </w:rPr>
        <w:t>Bachl J et al.  ·  PLoS Med  ·  20.07.2026  ·  PMID 42475287</w:t>
      </w:r>
    </w:p>
    <w:p>
      <w:r>
        <w:t>Überblickartikel zu CAR-T-Zellen (chimäre Antigen-Rezeptoren) in der Behandlung von Autoimmunerkrankungen: bisherige Erfolge und offene Fragen.</w:t>
      </w:r>
    </w:p>
    <w:p>
      <w:r>
        <w:rPr>
          <w:b/>
        </w:rPr>
        <w:t xml:space="preserve">Ergebnis: </w:t>
      </w:r>
      <w:r>
        <w:t>CAR-T-Therapien haben Potenzial, dysfunktionale Immunsysteme zurückzusetzen. Neueste technologische Entwicklungen ermöglichen Hoffnung für Patienten mit therapierefraktären Autoimmunerkrankungen. Zahlreiche Herausforderungen bleiben, insgesamt wird die transformative Wirkung dieser Zelltherapien für künftige Patienten angedeutet.</w:t>
      </w:r>
    </w:p>
    <w:p>
      <w:r>
        <w:rPr>
          <w:b/>
          <w:sz w:val="19"/>
        </w:rPr>
        <w:t xml:space="preserve">Übertragbarkeit: </w:t>
      </w:r>
      <w:r>
        <w:rPr>
          <w:sz w:val="19"/>
        </w:rPr>
        <w:t>Überblick ohne primäre Daten; nicht primär impfpräventiv, sondern therapeutisch.</w:t>
      </w:r>
    </w:p>
    <w:p>
      <w:r>
        <w:rPr>
          <w:color w:val="5A7D3A"/>
          <w:sz w:val="18"/>
        </w:rPr>
        <w:t>https://pubmed.ncbi.nlm.nih.gov/42475287/</w:t>
      </w:r>
    </w:p>
    <w:p>
      <w:pPr>
        <w:pStyle w:val="Heading2"/>
      </w:pPr>
      <w:r>
        <w:t>Pentavalent-Impflücke verursachte Diphtherie-Ausbruch in Nigeria</w:t>
      </w:r>
    </w:p>
    <w:p>
      <w:r>
        <w:rPr>
          <w:i/>
          <w:color w:val="666666"/>
          <w:sz w:val="18"/>
        </w:rPr>
        <w:t>Okhuarobo UJ et al.  ·  Pan Afr Med J  ·  10.03.2026  ·  PMID 42465825</w:t>
      </w:r>
    </w:p>
    <w:p>
      <w:r>
        <w:t>Fall-Kontroll-Studie zu Diphtherie-Ausbruch in Kafanchan, Nigeria (Juli-Oktober 2023): Exposition, Kontakte und Impfstatus.</w:t>
      </w:r>
    </w:p>
    <w:p>
      <w:r>
        <w:rPr>
          <w:b/>
        </w:rPr>
        <w:t xml:space="preserve">Ergebnis: </w:t>
      </w:r>
      <w:r>
        <w:t>91 Fälle, medianes Alter 7 Jahre, Fallsterblichkeit 23%. Pentavalent-Impfung: protektiv (aOR 0,39, 95%-KI 0,20–0,77). Kontakt mit respiratorischen Symptomen: OR 37,2 (KI 16,8–82,6). 25% hatten nie Pentavalent erhalten, Grund: Unwissenheit über Nutzen. Verbesserung durch Risikokommunikation und gestärkte Routine-Impfung.</w:t>
      </w:r>
    </w:p>
    <w:p>
      <w:r>
        <w:rPr>
          <w:b/>
          <w:sz w:val="19"/>
        </w:rPr>
        <w:t xml:space="preserve">Übertragbarkeit: </w:t>
      </w:r>
      <w:r>
        <w:rPr>
          <w:sz w:val="19"/>
        </w:rPr>
        <w:t>Nigeria-Daten; Mechanism-Befund (Lücken-Ausbruch) global übertragbar.</w:t>
      </w:r>
    </w:p>
    <w:p>
      <w:r>
        <w:rPr>
          <w:color w:val="5A7D3A"/>
          <w:sz w:val="18"/>
        </w:rPr>
        <w:t>https://pubmed.ncbi.nlm.nih.gov/42465825/</w:t>
      </w:r>
    </w:p>
    <w:p>
      <w:pPr>
        <w:pStyle w:val="Heading1"/>
      </w:pPr>
      <w:r>
        <w:t>Aufgenommen am 31.08.2026</w:t>
      </w:r>
    </w:p>
    <w:p>
      <w:pPr>
        <w:pStyle w:val="Heading2"/>
      </w:pPr>
      <w:r>
        <w:t>Langzeitimmunität nach Hepatitis-B-Impfung bei Menschen mit HIV: 8,5-Jahr-Verlauf in China</w:t>
      </w:r>
    </w:p>
    <w:p>
      <w:r>
        <w:rPr>
          <w:i/>
          <w:color w:val="666666"/>
          <w:sz w:val="18"/>
        </w:rPr>
        <w:t>Yang H et al.  ·  Front Public Health  ·  14.08.2026  ·  PMID 42666258</w:t>
      </w:r>
    </w:p>
    <w:p>
      <w:r>
        <w:t>Retrospektive Kohortenstudie mit 195 HIV-positiven Personen ohne anti-HBs-Schutz, die Heplisav-B erhielten, mit Langzeitfollow-up 1,5-8,5 Jahre.</w:t>
      </w:r>
    </w:p>
    <w:p>
      <w:r>
        <w:rPr>
          <w:b/>
        </w:rPr>
        <w:t xml:space="preserve">Ergebnis: </w:t>
      </w:r>
      <w:r>
        <w:t>Nach 3-4 Dosen initial 98% und 85% Responserate (vs. 77-79% nach 1-2 Dosen). Nach 8,5 Jahren: 83% (3 Dosen) und 88% (4 Dosen) zeigten anhaltende Antikörper &gt;100 IU/mL. Unabhängige Korrelaten: Dosenzahl und frühes serologisches Ansprechen.</w:t>
      </w:r>
    </w:p>
    <w:p>
      <w:r>
        <w:rPr>
          <w:b/>
          <w:sz w:val="19"/>
        </w:rPr>
        <w:t xml:space="preserve">Übertragbarkeit: </w:t>
      </w:r>
      <w:r>
        <w:rPr>
          <w:sz w:val="19"/>
        </w:rPr>
        <w:t>China, aber Heplisav-B weltweit, zeigt optimale Impfschemata für immungeschwächte Personen</w:t>
      </w:r>
    </w:p>
    <w:p>
      <w:r>
        <w:rPr>
          <w:color w:val="5A7D3A"/>
          <w:sz w:val="18"/>
        </w:rPr>
        <w:t>https://pubmed.ncbi.nlm.nih.gov/42666258/</w:t>
      </w:r>
    </w:p>
    <w:p>
      <w:pPr>
        <w:pStyle w:val="Heading2"/>
      </w:pPr>
      <w:r>
        <w:t>Sozioökonomische Ungleichheiten bei COVID-19-Impfung nigerianischer Frauen</w:t>
      </w:r>
    </w:p>
    <w:p>
      <w:r>
        <w:rPr>
          <w:i/>
          <w:color w:val="666666"/>
          <w:sz w:val="18"/>
        </w:rPr>
        <w:t>Ekholuenetale M  ·  PLoS One  ·  28.08.2026  ·  PMID 42664197</w:t>
      </w:r>
    </w:p>
    <w:p>
      <w:r>
        <w:t>Querschnittsanalyse mit 36.555 Frauen aus Nigeria-Bevölkerungsumfrage 2024 zur Zerlegung sozioökonomischer Disparitäten bei Impfquoten.</w:t>
      </w:r>
    </w:p>
    <w:p>
      <w:r>
        <w:rPr>
          <w:b/>
        </w:rPr>
        <w:t xml:space="preserve">Ergebnis: </w:t>
      </w:r>
      <w:r>
        <w:t>Impfquote bei am wenigsten benachteiligten Frauen 31,6%, bei am stärksten benachteiligten 19,2%. Positive Einflussfaktoren: höhere Bildung, Medienpräsenz, Krankenversicherung, Alter ≥30 Jahre, südliche Regionen. Bildung, Medienexposition und Versicherung trugen am stärksten zu Disparitäten bei.</w:t>
      </w:r>
    </w:p>
    <w:p>
      <w:r>
        <w:rPr>
          <w:b/>
          <w:sz w:val="19"/>
        </w:rPr>
        <w:t xml:space="preserve">Übertragbarkeit: </w:t>
      </w:r>
      <w:r>
        <w:rPr>
          <w:sz w:val="19"/>
        </w:rPr>
        <w:t>Nigeria, aber Ungleichheitsmuster zeigen universelle Zugangsbarrieren</w:t>
      </w:r>
    </w:p>
    <w:p>
      <w:r>
        <w:rPr>
          <w:color w:val="5A7D3A"/>
          <w:sz w:val="18"/>
        </w:rPr>
        <w:t>https://pubmed.ncbi.nlm.nih.gov/42664197/</w:t>
      </w:r>
    </w:p>
    <w:p>
      <w:pPr>
        <w:pStyle w:val="Heading2"/>
      </w:pPr>
      <w:r>
        <w:t>COVID-19-Impfquote bei Gemeindeimpfterminen: Dauer, Wochentag und Partnerschaft steigern Reichweite</w:t>
      </w:r>
    </w:p>
    <w:p>
      <w:r>
        <w:rPr>
          <w:i/>
          <w:color w:val="666666"/>
          <w:sz w:val="18"/>
        </w:rPr>
        <w:t>Shakib SH et al.  ·  Viruses  ·  11.08.2026  ·  PMID 42655698</w:t>
      </w:r>
    </w:p>
    <w:p>
      <w:r>
        <w:t>Retrospektive Analyse von 631 Impfterminen (27.767 Dosen) in Kentucky 2021-2022 zu Assoziationen zwischen Veranstaltungsmerkmalen und verabreichten Dosen pro Termin.</w:t>
      </w:r>
    </w:p>
    <w:p>
      <w:r>
        <w:rPr>
          <w:b/>
        </w:rPr>
        <w:t xml:space="preserve">Ergebnis: </w:t>
      </w:r>
      <w:r>
        <w:t>Jede zusätzliche Stunde Veranstaltungsdauer: +21,6% Dosen pro Termin. Wochenendtermine: +87,8% gegenüber Wochentagen. Nicht-regierungsorganisationen: +44,7%; Unternehmen: +110%; medizinische Anbieter: +57,8% gegenüber Government-Terminen. Nur-LMPHW-Termine (ohne Partner): +198,4%.</w:t>
      </w:r>
    </w:p>
    <w:p>
      <w:r>
        <w:rPr>
          <w:b/>
          <w:sz w:val="19"/>
        </w:rPr>
        <w:t xml:space="preserve">Übertragbarkeit: </w:t>
      </w:r>
      <w:r>
        <w:rPr>
          <w:sz w:val="19"/>
        </w:rPr>
        <w:t>USA, aber Zugangsoptimierungen übertragbar auf deutsche Impfstellen</w:t>
      </w:r>
    </w:p>
    <w:p>
      <w:r>
        <w:rPr>
          <w:color w:val="5A7D3A"/>
          <w:sz w:val="18"/>
        </w:rPr>
        <w:t>https://pubmed.ncbi.nlm.nih.gov/42655698/</w:t>
      </w:r>
    </w:p>
    <w:p>
      <w:pPr>
        <w:pStyle w:val="Heading2"/>
      </w:pPr>
      <w:r>
        <w:t>Mütterlicherve RSV-Impfung: Akzeptanz und Kommunikationspräferenzen schwangerer Frauen in England</w:t>
      </w:r>
    </w:p>
    <w:p>
      <w:r>
        <w:rPr>
          <w:i/>
          <w:color w:val="666666"/>
          <w:sz w:val="18"/>
        </w:rPr>
        <w:t>Bell S et al.  ·  Vaccine  ·  13.08.2026  ·  PMID 42497669</w:t>
      </w:r>
    </w:p>
    <w:p>
      <w:r>
        <w:t>Qualitative Studie mit 30 Müttern in England zu Wahrnehmungen der maternalen RSV-Impfung ab 28 Schwangerschaftswochen.</w:t>
      </w:r>
    </w:p>
    <w:p>
      <w:r>
        <w:rPr>
          <w:b/>
        </w:rPr>
        <w:t xml:space="preserve">Ergebnis: </w:t>
      </w:r>
      <w:r>
        <w:t>Hohe Impfbereitschaft, aber Wissenslücken zu RSV-Schweregrad. Mütter bevorzugen Informationen online, schriftlich und durch Hebammen; 84% wollen Impfung in Antenatalbetreuung (nicht separate Praxistermine).</w:t>
      </w:r>
    </w:p>
    <w:p>
      <w:r>
        <w:rPr>
          <w:b/>
          <w:sz w:val="19"/>
        </w:rPr>
        <w:t xml:space="preserve">Übertragbarkeit: </w:t>
      </w:r>
      <w:r>
        <w:rPr>
          <w:sz w:val="19"/>
        </w:rPr>
        <w:t>Großbritannien, vergleichbares Versorgungssystem, neue Impfempfehlung, übertragbare Zugangsoptimierung</w:t>
      </w:r>
    </w:p>
    <w:p>
      <w:r>
        <w:rPr>
          <w:color w:val="5A7D3A"/>
          <w:sz w:val="18"/>
        </w:rPr>
        <w:t>https://pubmed.ncbi.nlm.nih.gov/42497669/</w:t>
      </w:r>
    </w:p>
    <w:p>
      <w:pPr>
        <w:pStyle w:val="Heading2"/>
      </w:pPr>
      <w:r>
        <w:t>Nutzen-Kosten-Analyse: Atemwegsimpfung bei Erwachsenen ≥65 Jahren in Frankreich</w:t>
      </w:r>
    </w:p>
    <w:p>
      <w:r>
        <w:rPr>
          <w:i/>
          <w:color w:val="666666"/>
          <w:sz w:val="18"/>
        </w:rPr>
        <w:t>Napier M et al.  ·  Expert Rev Vaccines  ·  22.07.2026  ·  PMID 42484014</w:t>
      </w:r>
    </w:p>
    <w:p>
      <w:r>
        <w:t>Ökonomische Analyse zur Rentabilität von Pneumokokken-, RSV-, Influenza- und COVID-19-Impfungen bei älteren Franzosen.</w:t>
      </w:r>
    </w:p>
    <w:p>
      <w:r>
        <w:rPr>
          <w:b/>
        </w:rPr>
        <w:t xml:space="preserve">Ergebnis: </w:t>
      </w:r>
      <w:r>
        <w:t>Nutzen-Kosten-Verhältnis 2,0-8,7€ pro 1€ Ausgaben über Lebenszeit. RSV-Impfung würde Nettonutzen um 6-7% erhöhen. Erreichung ehrgeiziger Impfquoten (z.B. auf 90%) würde Nutzen um 138-175% steigern.</w:t>
      </w:r>
    </w:p>
    <w:p>
      <w:r>
        <w:rPr>
          <w:b/>
          <w:sz w:val="19"/>
        </w:rPr>
        <w:t xml:space="preserve">Übertragbarkeit: </w:t>
      </w:r>
      <w:r>
        <w:rPr>
          <w:sz w:val="19"/>
        </w:rPr>
        <w:t>Frankreich, vergleichbares System, zeigt Wirtschaftlichkeit höherer Quoten</w:t>
      </w:r>
    </w:p>
    <w:p>
      <w:r>
        <w:rPr>
          <w:color w:val="5A7D3A"/>
          <w:sz w:val="18"/>
        </w:rPr>
        <w:t>https://pubmed.ncbi.nlm.nih.gov/42484014/</w:t>
      </w:r>
    </w:p>
    <w:p>
      <w:pPr>
        <w:pStyle w:val="Heading2"/>
      </w:pPr>
      <w:r>
        <w:t>Tdap-Impfzeitpunkt in der Schwangerschaft: Antikörperresponse und Plazentaweitergabe</w:t>
      </w:r>
    </w:p>
    <w:p>
      <w:r>
        <w:rPr>
          <w:i/>
          <w:color w:val="666666"/>
          <w:sz w:val="18"/>
        </w:rPr>
        <w:t>De Weerdt L et al.  ·  Vaccine  ·  13.08.2026  ·  PMID 42472495</w:t>
      </w:r>
    </w:p>
    <w:p>
      <w:r>
        <w:t>Prospektive Studie mit 96 schwangeren Frauen in Belgien zur Charakterisierung der Auswirkung des Impfzeitpunkts (16.-32. Woche) auf maternale und neonatale Antikörperprofile.</w:t>
      </w:r>
    </w:p>
    <w:p>
      <w:r>
        <w:rPr>
          <w:b/>
        </w:rPr>
        <w:t xml:space="preserve">Ergebnis: </w:t>
      </w:r>
      <w:r>
        <w:t>Maternale IgG und IgG1 gegen Pertussis, Diphtherie, Tetanus bei späteren Impfungen höher; neonatale Profile vergleichbar. IgG-Transferquoten sanken mit fortgeschrittenerem Gestationsalter, funktionelle Antikörperübertragung kaum beeinflusst.</w:t>
      </w:r>
    </w:p>
    <w:p>
      <w:r>
        <w:rPr>
          <w:b/>
          <w:sz w:val="19"/>
        </w:rPr>
        <w:t xml:space="preserve">Übertragbarkeit: </w:t>
      </w:r>
      <w:r>
        <w:rPr>
          <w:sz w:val="19"/>
        </w:rPr>
        <w:t>Belgien, vergleichbares Versicherungssystem, bestätigt Empfehlung 16.-32. Wochen</w:t>
      </w:r>
    </w:p>
    <w:p>
      <w:r>
        <w:rPr>
          <w:color w:val="5A7D3A"/>
          <w:sz w:val="18"/>
        </w:rPr>
        <w:t>https://pubmed.ncbi.nlm.nih.gov/42472495/</w:t>
      </w:r>
    </w:p>
    <w:p>
      <w:pPr>
        <w:pStyle w:val="Heading1"/>
      </w:pPr>
      <w:r>
        <w:t>Aufgenommen am 30.08.2026</w:t>
      </w:r>
    </w:p>
    <w:p>
      <w:pPr>
        <w:pStyle w:val="Heading2"/>
      </w:pPr>
      <w:r>
        <w:t>Rapid strain-matched Influenza-Impfung hätte 28.000 Todesfälle in UK-ähnlicher Pandemie verhindert</w:t>
      </w:r>
    </w:p>
    <w:p>
      <w:r>
        <w:rPr>
          <w:i/>
          <w:color w:val="666666"/>
          <w:sz w:val="18"/>
        </w:rPr>
        <w:t>Lovick S et al.  ·  Hum Vaccin Immunother  ·  28.08.2026  ·  PMID 42663142</w:t>
      </w:r>
    </w:p>
    <w:p>
      <w:r>
        <w:t>Dynamisches SEIR-Transmissionsmodell für UK-ähnliche Bevölkerung zur Bewertung Morbidität, Mortalität und Kosten einer frühen zellbasierten vs. eibasierten Pandemie-Impfstoff-Kampagne mit/ohne Maßnahmen.</w:t>
      </w:r>
    </w:p>
    <w:p>
      <w:r>
        <w:rPr>
          <w:b/>
        </w:rPr>
        <w:t xml:space="preserve">Ergebnis: </w:t>
      </w:r>
      <w:r>
        <w:t>16-wöchige Impfkampagne ab 16 Wochen nach Pandemie-Erklärung (ohne Maßnahmen) reduzierte Infektionen um 3,0 Millionen und Todesfälle um 28.000, mit größerem Nutzen in Low-Transmissibility-Szenarien. Zellbasierter Impfstoff reduzierte Todesfälle zusätzlich um 5,0%. Maßnahmen (Durchschnittskosten £208 Mrd.) verbesserten Impfeffektivität, zellbasierter Impfstoff zusätzlich um 0,9%. Verzögerungen erhöhten Mortalität und wirtschaftliche Kosten.</w:t>
      </w:r>
    </w:p>
    <w:p>
      <w:r>
        <w:rPr>
          <w:b/>
          <w:sz w:val="19"/>
        </w:rPr>
        <w:t xml:space="preserve">Übertragbarkeit: </w:t>
      </w:r>
      <w:r>
        <w:rPr>
          <w:sz w:val="19"/>
        </w:rPr>
        <w:t>UK-ähnliche Gesundheitssysteme, Modellierung ohne spezifische nationale Daten.</w:t>
      </w:r>
    </w:p>
    <w:p>
      <w:r>
        <w:rPr>
          <w:color w:val="5A7D3A"/>
          <w:sz w:val="18"/>
        </w:rPr>
        <w:t>https://pubmed.ncbi.nlm.nih.gov/42663142/</w:t>
      </w:r>
    </w:p>
    <w:p>
      <w:pPr>
        <w:pStyle w:val="Heading2"/>
      </w:pPr>
      <w:r>
        <w:t>Vertraute Quellen statt digitale Botschaften: Was COVID-19-Skepsis bei Schwarzen schwangeren Frauen senkt</w:t>
      </w:r>
    </w:p>
    <w:p>
      <w:r>
        <w:rPr>
          <w:i/>
          <w:color w:val="666666"/>
          <w:sz w:val="18"/>
        </w:rPr>
        <w:t>Cox E et al.  ·  Front Public Health  ·  12.08.2026  ·  PMID 42656594</w:t>
      </w:r>
    </w:p>
    <w:p>
      <w:r>
        <w:t>Qualitative Studie mit Interviews und Fokusgruppen bei 30 Schwarzen schwangeren und postpartalen Frauen in den USA zum Einfluss von sozialen Medien-Anzeigen auf Impfbereitschaft.</w:t>
      </w:r>
    </w:p>
    <w:p>
      <w:r>
        <w:rPr>
          <w:b/>
        </w:rPr>
        <w:t xml:space="preserve">Ergebnis: </w:t>
      </w:r>
      <w:r>
        <w:t>Geimpfte, religiöse, politisch konservative und verheiratete Frauen zeigten höhere Bereitschaft nach den Anzeigen. Kein einzelnes Messenger-Format oder Inhaltstyp war überlegen. Qualitativ zentral: Vertrauen in sich selbst, Familie, Doulas und Glaubensführer; Misstrauen gegen Staat und Gesundheitssystem sowie medizinischen Rassismus. Persönliches Zeugnis von vertrauten Quellen könnte Akzeptanz stärken.</w:t>
      </w:r>
    </w:p>
    <w:p>
      <w:r>
        <w:rPr>
          <w:b/>
          <w:sz w:val="19"/>
        </w:rPr>
        <w:t xml:space="preserve">Übertragbarkeit: </w:t>
      </w:r>
      <w:r>
        <w:rPr>
          <w:sz w:val="19"/>
        </w:rPr>
        <w:t>USA, spezifische Herausforderung für Minderheiten-Vertrauen in Gesundheitssystem.</w:t>
      </w:r>
    </w:p>
    <w:p>
      <w:r>
        <w:rPr>
          <w:color w:val="5A7D3A"/>
          <w:sz w:val="18"/>
        </w:rPr>
        <w:t>https://pubmed.ncbi.nlm.nih.gov/42656594/</w:t>
      </w:r>
    </w:p>
    <w:p>
      <w:pPr>
        <w:pStyle w:val="Heading2"/>
      </w:pPr>
      <w:r>
        <w:t>HPV-geimpfte Jugendliche nutzen Kondome häufiger und kennen mehr über Geschlechtskrankheiten</w:t>
      </w:r>
    </w:p>
    <w:p>
      <w:r>
        <w:rPr>
          <w:i/>
          <w:color w:val="666666"/>
          <w:sz w:val="18"/>
        </w:rPr>
        <w:t>Christensen LD et al.  ·  Dan Med J  ·  09.06.2026  ·  PMID 42592763</w:t>
      </w:r>
    </w:p>
    <w:p>
      <w:r>
        <w:t>Querschnittstudie bei 866 von 1.254 neunten Schulklassen-Schülern (69%) in Dänemark 2020–2024 zu HPV-Impfstatus und Wissen über sexuell übertragbare Infektionen.</w:t>
      </w:r>
    </w:p>
    <w:p>
      <w:r>
        <w:rPr>
          <w:b/>
        </w:rPr>
        <w:t xml:space="preserve">Ergebnis: </w:t>
      </w:r>
      <w:r>
        <w:t>20% der Jugendlichen hatten sexuelle Erfahrung mit Medianalter 14 Jahren. Wissen über drei oder mehr STIs war mit HPV-Impfung assoziiert (p=0,001). 62% nutzten bei letztem Sexualkontakt Kondome und/oder orale Kontrazeptiva; Mädchen 70–80%, Jungen 50–55%. HPV-Geimpfte nutzten Kondome signifikant häufiger.</w:t>
      </w:r>
    </w:p>
    <w:p>
      <w:r>
        <w:rPr>
          <w:b/>
          <w:sz w:val="19"/>
        </w:rPr>
        <w:t xml:space="preserve">Übertragbarkeit: </w:t>
      </w:r>
      <w:r>
        <w:rPr>
          <w:sz w:val="19"/>
        </w:rPr>
        <w:t>Dänemark, europäisches Impfprogramm und Bevölkerungsaufbau.</w:t>
      </w:r>
    </w:p>
    <w:p>
      <w:r>
        <w:rPr>
          <w:color w:val="5A7D3A"/>
          <w:sz w:val="18"/>
        </w:rPr>
        <w:t>https://pubmed.ncbi.nlm.nih.gov/42592763/</w:t>
      </w:r>
    </w:p>
    <w:p>
      <w:pPr>
        <w:pStyle w:val="Heading2"/>
      </w:pPr>
      <w:r>
        <w:t>RSV-Impfung bei immungeschwächten Erwachsenen würde Krankheitslast und Kosten in Deutschland senken</w:t>
      </w:r>
    </w:p>
    <w:p>
      <w:r>
        <w:rPr>
          <w:i/>
          <w:color w:val="666666"/>
          <w:sz w:val="18"/>
        </w:rPr>
        <w:t>Quinn E et al.  ·  Expert Rev Vaccines  ·  31.07.2026  ·  PMID 42535735</w:t>
      </w:r>
    </w:p>
    <w:p>
      <w:r>
        <w:t>Kosten-Effektivitätsmodell für RSV-Impfung (RSVpreF) in Deutschland, mit Szenarien für die Erweiterung der STIKO-Empfehlung auf Personen &lt;60 Jahren.</w:t>
      </w:r>
    </w:p>
    <w:p>
      <w:r>
        <w:rPr>
          <w:b/>
        </w:rPr>
        <w:t xml:space="preserve">Ergebnis: </w:t>
      </w:r>
      <w:r>
        <w:t>Gegenwärtig: Empfehlung für 60–74 Jahre und ≥75 Jahre. Erweiterung auf immungeschwächte (IC) Erwachsene 18–59 Jahre würde 6.490 Fälle verhindern, 199 Todesfälle abwenden und 21 Mio. € einsparen. Erweiterung auf IC/chronisch kranke Personen 18–59 Jahre würde 24.545 Fälle und 388 Todesfälle verhindern bei Mehrkosten von 238 Mio. €.</w:t>
      </w:r>
    </w:p>
    <w:p>
      <w:r>
        <w:rPr>
          <w:b/>
          <w:sz w:val="19"/>
        </w:rPr>
        <w:t xml:space="preserve">Übertragbarkeit: </w:t>
      </w:r>
      <w:r>
        <w:rPr>
          <w:sz w:val="19"/>
        </w:rPr>
        <w:t>Deutschland, deutsche Versicherungslogik und STIKO-Struktur.</w:t>
      </w:r>
    </w:p>
    <w:p>
      <w:r>
        <w:rPr>
          <w:color w:val="5A7D3A"/>
          <w:sz w:val="18"/>
        </w:rPr>
        <w:t>https://pubmed.ncbi.nlm.nih.gov/42535735/</w:t>
      </w:r>
    </w:p>
    <w:p>
      <w:pPr>
        <w:pStyle w:val="Heading2"/>
      </w:pPr>
      <w:r>
        <w:t>Schützende Antikörper gegen Röteln bei Katalanischen Medizinstudierenden trotz hoher Impfquoten</w:t>
      </w:r>
    </w:p>
    <w:p>
      <w:r>
        <w:rPr>
          <w:i/>
          <w:color w:val="666666"/>
          <w:sz w:val="18"/>
        </w:rPr>
        <w:t>Benito P et al.  ·  Vaccine  ·  13.08.2026  ·  PMID 42501718</w:t>
      </w:r>
    </w:p>
    <w:p>
      <w:r>
        <w:t>Querschnittsstudie an 235 Medizinstudierenden in vier katalanischen Universitäten zur Röteln-Impfquote und Seroprävalenz von Schutzantikörpern.</w:t>
      </w:r>
    </w:p>
    <w:p>
      <w:r>
        <w:rPr>
          <w:b/>
        </w:rPr>
        <w:t xml:space="preserve">Ergebnis: </w:t>
      </w:r>
      <w:r>
        <w:t>94,5% berichteten vollständige Röteln-Impfung; 84,7% hatten schützende Anti-Röteln-IgG-Antikörper, 6,0% grenzwertig und 9,4% negativ. Vollständig Geimpfte waren signifikant häufiger seropositiv (aOR 4,02; 95% CI 1,14–13,11). Nahezu alle Teilnehmenden bewerteten die MMR-Impfung als sicher und wichtig.</w:t>
      </w:r>
    </w:p>
    <w:p>
      <w:r>
        <w:rPr>
          <w:b/>
          <w:sz w:val="19"/>
        </w:rPr>
        <w:t xml:space="preserve">Übertragbarkeit: </w:t>
      </w:r>
      <w:r>
        <w:rPr>
          <w:sz w:val="19"/>
        </w:rPr>
        <w:t>Spanien, vergleichbares Hochschulsystem und Impfkalender.</w:t>
      </w:r>
    </w:p>
    <w:p>
      <w:r>
        <w:rPr>
          <w:color w:val="5A7D3A"/>
          <w:sz w:val="18"/>
        </w:rPr>
        <w:t>https://pubmed.ncbi.nlm.nih.gov/42501718/</w:t>
      </w:r>
    </w:p>
    <w:p>
      <w:pPr>
        <w:pStyle w:val="Heading2"/>
      </w:pPr>
      <w:r>
        <w:t>Catch-up-Impfquoten nach Beratung bei ukrainischen Kinderflüchtlingen in der Schweiz deutlich verbessert</w:t>
      </w:r>
    </w:p>
    <w:p>
      <w:r>
        <w:rPr>
          <w:i/>
          <w:color w:val="666666"/>
          <w:sz w:val="18"/>
        </w:rPr>
        <w:t>Vaezipour N et al.  ·  Eur J Pediatr  ·  23.07.2026  ·  PMID 42489737</w:t>
      </w:r>
    </w:p>
    <w:p>
      <w:r>
        <w:t>Retrospektive Kohortenstudie bei 517 ukrainischen Kinderflüchtlingen in fünf Schweizer Zentren zur Durchimpfung und Infektionsscreening.</w:t>
      </w:r>
    </w:p>
    <w:p>
      <w:r>
        <w:rPr>
          <w:b/>
        </w:rPr>
        <w:t xml:space="preserve">Ergebnis: </w:t>
      </w:r>
      <w:r>
        <w:t>Bei Ankunft 71–82% altersentsprechend geimpft gegen Masern, Diphtherie-Tetanus-Pertussis, Poliomyelitis und Haemophilus influenzae b; Hauptgrund für Lücken war Impfskepsis. Nach Impfberatung/Catch-up-Programme: 98% (509/517) vollständig geimpft. Infektionsscreening-Positivraten niedrig: HIV 2,7%, Hepatitis B 1,6%, Tuberkulose 1,0%.</w:t>
      </w:r>
    </w:p>
    <w:p>
      <w:r>
        <w:rPr>
          <w:b/>
          <w:sz w:val="19"/>
        </w:rPr>
        <w:t xml:space="preserve">Übertragbarkeit: </w:t>
      </w:r>
      <w:r>
        <w:rPr>
          <w:sz w:val="19"/>
        </w:rPr>
        <w:t>Schweiz, vergleichbares Versicherungssystem und Versorgungsauftrag.</w:t>
      </w:r>
    </w:p>
    <w:p>
      <w:r>
        <w:rPr>
          <w:color w:val="5A7D3A"/>
          <w:sz w:val="18"/>
        </w:rPr>
        <w:t>https://pubmed.ncbi.nlm.nih.gov/42489737/</w:t>
      </w:r>
    </w:p>
    <w:p>
      <w:pPr>
        <w:pStyle w:val="Heading2"/>
      </w:pPr>
      <w:r>
        <w:t>Impfdurchbrüche mit Pneumokokken-Serotyp 3 trotz hoher PCV13-Abdeckung bei Kindern</w:t>
      </w:r>
    </w:p>
    <w:p>
      <w:r>
        <w:rPr>
          <w:i/>
          <w:color w:val="666666"/>
          <w:sz w:val="18"/>
        </w:rPr>
        <w:t>Ciruela P et al.  ·  Vaccine  ·  13.08.2026  ·  PMID 42486053</w:t>
      </w:r>
    </w:p>
    <w:p>
      <w:r>
        <w:t>Retrospektive Beobachtungsstudie zu invasiven Pneumokokken-Erkrankungen bei 206 PCV13-geimpften Kindern in Katalonien 2018–2023 mit Impfquoten &gt;96%.</w:t>
      </w:r>
    </w:p>
    <w:p>
      <w:r>
        <w:rPr>
          <w:b/>
        </w:rPr>
        <w:t xml:space="preserve">Ergebnis: </w:t>
      </w:r>
      <w:r>
        <w:t>48,0% vollständig Geimpfter (n=177) zeigten Impfversagen, vorwiegend durch Serotyp 3 (84,7% der Fälle). Im Vergleich zur Vor-PCV13-Ära war der Schutz länger haltbar, aber der Anteil von Serotyp-3-Durchbrüchen blieb erheblich. Ausschluss von Serotyp 3 senkte die Impfversagensrate von 48,0% auf 12,4%.</w:t>
      </w:r>
    </w:p>
    <w:p>
      <w:r>
        <w:rPr>
          <w:b/>
          <w:sz w:val="19"/>
        </w:rPr>
        <w:t xml:space="preserve">Übertragbarkeit: </w:t>
      </w:r>
      <w:r>
        <w:rPr>
          <w:sz w:val="19"/>
        </w:rPr>
        <w:t>Spanien, vergleichbares Impfprogramm und Surveillance-System.</w:t>
      </w:r>
    </w:p>
    <w:p>
      <w:r>
        <w:rPr>
          <w:color w:val="5A7D3A"/>
          <w:sz w:val="18"/>
        </w:rPr>
        <w:t>https://pubmed.ncbi.nlm.nih.gov/42486053/</w:t>
      </w:r>
    </w:p>
    <w:p>
      <w:pPr>
        <w:pStyle w:val="Heading1"/>
      </w:pPr>
      <w:r>
        <w:t>Aufgenommen am 29.08.2026</w:t>
      </w:r>
    </w:p>
    <w:p>
      <w:pPr>
        <w:pStyle w:val="Heading2"/>
      </w:pPr>
      <w:r>
        <w:t>Dezentralisierte CAR-T-Zelltherapie: Phase-1-Sicherheit und Machbarkeit</w:t>
      </w:r>
    </w:p>
    <w:p>
      <w:r>
        <w:rPr>
          <w:i/>
          <w:color w:val="666666"/>
          <w:sz w:val="18"/>
        </w:rPr>
        <w:t>Kersten MJ et al.  ·  Lancet Haematol  ·  Sept. 2026  ·  PMID 42660131</w:t>
      </w:r>
    </w:p>
    <w:p>
      <w:r>
        <w:t>Phase-1-Dosis-Eskalationsstudie der dezentralisierten Fertigung von CD19-CAR-T-Zellen (GLPG5101) bei 24 Patienten mit rezidiviertem/refraktärem B-Zell-Non-Hodgkin-Lymphom in Niederlanden und Belgien (März 2022–September 2024).</w:t>
      </w:r>
    </w:p>
    <w:p>
      <w:r>
        <w:rPr>
          <w:b/>
        </w:rPr>
        <w:t xml:space="preserve">Ergebnis: </w:t>
      </w:r>
      <w:r>
        <w:t>Fünf dosislimitierende Toxizitäten berichtet: Grad-3-Thrombozytopenie (n=1), Tod durch intra-abdominale Blutung (n=1), Grad-4-Neutropenie (n=3). Vier therapiebedingte Todesfälle insgesamt. Empfohlene Phase-2-Dosis: 110 × 10⁶ (Bereich 50–110 × 10⁶) CAR⁺-T-Zellen. Studie zeigte Machbarkeit schneller dezentralisierter Fertigung und Lieferung.</w:t>
      </w:r>
    </w:p>
    <w:p>
      <w:r>
        <w:rPr>
          <w:b/>
          <w:sz w:val="19"/>
        </w:rPr>
        <w:t xml:space="preserve">Übertragbarkeit: </w:t>
      </w:r>
      <w:r>
        <w:rPr>
          <w:sz w:val="19"/>
        </w:rPr>
        <w:t>Niederlande/Belgien, dezentralisierte Herstellung lokal lösbar, aber CAR-T grundsätzlich komplexes spezialisiertes Therapieverfahren</w:t>
      </w:r>
    </w:p>
    <w:p>
      <w:r>
        <w:rPr>
          <w:color w:val="5A7D3A"/>
          <w:sz w:val="18"/>
        </w:rPr>
        <w:t>https://pubmed.ncbi.nlm.nih.gov/42660131/</w:t>
      </w:r>
    </w:p>
    <w:p>
      <w:pPr>
        <w:pStyle w:val="Heading2"/>
      </w:pPr>
      <w:r>
        <w:t>Pränatalintervention für Impfakzeptanz durch Bürgerbeteiligung entwickelt</w:t>
      </w:r>
    </w:p>
    <w:p>
      <w:r>
        <w:rPr>
          <w:i/>
          <w:color w:val="666666"/>
          <w:sz w:val="18"/>
        </w:rPr>
        <w:t>McCarron SA et al.  ·  Health Expect  ·  Aug. 2026  ·  PMID 42550057</w:t>
      </w:r>
    </w:p>
    <w:p>
      <w:r>
        <w:t>Partizipative Entwicklung einer Antenatalintervention zur Förderung der Impfakzeptanz in Nordirland mit Eltern, Patienten und Öffentlichkeit (Maternity Service Liaison Committee, Sure Start-Programme, aufsuchende Klinik für Ostriesische Gemeinde).</w:t>
      </w:r>
    </w:p>
    <w:p>
      <w:r>
        <w:rPr>
          <w:b/>
        </w:rPr>
        <w:t xml:space="preserve">Ergebnis: </w:t>
      </w:r>
      <w:r>
        <w:t>Input von Eltern und Gemeindevertreter prägte Inhalt, Timing und Präsentation der Impfinformation. Wichtigste Erkenntnisse: klare, einfache Sprachinformation früh in der Schwangerschaft erforderlich, Informationen müssen an verschiedene Bedürfnisse zugeschnitten werden. Vertrauen in etablierte Netzwerke unterstützte Engagement mit unterrepräsentierten Gruppen.</w:t>
      </w:r>
    </w:p>
    <w:p>
      <w:r>
        <w:rPr>
          <w:b/>
          <w:sz w:val="19"/>
        </w:rPr>
        <w:t xml:space="preserve">Übertragbarkeit: </w:t>
      </w:r>
      <w:r>
        <w:rPr>
          <w:sz w:val="19"/>
        </w:rPr>
        <w:t>UK-System; Methode der Bürgerbeteiligung übertragbar, aber Antenatalstrukturen unterscheiden sich</w:t>
      </w:r>
    </w:p>
    <w:p>
      <w:r>
        <w:rPr>
          <w:color w:val="5A7D3A"/>
          <w:sz w:val="18"/>
        </w:rPr>
        <w:t>https://pubmed.ncbi.nlm.nih.gov/42550057/</w:t>
      </w:r>
    </w:p>
    <w:p>
      <w:pPr>
        <w:pStyle w:val="Heading2"/>
      </w:pPr>
      <w:r>
        <w:t>Mpox-Impfstoff Jynneos: Sicherheitsprofil während Ausbruch in Deutschland bestätigt</w:t>
      </w:r>
    </w:p>
    <w:p>
      <w:r>
        <w:rPr>
          <w:i/>
          <w:color w:val="666666"/>
          <w:sz w:val="18"/>
        </w:rPr>
        <w:t>Oberle D et al.  ·  Euro Surveill  ·  Juli 2026  ·  PMID 42535289</w:t>
      </w:r>
    </w:p>
    <w:p>
      <w:r>
        <w:t>Überwachung unerwünschter Ereignisse nach MVA-BN-Impfung gegen Mpox in Deutschland Juni 2022 bis Februar 2024 bei 78.739 verabreichten Dosen.</w:t>
      </w:r>
    </w:p>
    <w:p>
      <w:r>
        <w:rPr>
          <w:b/>
        </w:rPr>
        <w:t xml:space="preserve">Ergebnis: </w:t>
      </w:r>
      <w:r>
        <w:t>32 Einzelfallberichte wurden identifiziert, davon 7 schwerwiegend; 87 unerwünschte Ereignisse insgesamt gemeldet (98,7 pro 100.000 Dosen adjustiert). Das Sicherheitsprofil entsprach der Produktcharakterisierung; keine neuen Sicherheitssignale wurden identifiziert. Lokale und systemische Reaktionen waren überwiegend mild bis moderat.</w:t>
      </w:r>
    </w:p>
    <w:p>
      <w:r>
        <w:rPr>
          <w:b/>
          <w:sz w:val="19"/>
        </w:rPr>
        <w:t xml:space="preserve">Übertragbarkeit: </w:t>
      </w:r>
      <w:r>
        <w:rPr>
          <w:sz w:val="19"/>
        </w:rPr>
        <w:t>Deutschland, eigenes Surveillancesystem, direkt übertragbar</w:t>
      </w:r>
    </w:p>
    <w:p>
      <w:r>
        <w:rPr>
          <w:color w:val="5A7D3A"/>
          <w:sz w:val="18"/>
        </w:rPr>
        <w:t>https://pubmed.ncbi.nlm.nih.gov/42535289/</w:t>
      </w:r>
    </w:p>
    <w:p>
      <w:pPr>
        <w:pStyle w:val="Heading2"/>
      </w:pPr>
      <w:r>
        <w:t>Determinanten der Influenza- und COVID-19-Impfquoten bei Hochrisikopatienten</w:t>
      </w:r>
    </w:p>
    <w:p>
      <w:r>
        <w:rPr>
          <w:i/>
          <w:color w:val="666666"/>
          <w:sz w:val="18"/>
        </w:rPr>
        <w:t>Grape L et al.  ·  Hum Vaccin Immunother  ·  28.07.2026  ·  PMID 42518305</w:t>
      </w:r>
    </w:p>
    <w:p>
      <w:r>
        <w:t>Querschnittsstudie mit semistandardisierten Interviews und Patientenakten bei 600 Notaufnahme-Patienten in Nordschweden zur Identifikation von Impfquoten und Barrieren bei Hochrisikogruppen.</w:t>
      </w:r>
    </w:p>
    <w:p>
      <w:r>
        <w:rPr>
          <w:b/>
        </w:rPr>
        <w:t xml:space="preserve">Ergebnis: </w:t>
      </w:r>
      <w:r>
        <w:t>Quote unter berechtigten Personen: 52,0% für Influenza, 54,2% für COVID-19. Koinfektion beider Impfstoffe hoch (aOR 55,33). Männliches Geschlecht (aOR 0,57), jüngeres Alter (aOR 0,50), Rauchen (aOR 0,43) und nur altersbasierte Berechtigung (aOR 0,41) waren mit niedriger Impfakzeptanz assoziiert. Gemeindeebene-Determinanten zeigten wenig Einfluss.</w:t>
      </w:r>
    </w:p>
    <w:p>
      <w:r>
        <w:rPr>
          <w:b/>
          <w:sz w:val="19"/>
        </w:rPr>
        <w:t xml:space="preserve">Übertragbarkeit: </w:t>
      </w:r>
      <w:r>
        <w:rPr>
          <w:sz w:val="19"/>
        </w:rPr>
        <w:t>Skandinavien, deutsches Versicherungssystem ähnlich, aber Datenquellen und Populationsmerkmale unterscheiden sich</w:t>
      </w:r>
    </w:p>
    <w:p>
      <w:r>
        <w:rPr>
          <w:color w:val="5A7D3A"/>
          <w:sz w:val="18"/>
        </w:rPr>
        <w:t>https://pubmed.ncbi.nlm.nih.gov/42518305/</w:t>
      </w:r>
    </w:p>
    <w:p>
      <w:pPr>
        <w:pStyle w:val="Heading2"/>
      </w:pPr>
      <w:r>
        <w:t>Null-Dosis-Kinder in Madagaskar identifizieren und erreichen</w:t>
      </w:r>
    </w:p>
    <w:p>
      <w:r>
        <w:rPr>
          <w:i/>
          <w:color w:val="666666"/>
          <w:sz w:val="18"/>
        </w:rPr>
        <w:t>Muller N et al.  ·  Bull World Health Organ  ·  01.08.2026  ·  PMID 42516117</w:t>
      </w:r>
    </w:p>
    <w:p>
      <w:r>
        <w:t>Gemeindegestützte Erhebung zur Ermittlung von Kindern ohne DTP-Impfdokumentation in 16 südmadagassischen Distrikten (August 2024–Juni 2025) mit 3.975 ausgebildeten Gemeindegesundheitshelfern und digitalen Werkzeugen.</w:t>
      </w:r>
    </w:p>
    <w:p>
      <w:r>
        <w:rPr>
          <w:b/>
        </w:rPr>
        <w:t xml:space="preserve">Ergebnis: </w:t>
      </w:r>
      <w:r>
        <w:t>81% der fokontanys (3.538/4.347) aktualisierten Register. Von 368.227 erfassten Kindern unter 5 Jahren hatten 58% (213.173) keine dokumentierte DTP-Dosis. Distriktweite Prävalenz von Null-Dosis-Kindern lag zwischen 25% und 86%. 42.700 Null-Dosis-Kinder wurden mit DTP geimpft und übertrafen Programmziel vorzeitig.</w:t>
      </w:r>
    </w:p>
    <w:p>
      <w:r>
        <w:rPr>
          <w:b/>
          <w:sz w:val="19"/>
        </w:rPr>
        <w:t xml:space="preserve">Übertragbarkeit: </w:t>
      </w:r>
      <w:r>
        <w:rPr>
          <w:sz w:val="19"/>
        </w:rPr>
        <w:t>Afrikanisches Setting; Digitale Hilfsmittel und Community-Engagement lokal anpassbar, aber Registrierungsinfrastruktur grundverschieden von Deutschland</w:t>
      </w:r>
    </w:p>
    <w:p>
      <w:r>
        <w:rPr>
          <w:color w:val="5A7D3A"/>
          <w:sz w:val="18"/>
        </w:rPr>
        <w:t>https://pubmed.ncbi.nlm.nih.gov/42516117/</w:t>
      </w:r>
    </w:p>
    <w:p>
      <w:pPr>
        <w:pStyle w:val="Heading2"/>
      </w:pPr>
      <w:r>
        <w:t>Impfskepsis im Kriegsgebiet Ukraine: Verhaltensmodellierung von Umfragedaten</w:t>
      </w:r>
    </w:p>
    <w:p>
      <w:r>
        <w:rPr>
          <w:i/>
          <w:color w:val="666666"/>
          <w:sz w:val="18"/>
        </w:rPr>
        <w:t>Naeem A et al.  ·  Health Policy  ·  17.07.2026  ·  PMID 42508188</w:t>
      </w:r>
    </w:p>
    <w:p>
      <w:r>
        <w:t>Agent-basierte Modellierung (ABM) von Impfverhalten in der konfliktbetroffenen Ukraine basierend auf Querschnittsbefragung in 557 Hromadas unter laufendem Krieg; Simulation der Wechselwirkung zwischen Verhaltens-, Struktur- und Sozialvariablen.</w:t>
      </w:r>
    </w:p>
    <w:p>
      <w:r>
        <w:rPr>
          <w:b/>
        </w:rPr>
        <w:t xml:space="preserve">Ergebnis: </w:t>
      </w:r>
      <w:r>
        <w:t>ABM zeigte, dass Impfakzeptanz durch Wechselspiel von Zugangsbarrieren und Peereinfluss gesteuert wird. Glaubenswechsel erreichten 88%; Vakzinierungsquote stieg um 3–15% durch Zugangsbeseitigung. Peer-Dynamiken erhöhten Impfquoten auf 69–89%. Peer-Konformität war dominanter Treiber, was auf Kollektivmechanismus zwischen Sozialsteckung und Verhaltensadoption hindeutet.</w:t>
      </w:r>
    </w:p>
    <w:p>
      <w:r>
        <w:rPr>
          <w:b/>
          <w:sz w:val="19"/>
        </w:rPr>
        <w:t xml:space="preserve">Übertragbarkeit: </w:t>
      </w:r>
      <w:r>
        <w:rPr>
          <w:sz w:val="19"/>
        </w:rPr>
        <w:t>Konfliktzone, begrenzt auf Kriegssituationen übertragbar; Methodologie der Verhaltensmodellierung relevant</w:t>
      </w:r>
    </w:p>
    <w:p>
      <w:r>
        <w:rPr>
          <w:color w:val="5A7D3A"/>
          <w:sz w:val="18"/>
        </w:rPr>
        <w:t>https://pubmed.ncbi.nlm.nih.gov/42508188/</w:t>
      </w:r>
    </w:p>
    <w:p>
      <w:pPr>
        <w:pStyle w:val="Heading2"/>
      </w:pPr>
      <w:r>
        <w:t>XBB.1.5-Impfstoff gegen schwere COVID-19 bei immungeschwächten Erwachsenen</w:t>
      </w:r>
    </w:p>
    <w:p>
      <w:r>
        <w:rPr>
          <w:i/>
          <w:color w:val="666666"/>
          <w:sz w:val="18"/>
        </w:rPr>
        <w:t>Blake A et al.  ·  Expert Rev Vaccines  ·  31.12.2026  ·  PMID 42504085</w:t>
      </w:r>
    </w:p>
    <w:p>
      <w:r>
        <w:t>Retrospektive multländer-Kohortenstudie mit elektronischen Gesundheitsakten in Belgien, Dänemark, Italien, Portugal, Spanien (Navarra) und Schweden zur Wirksamkeit des angepassten XBB.1.5-Impfstoffs gegen Hospitalisierung und Tod bei Immungeschwächten (ICPs).</w:t>
      </w:r>
    </w:p>
    <w:p>
      <w:r>
        <w:rPr>
          <w:b/>
        </w:rPr>
        <w:t xml:space="preserve">Ergebnis: </w:t>
      </w:r>
      <w:r>
        <w:t>XBB.1.5-Impfstoffwirksamkeit (VE) betrug 52% (95%-KI 41–60) gegen Hospitalisierung und 75% (95%-KI 60–84) gegen Tod in den ersten 14–59 Tagen nach Impfung. VE nahm mit zeitlichem Abstand ab; kein Schutz mehr nach 180–365 Tagen. Moderate Schutzwirkung innerhalb von 120 Tagen beobachtet.</w:t>
      </w:r>
    </w:p>
    <w:p>
      <w:r>
        <w:rPr>
          <w:b/>
          <w:sz w:val="19"/>
        </w:rPr>
        <w:t xml:space="preserve">Übertragbarkeit: </w:t>
      </w:r>
      <w:r>
        <w:rPr>
          <w:sz w:val="19"/>
        </w:rPr>
        <w:t>Europäische EHR-Netzwerk; vergleichbare Gesundheitssysteme (Belgien, Dänemark, Schweden, südliche EU)</w:t>
      </w:r>
    </w:p>
    <w:p>
      <w:r>
        <w:rPr>
          <w:color w:val="5A7D3A"/>
          <w:sz w:val="18"/>
        </w:rPr>
        <w:t>https://pubmed.ncbi.nlm.nih.gov/42504085/</w:t>
      </w:r>
    </w:p>
    <w:p>
      <w:pPr>
        <w:pStyle w:val="Heading1"/>
      </w:pPr>
      <w:r>
        <w:t>Aufgenommen am 28.08.2026</w:t>
      </w:r>
    </w:p>
    <w:p>
      <w:pPr>
        <w:pStyle w:val="Heading2"/>
      </w:pPr>
      <w:r>
        <w:t>Influenza-Impfung reduziert Todesfälle bei hospitalisiertem älteren Alter</w:t>
      </w:r>
    </w:p>
    <w:p>
      <w:r>
        <w:rPr>
          <w:i/>
          <w:color w:val="666666"/>
          <w:sz w:val="18"/>
        </w:rPr>
        <w:t>Marques DFP et al.  ·  Expert Rev Vaccines  ·  27.08.2026  ·  PMID 42657682</w:t>
      </w:r>
    </w:p>
    <w:p>
      <w:r>
        <w:t>Retrospektive Kohortenstudie aus dem europäischen I-MOVE-Netzwerk untersuchte die Assoziation zwischen Influenza-Impfung und schweren Outcomes bei ≥65-jährigen mit laborbestätigter Influenza (2015/16–2024/25).</w:t>
      </w:r>
    </w:p>
    <w:p>
      <w:r>
        <w:rPr>
          <w:b/>
        </w:rPr>
        <w:t xml:space="preserve">Ergebnis: </w:t>
      </w:r>
      <w:r>
        <w:t>Bei 4.257 Patienten zeigte Impfung wenig Assoziation mit ICU-Aufnahmen (RRR 11 %, 95% CI: -21–34), aber war mit 26-prozentiger Reduktion der Todesfälle während Hospitalisierung assoziiert (95% CI: 3–43). In der älteren Gruppe ≥80 Jahre betrug die Reduktion der In-Hospital-Mortalität 29%.</w:t>
      </w:r>
    </w:p>
    <w:p>
      <w:r>
        <w:rPr>
          <w:b/>
          <w:sz w:val="19"/>
        </w:rPr>
        <w:t xml:space="preserve">Übertragbarkeit: </w:t>
      </w:r>
      <w:r>
        <w:rPr>
          <w:sz w:val="19"/>
        </w:rPr>
        <w:t>Europäische Klinikdaten, vergleichbare Dokumentationspflichten, direkt auf Deutschland übertragbar.</w:t>
      </w:r>
    </w:p>
    <w:p>
      <w:r>
        <w:rPr>
          <w:color w:val="5A7D3A"/>
          <w:sz w:val="18"/>
        </w:rPr>
        <w:t>https://pubmed.ncbi.nlm.nih.gov/42657682/</w:t>
      </w:r>
    </w:p>
    <w:p>
      <w:pPr>
        <w:pStyle w:val="Heading2"/>
      </w:pPr>
      <w:r>
        <w:t>Unregistrierte Migranten-Kinder unterimpft: Rechtszugang ist zentral</w:t>
      </w:r>
    </w:p>
    <w:p>
      <w:r>
        <w:rPr>
          <w:i/>
          <w:color w:val="666666"/>
          <w:sz w:val="18"/>
        </w:rPr>
        <w:t>Oo SM et al.  ·  Med Sci (Basel)  ·  02.08.2026  ·  PMID 42646586</w:t>
      </w:r>
    </w:p>
    <w:p>
      <w:r>
        <w:t>Querschnittstudie mit 423 burmesischen Migrantenkinder unter 7 Jahren in Nord-Thailand; Faktoren für unvollständige Impfungen wurden gemessen (2025).</w:t>
      </w:r>
    </w:p>
    <w:p>
      <w:r>
        <w:rPr>
          <w:b/>
        </w:rPr>
        <w:t xml:space="preserve">Ergebnis: </w:t>
      </w:r>
      <w:r>
        <w:t>21,5 % waren unterimpft. Unabhängige Risikofaktoren: Fehlen von Geburtsregistrierung (aOR 9,52, 95% CI 3,74–24,27), fehlende Krankenversicherung (aOR 14,03, 95% CI 6,45–30,54), Rückkehr-Migration (aOR 19,05, 95% CI 8,48–44,13), Zeitbarrieren (aOR 4,09, 95% CI 1,20–13,94) und finanzielle Barrieren (aOR 7,07, 95% CI 1,67–29,91).</w:t>
      </w:r>
    </w:p>
    <w:p>
      <w:r>
        <w:rPr>
          <w:b/>
          <w:sz w:val="19"/>
        </w:rPr>
        <w:t xml:space="preserve">Übertragbarkeit: </w:t>
      </w:r>
      <w:r>
        <w:rPr>
          <w:sz w:val="19"/>
        </w:rPr>
        <w:t>Thailand; zeigt strukturelle Hürden bei Migranten; relevante Erkenntnisse für Deutschland bei Flucht und Asyl.</w:t>
      </w:r>
    </w:p>
    <w:p>
      <w:r>
        <w:rPr>
          <w:color w:val="5A7D3A"/>
          <w:sz w:val="18"/>
        </w:rPr>
        <w:t>https://pubmed.ncbi.nlm.nih.gov/42646586/</w:t>
      </w:r>
    </w:p>
    <w:p>
      <w:pPr>
        <w:pStyle w:val="Heading2"/>
      </w:pPr>
      <w:r>
        <w:t>Impfskepsis ist stärkste Barriere in fragiler Lage: Somaliisches Feldbeispiel</w:t>
      </w:r>
    </w:p>
    <w:p>
      <w:r>
        <w:rPr>
          <w:i/>
          <w:color w:val="666666"/>
          <w:sz w:val="18"/>
        </w:rPr>
        <w:t>Abdi MS et al.  ·  Front Public Health  ·  11.08.2026  ·  PMID 42643472</w:t>
      </w:r>
    </w:p>
    <w:p>
      <w:r>
        <w:t>Querschnittsbefragung von 384 Betreuungspersonen in IDP-Lagern in Mogadischu nach Diphtherie-Impfkampagne; Einflussfaktoren auf Durchimpfung wurden geprüft (2026).</w:t>
      </w:r>
    </w:p>
    <w:p>
      <w:r>
        <w:rPr>
          <w:b/>
        </w:rPr>
        <w:t xml:space="preserve">Ergebnis: </w:t>
      </w:r>
      <w:r>
        <w:t>Gesamte Impfquote 57,6 %. Höhere Impfbedenken-Scores (Vaccine Safety Concern Scale) waren mit deutlich niedrigerem Impfrisiko assoziiert (aOR 0,72, 95% CI 0,57–0,90). Schulbildung der Eltern, Vertrauen in Gesundheitsarbeiter und wahrgenommener Zugang waren nicht signifikant assoziiert.</w:t>
      </w:r>
    </w:p>
    <w:p>
      <w:r>
        <w:rPr>
          <w:b/>
          <w:sz w:val="19"/>
        </w:rPr>
        <w:t xml:space="preserve">Übertragbarkeit: </w:t>
      </w:r>
      <w:r>
        <w:rPr>
          <w:sz w:val="19"/>
        </w:rPr>
        <w:t>Somaliisch; zeigt, dass Sicherheitsbedenken auch bei fragilen Populationen zentral sind; Lernpunkte für Notfall-Impfkampagnen.</w:t>
      </w:r>
    </w:p>
    <w:p>
      <w:r>
        <w:rPr>
          <w:color w:val="5A7D3A"/>
          <w:sz w:val="18"/>
        </w:rPr>
        <w:t>https://pubmed.ncbi.nlm.nih.gov/42643472/</w:t>
      </w:r>
    </w:p>
    <w:p>
      <w:pPr>
        <w:pStyle w:val="Heading2"/>
      </w:pPr>
      <w:r>
        <w:t>Gesunde-Impfling-Effekt bei COVID-19-Vakzine in älteren Gruppen</w:t>
      </w:r>
    </w:p>
    <w:p>
      <w:r>
        <w:rPr>
          <w:i/>
          <w:color w:val="666666"/>
          <w:sz w:val="18"/>
        </w:rPr>
        <w:t>Lyth J et al.  ·  Nat Commun  ·  08.08.2026  ·  PMID 42570961</w:t>
      </w:r>
    </w:p>
    <w:p>
      <w:r>
        <w:t>Schwedenweite Kohortenstudie in Bevölkerung ≥65 Jahren untersuchte die Effektivität der 2024–2025 JN.1-adaptierten COVID-19-Vakzine gegen Hospitalisierung und als Negativkontrolle All-Cause-Mortalität (N=245.696, Oktober 2024–März 2025).</w:t>
      </w:r>
    </w:p>
    <w:p>
      <w:r>
        <w:rPr>
          <w:b/>
        </w:rPr>
        <w:t xml:space="preserve">Ergebnis: </w:t>
      </w:r>
      <w:r>
        <w:t>VE gegen COVID-Hospitalisierung 75 % (95% CI 70–79 %), bei Vorimpfung 2023–24 sogar 84 % (95% CI 80–87 %). Kritisch: All-Cause-Mortalität (Negativkontrolle) war in der geimpften Gruppe um 57 % niedriger (HR 0,43, 95% CI 0,40–0,45), was auf Selektionseffekte durch Frailty hindeutet.</w:t>
      </w:r>
    </w:p>
    <w:p>
      <w:r>
        <w:rPr>
          <w:b/>
          <w:sz w:val="19"/>
        </w:rPr>
        <w:t xml:space="preserve">Übertragbarkeit: </w:t>
      </w:r>
      <w:r>
        <w:rPr>
          <w:sz w:val="19"/>
        </w:rPr>
        <w:t>Skandinavisch, vergleichbares Versorgungssystem; Befund zu Selektionsverzerrung universell relevant.</w:t>
      </w:r>
    </w:p>
    <w:p>
      <w:r>
        <w:rPr>
          <w:color w:val="5A7D3A"/>
          <w:sz w:val="18"/>
        </w:rPr>
        <w:t>https://pubmed.ncbi.nlm.nih.gov/42570961/</w:t>
      </w:r>
    </w:p>
    <w:p>
      <w:pPr>
        <w:pStyle w:val="Heading2"/>
      </w:pPr>
      <w:r>
        <w:t>Schulungskurs verbessert Wissen von Apothekern zur Impfung</w:t>
      </w:r>
    </w:p>
    <w:p>
      <w:r>
        <w:rPr>
          <w:i/>
          <w:color w:val="666666"/>
          <w:sz w:val="18"/>
        </w:rPr>
        <w:t>Waszkiewicz M et al.  ·  Med Sci Monit  ·  05.08.2026  ·  PMID 42552681</w:t>
      </w:r>
    </w:p>
    <w:p>
      <w:r>
        <w:t>Pre-post-Studie in Polen evaluierte Wissenszuwachs bei Apothekern nach Fortbildung zur Influenza- und Pneumokokken-Impfung (Februar 2024–Juli 2025).</w:t>
      </w:r>
    </w:p>
    <w:p>
      <w:r>
        <w:rPr>
          <w:b/>
        </w:rPr>
        <w:t xml:space="preserve">Ergebnis: </w:t>
      </w:r>
      <w:r>
        <w:t>Unter 327 Absolventen stieg das Testscore signifikant um 4,7 Punkte (Mdiff = –4,67, 95% CI: –4,99 bis –4,34, d = 1,55, p &lt; 0,001). Das entspricht ca. 23 % der maximalen Testscore-Steigerung und wurde als großer Effekt beurteilt.</w:t>
      </w:r>
    </w:p>
    <w:p>
      <w:r>
        <w:rPr>
          <w:b/>
          <w:sz w:val="19"/>
        </w:rPr>
        <w:t xml:space="preserve">Übertragbarkeit: </w:t>
      </w:r>
      <w:r>
        <w:rPr>
          <w:sz w:val="19"/>
        </w:rPr>
        <w:t>Polen hat Apothekern 2024 Impfkompetenz übertragen; strukturiertes Angebot seit kurzem auch in Deutschland möglich.</w:t>
      </w:r>
    </w:p>
    <w:p>
      <w:r>
        <w:rPr>
          <w:color w:val="5A7D3A"/>
          <w:sz w:val="18"/>
        </w:rPr>
        <w:t>https://pubmed.ncbi.nlm.nih.gov/42552681/</w:t>
      </w:r>
    </w:p>
    <w:p>
      <w:pPr>
        <w:pStyle w:val="Heading2"/>
      </w:pPr>
      <w:r>
        <w:t>Schulkrankenschwestern unterverimpfter Gemeinden: HPV-Impfung braucht Systemunterstützung</w:t>
      </w:r>
    </w:p>
    <w:p>
      <w:r>
        <w:rPr>
          <w:i/>
          <w:color w:val="666666"/>
          <w:sz w:val="18"/>
        </w:rPr>
        <w:t>Avermark H et al.  ·  Hum Vaccin Immunother  ·  29.07.2026  ·  PMID 42527395</w:t>
      </w:r>
    </w:p>
    <w:p>
      <w:r>
        <w:t>Qualitative Studie mit 21 Interviews von Schulkrankenschwestern in unterversorgten Stockholmer Stadtteilen zur HPV-Impfung von Jugendlichen (Juni–November 2024).</w:t>
      </w:r>
    </w:p>
    <w:p>
      <w:r>
        <w:rPr>
          <w:b/>
        </w:rPr>
        <w:t xml:space="preserve">Ergebnis: </w:t>
      </w:r>
      <w:r>
        <w:t>Drei Themen: (1) Schulkrankenschwestern tragen HPV-Impfung allein, ohne institutionelle Unterstützung; (2) Duale Verantwortung zwischen Einzelbetreuung und Public Health schafft Rollenkonflikte; (3) Schwierigkeit im Umgang mit Tabuisierung von HPV und Sexualität. Hohe Arbeitsbelastung und normative Vorstellungen zu Sex behindern Uptake.</w:t>
      </w:r>
    </w:p>
    <w:p>
      <w:r>
        <w:rPr>
          <w:b/>
          <w:sz w:val="19"/>
        </w:rPr>
        <w:t xml:space="preserve">Übertragbarkeit: </w:t>
      </w:r>
      <w:r>
        <w:rPr>
          <w:sz w:val="19"/>
        </w:rPr>
        <w:t>Schweden, ähnliches Schulsystem und Impfprogramm; zeigt Systemdefizite bei dezentraler HPV-Angebotsumsetzung.</w:t>
      </w:r>
    </w:p>
    <w:p>
      <w:r>
        <w:rPr>
          <w:color w:val="5A7D3A"/>
          <w:sz w:val="18"/>
        </w:rPr>
        <w:t>https://pubmed.ncbi.nlm.nih.gov/42527395/</w:t>
      </w:r>
    </w:p>
    <w:p>
      <w:pPr>
        <w:pStyle w:val="Heading1"/>
      </w:pPr>
      <w:r>
        <w:t>Aufgenommen am 27.08.2026</w:t>
      </w:r>
    </w:p>
    <w:p>
      <w:pPr>
        <w:pStyle w:val="Heading2"/>
      </w:pPr>
      <w:r>
        <w:t>Finnlands zentrales Impfsystem erreicht hohe Quoten, kämpft aber mit Eigenverantwortung und Chancengerechtigkeit</w:t>
      </w:r>
    </w:p>
    <w:p>
      <w:r>
        <w:rPr>
          <w:i/>
          <w:color w:val="666666"/>
          <w:sz w:val="18"/>
        </w:rPr>
        <w:t>Pattyn J et al.  ·  Hum Vaccin Immunother  ·  26.08.2026  ·  PMID 42647143</w:t>
      </w:r>
    </w:p>
    <w:p>
      <w:r>
        <w:t>Eine strukturierte Literaturanalyse mit Experteneingaben beschrieb Finnlands National Vaccination Program (NVP) für Erwachsene, seine Stärken und Hürden.</w:t>
      </w:r>
    </w:p>
    <w:p>
      <w:r>
        <w:rPr>
          <w:b/>
        </w:rPr>
        <w:t xml:space="preserve">Ergebnis: </w:t>
      </w:r>
      <w:r>
        <w:t>Finnlands zentralisiertes, kostenlos bereitgestelltes NVP mit Bevölkerungsregistern erlaubt präzise Monitoring von Abdeckung, Sicherheit und Wirkung. Herausforderungen: Impfung ist individuelle Verantwortung (Compliance-Problem), Kosten für nicht-NVP-Impfstoffe erzeugen Ungleichheit, Impfvertrauen leicht rückläufig. Die CUBE wurde gegründet, um Verhaltensbarrieren zu verstehen.</w:t>
      </w:r>
    </w:p>
    <w:p>
      <w:r>
        <w:rPr>
          <w:b/>
          <w:sz w:val="19"/>
        </w:rPr>
        <w:t xml:space="preserve">Übertragbarkeit: </w:t>
      </w:r>
      <w:r>
        <w:rPr>
          <w:sz w:val="19"/>
        </w:rPr>
        <w:t>skandinavisch mit Impfregister; zeigt Möglichkeiten und Limits zentralisierter Systeme.</w:t>
      </w:r>
    </w:p>
    <w:p>
      <w:r>
        <w:rPr>
          <w:color w:val="5A7D3A"/>
          <w:sz w:val="18"/>
        </w:rPr>
        <w:t>https://pubmed.ncbi.nlm.nih.gov/42647143/</w:t>
      </w:r>
    </w:p>
    <w:p>
      <w:pPr>
        <w:pStyle w:val="Heading2"/>
      </w:pPr>
      <w:r>
        <w:t>HPV-Wissen und Vertrauen in Gesundheitsbehörden prägen Impfbereitschaft in Rumänien</w:t>
      </w:r>
    </w:p>
    <w:p>
      <w:r>
        <w:rPr>
          <w:i/>
          <w:color w:val="666666"/>
          <w:sz w:val="18"/>
        </w:rPr>
        <w:t>Nati ID et al.  ·  Med Sci (Basel)  ·  25.07.2026  ·  PMID 42646566</w:t>
      </w:r>
    </w:p>
    <w:p>
      <w:r>
        <w:t>Eine rumänische Querschnittsumfrage untersuchte kognitive und institutionelle Faktoren für HPV-Impfbereitschaft bei erwachsenen Frauen.</w:t>
      </w:r>
    </w:p>
    <w:p>
      <w:r>
        <w:rPr>
          <w:b/>
        </w:rPr>
        <w:t xml:space="preserve">Ergebnis: </w:t>
      </w:r>
      <w:r>
        <w:t>Unter 368 Befragten lag die Impfquote nur bei 28,6 %. Hohes HPV-Wissen korrelierte mit Impfbereitschaft (p=0,001), ebenso Vertrauen in Behörden. Digitale Fehlinformation zeigte schwachen negativen Zusammenhang mit Wissen, beeinflusste aber Impfbereitschaft nicht direkt. Die Autoren empfehlen Übergang von optionalem zu aktivem Angebot (Opt-out-Modell).</w:t>
      </w:r>
    </w:p>
    <w:p>
      <w:r>
        <w:rPr>
          <w:b/>
          <w:sz w:val="19"/>
        </w:rPr>
        <w:t xml:space="preserve">Übertragbarkeit: </w:t>
      </w:r>
      <w:r>
        <w:rPr>
          <w:sz w:val="19"/>
        </w:rPr>
        <w:t>Süd-/Osteuropa mit ähnlicher administrativer Struktur; zeigt Wirkung von Vertrauen und Struktur.</w:t>
      </w:r>
    </w:p>
    <w:p>
      <w:r>
        <w:rPr>
          <w:color w:val="5A7D3A"/>
          <w:sz w:val="18"/>
        </w:rPr>
        <w:t>https://pubmed.ncbi.nlm.nih.gov/42646566/</w:t>
      </w:r>
    </w:p>
    <w:p>
      <w:pPr>
        <w:pStyle w:val="Heading2"/>
      </w:pPr>
      <w:r>
        <w:t>Lesbarer Weblink in digitalen Impfeinladungen erhöht Vertrauen und Buchungsbereitschaft</w:t>
      </w:r>
    </w:p>
    <w:p>
      <w:r>
        <w:rPr>
          <w:i/>
          <w:color w:val="666666"/>
          <w:sz w:val="18"/>
        </w:rPr>
        <w:t>Oakley CM et al.  ·  J Med Internet Res  ·  25.08.2026  ·  PMID 42640841</w:t>
      </w:r>
    </w:p>
    <w:p>
      <w:r>
        <w:t>Drei randomisierte Onlinestudien mit britischen Teilnehmern testeten, wie das Design von Web-Links in digitalen COVID-19-Impfeinladungen Vertrauen und Buchungsbereitschaft beeinflusst.</w:t>
      </w:r>
    </w:p>
    <w:p>
      <w:r>
        <w:rPr>
          <w:b/>
        </w:rPr>
        <w:t xml:space="preserve">Ergebnis: </w:t>
      </w:r>
      <w:r>
        <w:t>Im Kontrollarm (komplizierter Link) waren 63 % unsicher oder unwillig, ihn zu nutzen. Ein klarer Link (‚vaccine-booking.nhs.uk') verbesserte das Vertrauen (β=0,26 in Exp.1, β=0,24 in Exp.3), ebenso ein Text-eingebetteter Link (β=0,18 in Exp.2, β=0,17 in Exp.3). Ein verkürzter Link brachte keinen Gewinn. Einfache, erkennbare Links erhöhten Buchungsintention über verbessertes Vertrauen und Host-Erkennung.</w:t>
      </w:r>
    </w:p>
    <w:p>
      <w:r>
        <w:rPr>
          <w:b/>
          <w:sz w:val="19"/>
        </w:rPr>
        <w:t xml:space="preserve">Übertragbarkeit: </w:t>
      </w:r>
      <w:r>
        <w:rPr>
          <w:sz w:val="19"/>
        </w:rPr>
        <w:t>Großbritannien; einfache Designprinzipien auch für deutsches Portal- und E-Mail-System anwendbar.</w:t>
      </w:r>
    </w:p>
    <w:p>
      <w:r>
        <w:rPr>
          <w:color w:val="5A7D3A"/>
          <w:sz w:val="18"/>
        </w:rPr>
        <w:t>https://pubmed.ncbi.nlm.nih.gov/42640841/</w:t>
      </w:r>
    </w:p>
    <w:p>
      <w:pPr>
        <w:pStyle w:val="Heading2"/>
      </w:pPr>
      <w:r>
        <w:t>Schwere Nebenwirkungen nach COVID-19-Auffrischung vermindern die Bereitschaft zur erneuten Impfung</w:t>
      </w:r>
    </w:p>
    <w:p>
      <w:r>
        <w:rPr>
          <w:i/>
          <w:color w:val="666666"/>
          <w:sz w:val="18"/>
        </w:rPr>
        <w:t>Huiberts AJ et al.  ·  Vaccine  ·  17.09.2026  ·  PMID 42603508</w:t>
      </w:r>
    </w:p>
    <w:p>
      <w:r>
        <w:t>Eine niederländische Kohortenstudie untersuchte, ob das Auftreten und die Schwere von Nebenwirkungen nach COVID-19-Auffrischimpfungen die Bereitschaft zur Impfung im Folgejahr beeinflussen.</w:t>
      </w:r>
    </w:p>
    <w:p>
      <w:r>
        <w:rPr>
          <w:b/>
        </w:rPr>
        <w:t xml:space="preserve">Ergebnis: </w:t>
      </w:r>
      <w:r>
        <w:t>Von 11.010 Geimpften (2022) waren 73,7 % im nächsten Jahr erneut geimpft. Systémische Nebenwirkungen 2022 waren mit niedrigerem Risiko für Wiederimpfung 2023 verbunden (OR 0,84, 95%-KI 0,76–0,93), besonders bei mittleren (OR 0,79) oder schweren Ereignissen (OR 0,45) sowie Dauer &gt;5 Tagen (OR 0,72). Das Muster wiederholte sich für 2024. Dies zeigt, dass direkte Erfahrungen mit Nebenwirkungen künftige Impfbereitschaft senken.</w:t>
      </w:r>
    </w:p>
    <w:p>
      <w:r>
        <w:rPr>
          <w:b/>
          <w:sz w:val="19"/>
        </w:rPr>
        <w:t xml:space="preserve">Übertragbarkeit: </w:t>
      </w:r>
      <w:r>
        <w:rPr>
          <w:sz w:val="19"/>
        </w:rPr>
        <w:t>Niederlande mit Impfregister; deutsche Routinedaten vergleichbar.</w:t>
      </w:r>
    </w:p>
    <w:p>
      <w:r>
        <w:rPr>
          <w:color w:val="5A7D3A"/>
          <w:sz w:val="18"/>
        </w:rPr>
        <w:t>https://pubmed.ncbi.nlm.nih.gov/42603508/</w:t>
      </w:r>
    </w:p>
    <w:p>
      <w:pPr>
        <w:pStyle w:val="Heading2"/>
      </w:pPr>
      <w:r>
        <w:t>Messaging zu ‚gesundem Altern' erhöht Impfbereitschaft bei älteren Erwachsenen in Frankreich</w:t>
      </w:r>
    </w:p>
    <w:p>
      <w:r>
        <w:rPr>
          <w:i/>
          <w:color w:val="666666"/>
          <w:sz w:val="18"/>
        </w:rPr>
        <w:t>Addario A et al.  ·  Vaccine  ·  17.09.2026  ·  PMID 42594637</w:t>
      </w:r>
    </w:p>
    <w:p>
      <w:r>
        <w:t>Eine französische Querschnittsumfrage mit Social-Marketing-Ansatz testete, welche Botschaften und Zugangsmerkmale die Impfintention bei Älteren (≥60 Jahren) verbessern.</w:t>
      </w:r>
    </w:p>
    <w:p>
      <w:r>
        <w:rPr>
          <w:b/>
        </w:rPr>
        <w:t xml:space="preserve">Ergebnis: </w:t>
      </w:r>
      <w:r>
        <w:t>Von 2.416 Befragten hatten 15,6 % hohe, 81,7 % mittlere und 2,8 % niedrige Impfbereitschaft. Zustimmung, dass Impfung zu gesundem Altern beiträgt, stieg von 3 % (niedrig) auf 56 % (mittel) und 78 % (hoch). Botschaften zu Schlag- und Herzinfarktrisiko zeigten höchste Intention (69–67 %). Gültigkeitsvoucher wurden positiv aufgenommen (57–81 % würden impfen lassen). Ärzte waren vertrauteste Informationsquelle (93–95 %).</w:t>
      </w:r>
    </w:p>
    <w:p>
      <w:r>
        <w:rPr>
          <w:b/>
          <w:sz w:val="19"/>
        </w:rPr>
        <w:t xml:space="preserve">Übertragbarkeit: </w:t>
      </w:r>
      <w:r>
        <w:rPr>
          <w:sz w:val="19"/>
        </w:rPr>
        <w:t>Frankreich mit ähnlichem Versicherungssystem; Fokus auf Rahmung und Zugang in DACH übertragbar.</w:t>
      </w:r>
    </w:p>
    <w:p>
      <w:r>
        <w:rPr>
          <w:color w:val="5A7D3A"/>
          <w:sz w:val="18"/>
        </w:rPr>
        <w:t>https://pubmed.ncbi.nlm.nih.gov/42594637/</w:t>
      </w:r>
    </w:p>
    <w:p>
      <w:pPr>
        <w:pStyle w:val="Heading2"/>
      </w:pPr>
      <w:r>
        <w:t>Omicron-JN.1-Impfstoff bot in den Niederlanden nur begrenzte Zusatzschutzwirkung</w:t>
      </w:r>
    </w:p>
    <w:p>
      <w:r>
        <w:rPr>
          <w:i/>
          <w:color w:val="666666"/>
          <w:sz w:val="18"/>
        </w:rPr>
        <w:t>Huiberts AJ et al.  ·  Vaccine  ·  17.09.2026  ·  PMID 42585808</w:t>
      </w:r>
    </w:p>
    <w:p>
      <w:r>
        <w:t>Eine prospektive holländische Kohortenstudie quantifizierte die Wirksamkeit der JN.1-Varianten-angepassten COVID-19-Impfung gegen Infektionen von September 2024 bis Februar 2025.</w:t>
      </w:r>
    </w:p>
    <w:p>
      <w:r>
        <w:rPr>
          <w:b/>
        </w:rPr>
        <w:t xml:space="preserve">Ergebnis: </w:t>
      </w:r>
      <w:r>
        <w:t>Von 4.490 Teilnehmern &lt;60 Jahren waren 29 % geimpft, von 19.349 Älteren 74 %. Bei 2.142 Infektionen betrug die Impfwirksamkeit 16 % (&lt;60 Jahre, 95%-KI –11–36) und 13 % (≥60 Jahre, 95%-KI 2–23). Gegen KP.3.1.1 und XEC unterschied sich der Schutz nicht signifikant. Die begrenzte Schutzwirkung in einer Phase niedriger Inzidenz deutet auf waning immunity hin.</w:t>
      </w:r>
    </w:p>
    <w:p>
      <w:r>
        <w:rPr>
          <w:b/>
          <w:sz w:val="19"/>
        </w:rPr>
        <w:t xml:space="preserve">Übertragbarkeit: </w:t>
      </w:r>
      <w:r>
        <w:rPr>
          <w:sz w:val="19"/>
        </w:rPr>
        <w:t>Niederlande mit vollständiger Impfdokumentation und genetischer Variantenbestimmung.</w:t>
      </w:r>
    </w:p>
    <w:p>
      <w:r>
        <w:rPr>
          <w:color w:val="5A7D3A"/>
          <w:sz w:val="18"/>
        </w:rPr>
        <w:t>https://pubmed.ncbi.nlm.nih.gov/42585808/</w:t>
      </w:r>
    </w:p>
    <w:p>
      <w:pPr>
        <w:pStyle w:val="Heading1"/>
      </w:pPr>
      <w:r>
        <w:t>Aufgenommen am 26.08.2026</w:t>
      </w:r>
    </w:p>
    <w:p>
      <w:pPr>
        <w:pStyle w:val="Heading2"/>
      </w:pPr>
      <w:r>
        <w:t>Influenza-Impfskepsis bei georgischen Gesundheitspersonal senkt Impfquote über drei Jahre</w:t>
      </w:r>
    </w:p>
    <w:p>
      <w:r>
        <w:rPr>
          <w:i/>
          <w:color w:val="666666"/>
          <w:sz w:val="18"/>
        </w:rPr>
        <w:t>Artemchuk O et al.  ·  PLoS One  ·  25.08.2026  ·  PMID 42640914</w:t>
      </w:r>
    </w:p>
    <w:p>
      <w:r>
        <w:t>Prospektive Kohortenstudie in Georgien mit 403 Krankenhausmitarbeitenden über drei Influenza-Saisons (2021–2024): Welche Faktoren beeinflussen die Annahme der jährlichen Influenza-Impfung?</w:t>
      </w:r>
    </w:p>
    <w:p>
      <w:r>
        <w:rPr>
          <w:b/>
        </w:rPr>
        <w:t xml:space="preserve">Ergebnis: </w:t>
      </w:r>
      <w:r>
        <w:t>72 % erhielten mindestens einmal die Impfung, 28 % nie. Mangelndes Vertrauen in Sicherheit (aOR 0,27) und Wirksamkeit (aOR 0,36) sowie das Alter 40–49 Jahre (aOR 2,67) waren die Hauptfaktoren. Eine Klinik hatte deutlich niedrigere Quoten (aOR 0,06).</w:t>
      </w:r>
    </w:p>
    <w:p>
      <w:r>
        <w:rPr>
          <w:b/>
          <w:sz w:val="19"/>
        </w:rPr>
        <w:t xml:space="preserve">Übertragbarkeit: </w:t>
      </w:r>
      <w:r>
        <w:rPr>
          <w:sz w:val="19"/>
        </w:rPr>
        <w:t>Kaukasus-Region mit WHO-Partner, aber begrenzte Übertragbarkeit auf deutsches System ohne Impfregister.</w:t>
      </w:r>
    </w:p>
    <w:p>
      <w:r>
        <w:rPr>
          <w:color w:val="5A7D3A"/>
          <w:sz w:val="18"/>
        </w:rPr>
        <w:t>https://pubmed.ncbi.nlm.nih.gov/42640914/</w:t>
      </w:r>
    </w:p>
    <w:p>
      <w:pPr>
        <w:pStyle w:val="Heading2"/>
      </w:pPr>
      <w:r>
        <w:t>Impfquote bei 24-Monate-Alten in Italien von 92,75 % auf 94,57 % durch Reorganisation der Dienste</w:t>
      </w:r>
    </w:p>
    <w:p>
      <w:r>
        <w:rPr>
          <w:i/>
          <w:color w:val="666666"/>
          <w:sz w:val="18"/>
        </w:rPr>
        <w:t>Scala A et al.  ·  Front Public Health  ·  10.08.2026  ·  PMID 42638716</w:t>
      </w:r>
    </w:p>
    <w:p>
      <w:r>
        <w:t>Qualitäts-Verbesserungsprojekt in ASL Napoli 3 Sud 2022–2024 mit M.A.S.T.E.R.-Framework: Wie ließ sich die gefallene Abdeckung von Primärserien wieder heben?</w:t>
      </w:r>
    </w:p>
    <w:p>
      <w:r>
        <w:rPr>
          <w:b/>
        </w:rPr>
        <w:t xml:space="preserve">Ergebnis: </w:t>
      </w:r>
      <w:r>
        <w:t>Quote 2023: 92,75 % (Rückgang von 94,57 % 2022). Nach Interventionen (standardisierte Erinnerungen, digitale Kalender, Schulung, Logistik-Überprüfung): 2024 → 94,57 % (+1,82 Pp.). Erinnerungen stiegen von 1.248 auf 2.136, vollendete Nachholtermine von 286 auf 612. Pädiater-Kooperation von 54,2 % auf 87,3 %.</w:t>
      </w:r>
    </w:p>
    <w:p>
      <w:r>
        <w:rPr>
          <w:b/>
          <w:sz w:val="19"/>
        </w:rPr>
        <w:t xml:space="preserve">Übertragbarkeit: </w:t>
      </w:r>
      <w:r>
        <w:rPr>
          <w:sz w:val="19"/>
        </w:rPr>
        <w:t>Italien, südeuropäisches Sozialversicherungssystem, Dokumentation ähnlich Deutschland-Anforderungen.</w:t>
      </w:r>
    </w:p>
    <w:p>
      <w:r>
        <w:rPr>
          <w:color w:val="5A7D3A"/>
          <w:sz w:val="18"/>
        </w:rPr>
        <w:t>https://pubmed.ncbi.nlm.nih.gov/42638716/</w:t>
      </w:r>
    </w:p>
    <w:p>
      <w:pPr>
        <w:pStyle w:val="Heading2"/>
      </w:pPr>
      <w:r>
        <w:t>Schwangere in Gambia: Lücken beim COVID-19-Impfstoffzugang trotz neuer Leitlinien</w:t>
      </w:r>
    </w:p>
    <w:p>
      <w:r>
        <w:rPr>
          <w:i/>
          <w:color w:val="666666"/>
          <w:sz w:val="18"/>
        </w:rPr>
        <w:t>Nkereuwem O et al.  ·  BMJ Open  ·  20.08.2026  ·  PMID 42624601</w:t>
      </w:r>
    </w:p>
    <w:p>
      <w:r>
        <w:t>Qualitative Studie in Gambia mit 15 Fachpersonen und 29 Workshop-Teilnehmenden: Welche Barrieren verhindern, dass Schwangere COVID-19-Impfstoffe erhalten?</w:t>
      </w:r>
    </w:p>
    <w:p>
      <w:r>
        <w:rPr>
          <w:b/>
        </w:rPr>
        <w:t xml:space="preserve">Ergebnis: </w:t>
      </w:r>
      <w:r>
        <w:t>Evolvierende Sicherheitsleitlinien minderten Beratungsvertrauen und verstärkten Vaccine Hesitancy. Fragmentierte Dienste (nicht in Schwangerenvorsorge integriert), schwache Dokumentation von Nebenwirkungen und Misinformation waren Kernprobleme. Strategien: frühe Schulung, Koordination über Berufsgruppen, gestärkte Logistik und Sicherheitsmeldung.</w:t>
      </w:r>
    </w:p>
    <w:p>
      <w:r>
        <w:rPr>
          <w:b/>
          <w:sz w:val="19"/>
        </w:rPr>
        <w:t xml:space="preserve">Übertragbarkeit: </w:t>
      </w:r>
      <w:r>
        <w:rPr>
          <w:sz w:val="19"/>
        </w:rPr>
        <w:t>Subsahara-Afrika, aber Befunde zu systemischer Fragmentierung relevant für Integrationsfragen.</w:t>
      </w:r>
    </w:p>
    <w:p>
      <w:r>
        <w:rPr>
          <w:color w:val="5A7D3A"/>
          <w:sz w:val="18"/>
        </w:rPr>
        <w:t>https://pubmed.ncbi.nlm.nih.gov/42624601/</w:t>
      </w:r>
    </w:p>
    <w:p>
      <w:pPr>
        <w:pStyle w:val="Heading1"/>
      </w:pPr>
      <w:r>
        <w:t>Aufgenommen am 24.08.2026</w:t>
      </w:r>
    </w:p>
    <w:p>
      <w:pPr>
        <w:pStyle w:val="Heading2"/>
      </w:pPr>
      <w:r>
        <w:t>Hochdosis-Grippeimpfstoff senkte Krankenhauseinweisungen bei Altenheimbewohnern um 31 Prozent</w:t>
      </w:r>
    </w:p>
    <w:p>
      <w:r>
        <w:rPr>
          <w:i/>
          <w:color w:val="666666"/>
          <w:sz w:val="18"/>
        </w:rPr>
        <w:t>Bricout H et al.  ·  Age Ageing  ·  03.08.2026  ·  PMID 42632918</w:t>
      </w:r>
    </w:p>
    <w:p>
      <w:r>
        <w:t>Französische Kohortenstudie verglich Wirksamkeit von Hochdosis- versus Standarddosis-Grippeimpfstoff gegen grippebedingte Krankenhauseinweisungen bei Bewohnern von Altenpflegeeinrichtungen (2022–2023).</w:t>
      </w:r>
    </w:p>
    <w:p>
      <w:r>
        <w:rPr>
          <w:b/>
        </w:rPr>
        <w:t xml:space="preserve">Ergebnis: </w:t>
      </w:r>
      <w:r>
        <w:t>Hochdosis-Impfstoff reduzierte grippebedingte Krankenhauseinweisungen um 30,8 % (95 % KI: 11,8–45,7 %; p = 0,0029), verglichen mit Standarddosis. Bei Pneumonie oder kombinierten Ergebnissen zeigte sich kein signifikanter Unterschied. Die Studie stützt bevorzugte Verwendung des Hochdosis-Impfstoffs in dieser Hochrisikogruppe.</w:t>
      </w:r>
    </w:p>
    <w:p>
      <w:r>
        <w:rPr>
          <w:b/>
          <w:sz w:val="19"/>
        </w:rPr>
        <w:t xml:space="preserve">Übertragbarkeit: </w:t>
      </w:r>
      <w:r>
        <w:rPr>
          <w:sz w:val="19"/>
        </w:rPr>
        <w:t>Frankreich mit vergleichbarem Sozialversicherungssystem und Langzeitpflege-Dokumentation wie Deutschland.</w:t>
      </w:r>
    </w:p>
    <w:p>
      <w:r>
        <w:rPr>
          <w:color w:val="5A7D3A"/>
          <w:sz w:val="18"/>
        </w:rPr>
        <w:t>https://pubmed.ncbi.nlm.nih.gov/42632918/</w:t>
      </w:r>
    </w:p>
    <w:p>
      <w:pPr>
        <w:pStyle w:val="Heading1"/>
      </w:pPr>
      <w:r>
        <w:t>Aufgenommen am 22.08.2026</w:t>
      </w:r>
    </w:p>
    <w:p>
      <w:pPr>
        <w:pStyle w:val="Heading2"/>
      </w:pPr>
      <w:r>
        <w:t>HPV-Impfung senkt Häufigkeit von Larynx- und Bindehautpapillomen in Dänemark</w:t>
      </w:r>
    </w:p>
    <w:p>
      <w:r>
        <w:rPr>
          <w:i/>
          <w:color w:val="666666"/>
          <w:sz w:val="18"/>
        </w:rPr>
        <w:t>Aakilde M et al.  ·  APMIS  ·  Aug. 2026  ·  PMID 42619272</w:t>
      </w:r>
    </w:p>
    <w:p>
      <w:r>
        <w:t>Register-Studie: 33 juvenile Larynx-, 134 Bindehautpapillom-Patienten 2005–2024 mit HPV-Subtypisierung und Impfstatus-Abfrage.</w:t>
      </w:r>
    </w:p>
    <w:p>
      <w:r>
        <w:rPr>
          <w:b/>
        </w:rPr>
        <w:t xml:space="preserve">Ergebnis: </w:t>
      </w:r>
      <w:r>
        <w:t>Larynxpapillom-Inzidenz sank von 0,190 pro 100.000 (2005–2013) auf 0,107 (2014–2024), nicht signifikant (p=0,145); keine Fälle bei geimpften Müttern. Bindehautpapillom-Inzidenz sank signifikant um 5,3 % pro Jahr (p=0,002). HPV-6/-11 in 74,1 % nachgewiesen. Studie zeigt Schutzeffekt des Impfprogramms auf Bindehautpapillome, juvenile Larynxpapillome bleiben selten und nur bei ungeimpften Müttern.</w:t>
      </w:r>
    </w:p>
    <w:p>
      <w:r>
        <w:rPr>
          <w:b/>
          <w:sz w:val="19"/>
        </w:rPr>
        <w:t xml:space="preserve">Übertragbarkeit: </w:t>
      </w:r>
      <w:r>
        <w:rPr>
          <w:sz w:val="19"/>
        </w:rPr>
        <w:t>Dänemark, nationales Register, vergleichbare nordeuropäische Impfpraxis</w:t>
      </w:r>
    </w:p>
    <w:p>
      <w:r>
        <w:rPr>
          <w:color w:val="5A7D3A"/>
          <w:sz w:val="18"/>
        </w:rPr>
        <w:t>https://pubmed.ncbi.nlm.nih.gov/42619272/</w:t>
      </w:r>
    </w:p>
    <w:p>
      <w:pPr>
        <w:pStyle w:val="Heading2"/>
      </w:pPr>
      <w:r>
        <w:t>Hepatitis-B-Impfquoten bei trans und nicht-binären Menschen in Deutschland: Wer bleibt ungeimpft?</w:t>
      </w:r>
    </w:p>
    <w:p>
      <w:r>
        <w:rPr>
          <w:i/>
          <w:color w:val="666666"/>
          <w:sz w:val="18"/>
        </w:rPr>
        <w:t>Biallas R et al.  ·  BMC Public Health  ·  11.08.2026  ·  PMID 42576212</w:t>
      </w:r>
    </w:p>
    <w:p>
      <w:r>
        <w:t>Online-Survey von 2.358 trans und nicht-binären Personen zu Hepatitis-B-Diagnosen und Impfstatus, RKI-Studie.</w:t>
      </w:r>
    </w:p>
    <w:p>
      <w:r>
        <w:rPr>
          <w:b/>
        </w:rPr>
        <w:t xml:space="preserve">Ergebnis: </w:t>
      </w:r>
      <w:r>
        <w:t>HBV-Prävalenz 0,6 %, Impfquote 56,3 %. Quote höher bei Personen auf dem männlichen Spektrum (PR 1,29) als weiblich/nicht-binär; höher mit Hochschulbildung (PR 1,44) und in Großstädten (PR 1,22). 550 (21,7 %) waren impfempfohlen; von 213 mit negativem Impfstatus waren 65 % unter 30 und hätten Routine-Impfung erhalten sollen. Wissenslücken zu Hepatitis als Hauptprädiktor für niedrige Quote identifiziert.</w:t>
      </w:r>
    </w:p>
    <w:p>
      <w:r>
        <w:rPr>
          <w:b/>
          <w:sz w:val="19"/>
        </w:rPr>
        <w:t xml:space="preserve">Übertragbarkeit: </w:t>
      </w:r>
      <w:r>
        <w:rPr>
          <w:sz w:val="19"/>
        </w:rPr>
        <w:t>RKI-Studie, deutsche Hochrisikopopulation; Ungleichheit nach Bildung, Geschlechtsidentität und Urbanisierung</w:t>
      </w:r>
    </w:p>
    <w:p>
      <w:r>
        <w:rPr>
          <w:color w:val="5A7D3A"/>
          <w:sz w:val="18"/>
        </w:rPr>
        <w:t>https://pubmed.ncbi.nlm.nih.gov/42576212/</w:t>
      </w:r>
    </w:p>
    <w:p>
      <w:pPr>
        <w:pStyle w:val="Heading1"/>
      </w:pPr>
      <w:r>
        <w:t>Aufgenommen am 21.08.2026</w:t>
      </w:r>
    </w:p>
    <w:p>
      <w:pPr>
        <w:pStyle w:val="Heading2"/>
      </w:pPr>
      <w:r>
        <w:t>MenACWY-Impfung und Meningokokken-Carriage bei Studierenden: Wirksamkeitsevidenz aus Carriage-Monitoring</w:t>
      </w:r>
    </w:p>
    <w:p>
      <w:r>
        <w:rPr>
          <w:i/>
          <w:color w:val="666666"/>
          <w:sz w:val="18"/>
        </w:rPr>
        <w:t>Harvey-Cowlishaw T et al.  ·  Front Public Health  ·  05.08.2026  ·  PMID 42621093</w:t>
      </w:r>
    </w:p>
    <w:p>
      <w:r>
        <w:t>Querschnittstudie (September + November 2024) an 400 Studierenden einer UK-Universität mit Keimkultur/PCR und Vollgenomsequenzierung von Meningokokken-Carriern.</w:t>
      </w:r>
    </w:p>
    <w:p>
      <w:r>
        <w:rPr>
          <w:b/>
        </w:rPr>
        <w:t xml:space="preserve">Ergebnis: </w:t>
      </w:r>
      <w:r>
        <w:t>Carriage-Rate Sepember 12,5 %, November 25,3 % (p&lt;0,05). Genogruppe C: null Isolate (100 % Reduktion durch MenACWY-Vakzinierung). Genogruppe Y: null verkappselte Isolate in dieser Kohorte, konsistent mit Impfeffektivität. Genogruppe B: 34,3 % (multipler Clonal Complex, teils hyperinvasiv). MenACWY schützt Studierende effektiv vor W/Y-Carriage; Genogruppe B bleibt Risiko.</w:t>
      </w:r>
    </w:p>
    <w:p>
      <w:r>
        <w:rPr>
          <w:b/>
          <w:sz w:val="19"/>
        </w:rPr>
        <w:t xml:space="preserve">Übertragbarkeit: </w:t>
      </w:r>
      <w:r>
        <w:rPr>
          <w:sz w:val="19"/>
        </w:rPr>
        <w:t>UK, Kariologie-Surveillance, vergleichbare adoleszente Impfprogramme</w:t>
      </w:r>
    </w:p>
    <w:p>
      <w:r>
        <w:rPr>
          <w:color w:val="5A7D3A"/>
          <w:sz w:val="18"/>
        </w:rPr>
        <w:t>https://pubmed.ncbi.nlm.nih.gov/42621093/</w:t>
      </w:r>
    </w:p>
    <w:p>
      <w:pPr>
        <w:pStyle w:val="Heading2"/>
      </w:pPr>
      <w:r>
        <w:t>Vorbuchte Impftermine für COVID-19: Burden-Vergleich und Wirkung auf Uptake-Intention</w:t>
      </w:r>
    </w:p>
    <w:p>
      <w:r>
        <w:rPr>
          <w:i/>
          <w:color w:val="666666"/>
          <w:sz w:val="18"/>
        </w:rPr>
        <w:t>Sanders JG et al.  ·  Vaccine  ·  30.08.2026  ·  PMID 42546637</w:t>
      </w:r>
    </w:p>
    <w:p>
      <w:r>
        <w:t>Formative Evaluationsstudie (Niederlande) in zwei Phasen – qualitativ (15 Interviews) und experimentell (n=1.886) – zur Wirkung von Vorbuchung vs. Selbstbuchung auf Impfintention.</w:t>
      </w:r>
    </w:p>
    <w:p>
      <w:r>
        <w:rPr>
          <w:b/>
        </w:rPr>
        <w:t xml:space="preserve">Ergebnis: </w:t>
      </w:r>
      <w:r>
        <w:t>Phase 1: Vorbuchung wurde als fürsorglich und auch als bevormundend wahrgenommen. Phase 2: Selbstbuchung wurde als weniger belastend wahrgenommen (β=−0,23, p&lt;0,05), führte aber nicht zu höherer Impfintention (aOR=1,11). Auch bei zögerlichen Personen kein Unterschied (aOR=0,88). Vorbuchung verändert COVID-19-Intention nicht – konservative Empfehlung: Selbstbuchung für bereits geimpfte Ältere.</w:t>
      </w:r>
    </w:p>
    <w:p>
      <w:r>
        <w:rPr>
          <w:b/>
          <w:sz w:val="19"/>
        </w:rPr>
        <w:t xml:space="preserve">Übertragbarkeit: </w:t>
      </w:r>
      <w:r>
        <w:rPr>
          <w:sz w:val="19"/>
        </w:rPr>
        <w:t>Niederlande (RIVM), vergleichbares Versicherungssystem und Impfinfrastruktur</w:t>
      </w:r>
    </w:p>
    <w:p>
      <w:r>
        <w:rPr>
          <w:color w:val="5A7D3A"/>
          <w:sz w:val="18"/>
        </w:rPr>
        <w:t>https://pubmed.ncbi.nlm.nih.gov/42546637/</w:t>
      </w:r>
    </w:p>
    <w:p>
      <w:pPr>
        <w:pStyle w:val="Heading1"/>
      </w:pPr>
      <w:r>
        <w:t>Aufgenommen am 20.08.2026</w:t>
      </w:r>
    </w:p>
    <w:p>
      <w:pPr>
        <w:pStyle w:val="Heading2"/>
      </w:pPr>
      <w:r>
        <w:t>Impfquoten in der Schwangerschaft in Deutschland 2004–2022: Was bleibt ungenutzt?</w:t>
      </w:r>
    </w:p>
    <w:p>
      <w:r>
        <w:rPr>
          <w:i/>
          <w:color w:val="666666"/>
          <w:sz w:val="18"/>
        </w:rPr>
        <w:t>Mulanje L et al.  ·  Sci Rep  ·  18.08.2026  ·  PMID 42613346</w:t>
      </w:r>
    </w:p>
    <w:p>
      <w:r>
        <w:t>Eine Analyse von über 2,8 Mio. Schwangerschaften in deutschen Krankenkassendaten zeigte, wie sich Impfquoten in der Schwangerschaft entwickelten.</w:t>
      </w:r>
    </w:p>
    <w:p>
      <w:r>
        <w:rPr>
          <w:b/>
        </w:rPr>
        <w:t xml:space="preserve">Ergebnis: </w:t>
      </w:r>
      <w:r>
        <w:t>Influenza-Impfquote bei Schwangeren stieg von 2 % (2004–2009) auf 19 % (2020–2022), Pertussis von 3 % (2015–2019) auf 37 % (2020–2022). Weniger als 50 % der empfohlenen Schwangerschaftsimpfungen wurden durchgeführt; Gründe bleiben unklar. Etwa 0,3 % erhielten kontraindizierte Lebendimpfstoffe.</w:t>
      </w:r>
    </w:p>
    <w:p>
      <w:r>
        <w:rPr>
          <w:b/>
          <w:sz w:val="19"/>
        </w:rPr>
        <w:t xml:space="preserve">Übertragbarkeit: </w:t>
      </w:r>
      <w:r>
        <w:rPr>
          <w:sz w:val="19"/>
        </w:rPr>
        <w:t>Deutsche Krankenkassendaten mit vollständiger Erfassung, direkt übertragbar auf deutsches Versorgungssystem.</w:t>
      </w:r>
    </w:p>
    <w:p>
      <w:r>
        <w:rPr>
          <w:color w:val="5A7D3A"/>
          <w:sz w:val="18"/>
        </w:rPr>
        <w:t>https://pubmed.ncbi.nlm.nih.gov/42613346/</w:t>
      </w:r>
    </w:p>
    <w:p>
      <w:pPr>
        <w:pStyle w:val="Heading2"/>
      </w:pPr>
      <w:r>
        <w:t>HPV-Impfung für Adoleszente: Verhaltenswissenschaftliche Entwicklung einer Intervention (15–17 Jahre)</w:t>
      </w:r>
    </w:p>
    <w:p>
      <w:r>
        <w:rPr>
          <w:i/>
          <w:color w:val="666666"/>
          <w:sz w:val="18"/>
        </w:rPr>
        <w:t>Flood T et al.  ·  PLoS One  ·  14.08.2026  ·  PMID 42599892</w:t>
      </w:r>
    </w:p>
    <w:p>
      <w:r>
        <w:t>Qualitative Studie mit fokussierten Interviews (Impfschwestern n=26, Schüler n=34, Lehrer/Schulnursen n=18) zur Entwicklung eines theoriegestützten HPV-Interventionsangebots.</w:t>
      </w:r>
    </w:p>
    <w:p>
      <w:r>
        <w:rPr>
          <w:b/>
        </w:rPr>
        <w:t xml:space="preserve">Ergebnis: </w:t>
      </w:r>
      <w:r>
        <w:t>Systematische Übersicht fand Mangel an Interventionen für diese Altersgruppe. Identifiziert wurden 12 Barrieren für drei Zielverhalten (Schülerentscheidung, Professionalisierung, öffentliche Akzeptanz). Entwickelte Intervention: schulgestützte HPV-Bildung mit Impfangebot, öffentliche Medienkampagne; Erfolg hängt von Unterstützung durch Behörden und Lehrplanintegration ab.</w:t>
      </w:r>
    </w:p>
    <w:p>
      <w:r>
        <w:rPr>
          <w:b/>
          <w:sz w:val="19"/>
        </w:rPr>
        <w:t xml:space="preserve">Übertragbarkeit: </w:t>
      </w:r>
      <w:r>
        <w:rPr>
          <w:sz w:val="19"/>
        </w:rPr>
        <w:t>Nordirland, ähnliche schulbasierte Impfstrukturen wie Deutschland, Barrier-Identifizierung übertragbar.</w:t>
      </w:r>
    </w:p>
    <w:p>
      <w:r>
        <w:rPr>
          <w:color w:val="5A7D3A"/>
          <w:sz w:val="18"/>
        </w:rPr>
        <w:t>https://pubmed.ncbi.nlm.nih.gov/42599892/</w:t>
      </w:r>
    </w:p>
    <w:p>
      <w:pPr>
        <w:pStyle w:val="Heading2"/>
      </w:pPr>
      <w:r>
        <w:t>COVID-19-Sterblichkeit bei Menschen mit schweren psychischen Erkrankungen: Übersterblichkeit trotz Impfung</w:t>
      </w:r>
    </w:p>
    <w:p>
      <w:r>
        <w:rPr>
          <w:i/>
          <w:color w:val="666666"/>
          <w:sz w:val="18"/>
        </w:rPr>
        <w:t>Chilman N et al.  ·  Lancet Psychiatry  ·  Sept. 2026  ·  PMID 42586081</w:t>
      </w:r>
    </w:p>
    <w:p>
      <w:r>
        <w:t>Gesamtbevölkerungsstudie in England (n=13.463.945 COVID-19-Fälle, davon 1,19 % mit schwerer psychischer Erkrankung) auf Mortalität über drei Pandemiephasen mit unterschiedlichem Impfzugang.</w:t>
      </w:r>
    </w:p>
    <w:p>
      <w:r>
        <w:rPr>
          <w:b/>
        </w:rPr>
        <w:t xml:space="preserve">Ergebnis: </w:t>
      </w:r>
      <w:r>
        <w:t>Übersterblichkeit bei schwerer psychischer Erkrankung: aHR 1,56 (95%-KI 1,53–1,59). In Phase 1 (vor Impfung): aHR 1,27; Phase 2 (Impfstart): aHR 1,56; Phase 3 (nach Impfung): aHR 1,55. Impfquoten initial höher (73,2 % vs. 67,4 %), am Ende aber niedriger (79,4 % vs. 87,2 %). Impfung minderte Risiko nur partiell (aHR 1,25, 95%-KI 1,17–1,34).</w:t>
      </w:r>
    </w:p>
    <w:p>
      <w:r>
        <w:rPr>
          <w:b/>
          <w:sz w:val="19"/>
        </w:rPr>
        <w:t xml:space="preserve">Übertragbarkeit: </w:t>
      </w:r>
      <w:r>
        <w:rPr>
          <w:sz w:val="19"/>
        </w:rPr>
        <w:t>England-Gesamtbevölkerung, nationales Gesundheitssystem wie Deutschland, Ungleichheitsfrage zentral.</w:t>
      </w:r>
    </w:p>
    <w:p>
      <w:r>
        <w:rPr>
          <w:color w:val="5A7D3A"/>
          <w:sz w:val="18"/>
        </w:rPr>
        <w:t>https://pubmed.ncbi.nlm.nih.gov/42586081/</w:t>
      </w:r>
    </w:p>
    <w:p>
      <w:pPr>
        <w:pStyle w:val="Heading1"/>
      </w:pPr>
      <w:r>
        <w:t>Aufgenommen am 19.08.2026</w:t>
      </w:r>
    </w:p>
    <w:p>
      <w:pPr>
        <w:pStyle w:val="Heading2"/>
      </w:pPr>
      <w:r>
        <w:t>Psychisches Wohlbefinden und COVID-19-Impfquote: 2,68-fach höherer Impfanteil bei hohem CASP-Wohlbefind</w:t>
      </w:r>
    </w:p>
    <w:p>
      <w:r>
        <w:rPr>
          <w:i/>
          <w:color w:val="666666"/>
          <w:sz w:val="18"/>
        </w:rPr>
        <w:t>Gao Y et al.  ·  Hum Vaccin Immunother  ·  18.08.2026  ·  PMID 42610257</w:t>
      </w:r>
    </w:p>
    <w:p>
      <w:r>
        <w:t>Prospektive Analyse von 29.597 europäischen Erwachsenen ≥50 Jahren (SHARE-Studie, 27 Länder + Israel) zur Assoziation zwischen psychischem Wohlbefinden (CASP-12-Skala) und COVID-19-Impfung, Infektion und Long COVID.</w:t>
      </w:r>
    </w:p>
    <w:p>
      <w:r>
        <w:rPr>
          <w:b/>
        </w:rPr>
        <w:t xml:space="preserve">Ergebnis: </w:t>
      </w:r>
      <w:r>
        <w:t>Personen mit höchster CASP-12-Punktzahl vs. niedrigster: OR für COVID-19-Impfung 2,68 (95%-KI 2,44–2,96). Reduktion von Long COVID um 23% (OR 0,77, 95%-KI 0,64–0,93). Kein signifikanter Effekt auf Infektionsrisiko (OR 0,87, 95%-KI 0,74–1,02). Höheres psychisches Wohlbefinden mit verbessertem Impfstatus und reduziertem Long-COVID-Risiko assoziiert.</w:t>
      </w:r>
    </w:p>
    <w:p>
      <w:r>
        <w:rPr>
          <w:b/>
          <w:sz w:val="19"/>
        </w:rPr>
        <w:t xml:space="preserve">Übertragbarkeit: </w:t>
      </w:r>
      <w:r>
        <w:rPr>
          <w:sz w:val="19"/>
        </w:rPr>
        <w:t>27 europäische Länder, generalisierbar auf deutschsprachigen Raum</w:t>
      </w:r>
    </w:p>
    <w:p>
      <w:r>
        <w:rPr>
          <w:color w:val="5A7D3A"/>
          <w:sz w:val="18"/>
        </w:rPr>
        <w:t>https://pubmed.ncbi.nlm.nih.gov/42610257/</w:t>
      </w:r>
    </w:p>
    <w:p>
      <w:pPr>
        <w:pStyle w:val="Heading2"/>
      </w:pPr>
      <w:r>
        <w:t>Pädiater-Wissenlücken zur RSV-Immunisierung: 55,9% mit durchschnittlichem bis niedrigem Nirsevimab-Wissen</w:t>
      </w:r>
    </w:p>
    <w:p>
      <w:r>
        <w:rPr>
          <w:i/>
          <w:color w:val="666666"/>
          <w:sz w:val="18"/>
        </w:rPr>
        <w:t>Di Chiara C et al.  ·  PLoS One  ·  17.08.2026  ·  PMID 42607062</w:t>
      </w:r>
    </w:p>
    <w:p>
      <w:r>
        <w:t>Befragung von 578 Pädiatern (Rücklaufquote 19,3%) in Spanien, Italien und Zypern/Griechenland zu Wissen, Einstellungen und Barrieren bezüglich neuer RSV-Impfstrategen.</w:t>
      </w:r>
    </w:p>
    <w:p>
      <w:r>
        <w:rPr>
          <w:b/>
        </w:rPr>
        <w:t xml:space="preserve">Ergebnis: </w:t>
      </w:r>
      <w:r>
        <w:t>50% Spanien, 40% Italien, 10% Zypern/Griechenland. Nur 245 Befragte (55,9%) berichteten durchschnittliches bis niedriges Nirsevimab-Wissen, 375 (86,0%) zeigten gleiches für Mutterimpfstoff (p=0,002). Trotz Wissenslücken: 311 (85,9%) bereit, Nirsevimab zu verabreichen, 319 (92,2%) unterstützten es für alle Neugeborenen. Barrieren (20,0% genannt): Unbekannt und logistische Herausforderungen. 165 (47,4%) bevorzugten die Mutterimpfung gegenüber Nirsevimab.</w:t>
      </w:r>
    </w:p>
    <w:p>
      <w:r>
        <w:rPr>
          <w:b/>
          <w:sz w:val="19"/>
        </w:rPr>
        <w:t xml:space="preserve">Übertragbarkeit: </w:t>
      </w:r>
      <w:r>
        <w:rPr>
          <w:sz w:val="19"/>
        </w:rPr>
        <w:t>Südeuropa, aber spanische Erfahrung mit Nirsevimab bereits verfügbar</w:t>
      </w:r>
    </w:p>
    <w:p>
      <w:r>
        <w:rPr>
          <w:color w:val="5A7D3A"/>
          <w:sz w:val="18"/>
        </w:rPr>
        <w:t>https://pubmed.ncbi.nlm.nih.gov/42607062/</w:t>
      </w:r>
    </w:p>
    <w:p>
      <w:pPr>
        <w:pStyle w:val="Heading2"/>
      </w:pPr>
      <w:r>
        <w:t>HPV-Impfung und Schwangerschaftsergebnisse: Registerstudie zeigt keine erhöhten Fehlgeburtsrisiken</w:t>
      </w:r>
    </w:p>
    <w:p>
      <w:r>
        <w:rPr>
          <w:i/>
          <w:color w:val="666666"/>
          <w:sz w:val="18"/>
        </w:rPr>
        <w:t>Koivisto T et al.  ·  Eur J Public Health  ·  04.08.2026  ·  PMID 42586610</w:t>
      </w:r>
    </w:p>
    <w:p>
      <w:r>
        <w:t>Register-Follow-up von 20.426 HPV-geimpften und 19.473 ungeimpften Frauen (Finland, Geburtskohorte 1990-1995) über 11 Jahre zu frühen Schwangerschaftskomplikationen.</w:t>
      </w:r>
    </w:p>
    <w:p>
      <w:r>
        <w:rPr>
          <w:b/>
        </w:rPr>
        <w:t xml:space="preserve">Ergebnis: </w:t>
      </w:r>
      <w:r>
        <w:t>Fehlgeburtsquote in der geimpften Gruppe 1,6% versus 5,3% in der ungeimpften Kontrollgruppe (p&lt;0,0001). Keine zeitliche Assoziation zwischen Impfung und Fehlgeburten. Eileiterschwangerschaften waren selten und vergleichbar (0,6–1,0%). Bei Frauen mit Vorgeschichte von Komplikationen hatten 55,6% der Geimpften mindestens eine Lebendgeburt versus 70,3% der Ungeimpften. Die Impfung war nicht mit erhöhtem Fehlgeburts- oder anderem Schwangerschaftsrisiko verbunden.</w:t>
      </w:r>
    </w:p>
    <w:p>
      <w:r>
        <w:rPr>
          <w:b/>
          <w:sz w:val="19"/>
        </w:rPr>
        <w:t xml:space="preserve">Übertragbarkeit: </w:t>
      </w:r>
      <w:r>
        <w:rPr>
          <w:sz w:val="19"/>
        </w:rPr>
        <w:t>Finnland, Register mit hoher Datenqualität</w:t>
      </w:r>
    </w:p>
    <w:p>
      <w:r>
        <w:rPr>
          <w:color w:val="5A7D3A"/>
          <w:sz w:val="18"/>
        </w:rPr>
        <w:t>https://pubmed.ncbi.nlm.nih.gov/42586610/</w:t>
      </w:r>
    </w:p>
    <w:p>
      <w:pPr>
        <w:pStyle w:val="Heading2"/>
      </w:pPr>
      <w:r>
        <w:t>Influenza-Impfeffektivität gegen Krankenhausaufnahmen: 46% Gesamtschutz in Nordirland 2024/25</w:t>
      </w:r>
    </w:p>
    <w:p>
      <w:r>
        <w:rPr>
          <w:i/>
          <w:color w:val="666666"/>
          <w:sz w:val="18"/>
        </w:rPr>
        <w:t>Bucholc M et al.  ·  Influenza Other Respir Viruses  ·  Aug. 2026  ·  PMID 42560010</w:t>
      </w:r>
    </w:p>
    <w:p>
      <w:r>
        <w:t>Test-Negativ-Design mit 2.024 influenzapositiven Fällen und 13.109 Kontrollen in 15.133 hospitalisierten Patienten zur Schätzung der Impfeffektivität gegen laborbestätigte Influenza.</w:t>
      </w:r>
    </w:p>
    <w:p>
      <w:r>
        <w:rPr>
          <w:b/>
        </w:rPr>
        <w:t xml:space="preserve">Ergebnis: </w:t>
      </w:r>
      <w:r>
        <w:t>Impfeffektivität gegen Influenza insgesamt 46,0% (95%-KI 39,7–51,8%), höher bei Kindern 2-17 Jahren (60,8%, 48,3–70,5%) als Erwachsenen 18-64 Jahren (40,5%, 24,9–53,2%) oder ≥65 Jahren (42,3%, 33,2–50,1%). Gegen Influenza-B: 76,4% (64,9–84,7%). Effektivität gegen A(H1) 44,3%, gegen A(H3) 49,9%. Die Wirksamkeit war höchsten 2-8 Wochen post-Impfung (51,9%) und nahm ab.</w:t>
      </w:r>
    </w:p>
    <w:p>
      <w:r>
        <w:rPr>
          <w:b/>
          <w:sz w:val="19"/>
        </w:rPr>
        <w:t xml:space="preserve">Übertragbarkeit: </w:t>
      </w:r>
      <w:r>
        <w:rPr>
          <w:sz w:val="19"/>
        </w:rPr>
        <w:t>UK-Daten, vergleichbar mit deutschem Gesundheitssystem</w:t>
      </w:r>
    </w:p>
    <w:p>
      <w:r>
        <w:rPr>
          <w:color w:val="5A7D3A"/>
          <w:sz w:val="18"/>
        </w:rPr>
        <w:t>https://pubmed.ncbi.nlm.nih.gov/42560010/</w:t>
      </w:r>
    </w:p>
    <w:p>
      <w:pPr>
        <w:pStyle w:val="Heading2"/>
      </w:pPr>
      <w:r>
        <w:t>Impfluecken bei Kindern in Deutschland: Sozioökonomische Unterschiede und Rolle des Versorgungstyps</w:t>
      </w:r>
    </w:p>
    <w:p>
      <w:r>
        <w:rPr>
          <w:i/>
          <w:color w:val="666666"/>
          <w:sz w:val="18"/>
        </w:rPr>
        <w:t>Nussbaum C et al.  ·  BMC Med  ·  04.08.2026  ·  PMID 42557557</w:t>
      </w:r>
    </w:p>
    <w:p>
      <w:r>
        <w:t>Analyse von 430.000 Kindern aus Versicherungsdaten 2016-2019 zur Erfassung von Impfquoten und sozioökonomischen Gradienten bei von STIKO empfohlenen Impfungen.</w:t>
      </w:r>
    </w:p>
    <w:p>
      <w:r>
        <w:rPr>
          <w:b/>
        </w:rPr>
        <w:t xml:space="preserve">Ergebnis: </w:t>
      </w:r>
      <w:r>
        <w:t>Etwa 80% der empfohlenen Impfserien waren vollständig und rechtzeitig durchgeführt. Ein kleiner, aber signifikanter sozioökonomischer Gradient zugunsten höherer Einkommen zeigte sich (Konzentrationsindex 0,024). Der Anbietertyp erklärt den größten Teil des Gradienten: Hausarztpraxen hatten niedrigere Abschlussquoten als Kinderarztpraxen. Reisezeit trug weniger bei.</w:t>
      </w:r>
    </w:p>
    <w:p>
      <w:r>
        <w:rPr>
          <w:b/>
          <w:sz w:val="19"/>
        </w:rPr>
        <w:t xml:space="preserve">Übertragbarkeit: </w:t>
      </w:r>
      <w:r>
        <w:rPr>
          <w:sz w:val="19"/>
        </w:rPr>
        <w:t>Deutsche Krankenkassendaten, vergleichbare Dokumentationspflichten</w:t>
      </w:r>
    </w:p>
    <w:p>
      <w:r>
        <w:rPr>
          <w:color w:val="5A7D3A"/>
          <w:sz w:val="18"/>
        </w:rPr>
        <w:t>https://pubmed.ncbi.nlm.nih.gov/42557557/</w:t>
      </w:r>
    </w:p>
    <w:p>
      <w:pPr>
        <w:pStyle w:val="Heading2"/>
      </w:pPr>
      <w:r>
        <w:t>Keuchhusten-Impfeffektivität im Säuglingsalter in den Niederlanden: 98,2% Schutz bei vollständiger Impfung</w:t>
      </w:r>
    </w:p>
    <w:p>
      <w:r>
        <w:rPr>
          <w:i/>
          <w:color w:val="666666"/>
          <w:sz w:val="18"/>
        </w:rPr>
        <w:t>van Meijeren DL et al.  ·  Vaccine  ·  13.08.2026  ·  PMID 42526173</w:t>
      </w:r>
    </w:p>
    <w:p>
      <w:r>
        <w:t>Fall-Kontroll-Studie mit 1.156 Fällen und 4.624 Kontrollen (laborbestätigt, 12-35 Monate, 2013-2024) zur Wirksamkeit der Grundimmunisierung gegen Pertussis.</w:t>
      </w:r>
    </w:p>
    <w:p>
      <w:r>
        <w:rPr>
          <w:b/>
        </w:rPr>
        <w:t xml:space="preserve">Ergebnis: </w:t>
      </w:r>
      <w:r>
        <w:t>Gesamteffektivität 98,2% (95%-KI 97,6–98,6) bei vollständiger Impfung. Wirksamkeit nahm mit der Zeit seit Impfung ab (p&lt;0,001): 51,9% zwei bis acht Wochen nach Impfung, 44,6% nach 9-16 Wochen, 41,4% nach ≥16 Wochen. Höhere Effektivität bei Kindern 2-17 Jahre (60,8%) als bei Erwachsenen 18-64 Jahre (40,5%) oder ≥65 Jahre (42,3%).</w:t>
      </w:r>
    </w:p>
    <w:p>
      <w:r>
        <w:rPr>
          <w:b/>
          <w:sz w:val="19"/>
        </w:rPr>
        <w:t xml:space="preserve">Übertragbarkeit: </w:t>
      </w:r>
      <w:r>
        <w:rPr>
          <w:sz w:val="19"/>
        </w:rPr>
        <w:t>Niederlande, vergleichbares Versicherungssystem und Vakzine</w:t>
      </w:r>
    </w:p>
    <w:p>
      <w:r>
        <w:rPr>
          <w:color w:val="5A7D3A"/>
          <w:sz w:val="18"/>
        </w:rPr>
        <w:t>https://pubmed.ncbi.nlm.nih.gov/42526173/</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Impfen und Impfpraevention</dc:title>
  <dc:subject/>
  <dc:creator>Monitor Versorgungsforschung</dc:creator>
  <cp:keywords/>
  <dc:description>generated by python-docx</dc:description>
  <cp:lastModifiedBy/>
  <cp:revision>1</cp:revision>
  <dcterms:created xsi:type="dcterms:W3CDTF">2026-10-06T06:00:00Z</dcterms:created>
  <dcterms:modified xsi:type="dcterms:W3CDTF">2026-10-06T06:00:00Z</dcterms:modified>
  <cp:category/>
</cp:coreProperties>
</file>