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02.10.2026  |  6 Studien  |  impfen.m-vf.de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COVID-19-Auffrischungsimpfung reduzierte Rehospitalisierungsrisiko um 39 Prozent</w:t>
      </w:r>
    </w:p>
    <w:p>
      <w:r>
        <w:rPr>
          <w:i/>
          <w:color w:val="666666"/>
          <w:sz w:val="18"/>
        </w:rPr>
        <w:t>Neves RKAD et al.  ·  PLoS One  ·  01.10.2026  ·  PMID 42821558</w:t>
      </w:r>
    </w:p>
    <w:p>
      <w:r>
        <w:t>Kohortenstudie in Rio de Janeiro untersuchte, ob Impfstatus die Rehospitalisierung wegen COVID-19-Reinfektionen zwischen 2020 und 2022 beeinflusste.</w:t>
      </w:r>
    </w:p>
    <w:p>
      <w:r>
        <w:rPr>
          <w:b/>
        </w:rPr>
        <w:t xml:space="preserve">Ergebnis: </w:t>
      </w:r>
      <w:r>
        <w:t>Vollständige Impfung mit Auffrischung (≥3 Dosen) reduzierte das Rehospitalisierungsrisiko um 39 Prozent (sHR: 0,61; 95 %-KI: 0,52–0,73). Älteres Alter, Multimorbidität und Black race waren unabhängige Risikofaktoren. Die Herdenimmunität durch hohe Impfquoten hätte Ergebnisse um circa 25 Prozent verbessert.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aber Effektmaß unabhängig von Systemen, Versorgungsdaten</w:t>
      </w:r>
    </w:p>
    <w:p>
      <w:r>
        <w:rPr>
          <w:color w:val="5A7D3A"/>
          <w:sz w:val="18"/>
        </w:rPr>
        <w:t>https://pubmed.ncbi.nlm.nih.gov/42821558/</w:t>
      </w:r>
    </w:p>
    <w:p>
      <w:pPr>
        <w:pStyle w:val="Heading2"/>
      </w:pPr>
      <w:r>
        <w:t>Impfverzögerungen bei Kleinkindern in Bagdad: Wissen und Verfügbarkeit als Schlüsselfaktoren</w:t>
      </w:r>
    </w:p>
    <w:p>
      <w:r>
        <w:rPr>
          <w:i/>
          <w:color w:val="666666"/>
          <w:sz w:val="18"/>
        </w:rPr>
        <w:t>Shah SSAM et al.  ·  PLoS One  ·  01.10.2026  ·  PMID 42821556</w:t>
      </w:r>
    </w:p>
    <w:p>
      <w:r>
        <w:t>Querschnittsstudie mit dokumentierten Impfkarten bei 168 Kindern (18–24 Monate) in Bagdad prüfte Zeitlichkeit und Verzögerungsgründe.</w:t>
      </w:r>
    </w:p>
    <w:p>
      <w:r>
        <w:rPr>
          <w:b/>
        </w:rPr>
        <w:t xml:space="preserve">Ergebnis: </w:t>
      </w:r>
      <w:r>
        <w:t>Nur 8,3 Prozent erhielten alle Impfungen pünktlich; 91,7 Prozent Verzögerungen (75 Prozent an mehreren Terminen). Fehlende Kenntnisse zum Impfplan (aOR: 3,85; 95 %-KI: 1,04–14,24) und wahrgenommene Impfstoffverfügbarkeit (aOR: 4,74; 95 %-KI: 1,09–20,51) waren Hauptrisiken. Keine Soziodemografika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Postkonflikt-Setting, aber Identifikation gestaltbarer Hindernisse (Wissen, Logistik) übertragbar</w:t>
      </w:r>
    </w:p>
    <w:p>
      <w:r>
        <w:rPr>
          <w:color w:val="5A7D3A"/>
          <w:sz w:val="18"/>
        </w:rPr>
        <w:t>https://pubmed.ncbi.nlm.nih.gov/42821556/</w:t>
      </w:r>
    </w:p>
    <w:p>
      <w:pPr>
        <w:pStyle w:val="Heading2"/>
      </w:pPr>
      <w:r>
        <w:t>Impffehler in der Primärversorgung: Systemischer Ansatz statt Individualisierung</w:t>
      </w:r>
    </w:p>
    <w:p>
      <w:r>
        <w:rPr>
          <w:i/>
          <w:color w:val="666666"/>
          <w:sz w:val="18"/>
        </w:rPr>
        <w:t>Cirino FMSB et al.  ·  Rev Bras Enferm  ·  28.09.2026  ·  PMID 42820566</w:t>
      </w:r>
    </w:p>
    <w:p>
      <w:r>
        <w:t>Reflexive Studie zur Rolle von Überlastung und prekären Arbeitsbedingungen als Systemtreiber von Impffehlern in der Primärversorgung Brasiliens.</w:t>
      </w:r>
    </w:p>
    <w:p>
      <w:r>
        <w:rPr>
          <w:b/>
        </w:rPr>
        <w:t xml:space="preserve">Ergebnis: </w:t>
      </w:r>
      <w:r>
        <w:t>Impffehler sind Ausdruck von Burnout und Überbelastung bei Pflegefachpersonen, nicht nur technische oder individuelle Versäumnisse. Prävention verlangt Systemansatz (Autonomie, Arbeitsbedingungen, kritische Reflexionsräume), nicht nur Einzelverantwortlichkeit.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aber systemische Sicht auf Impfqualität gilt überall; Personalressourcen und Arbeitsbedingungen zentral</w:t>
      </w:r>
    </w:p>
    <w:p>
      <w:r>
        <w:rPr>
          <w:color w:val="5A7D3A"/>
          <w:sz w:val="18"/>
        </w:rPr>
        <w:t>https://pubmed.ncbi.nlm.nih.gov/42820566/</w:t>
      </w:r>
    </w:p>
    <w:p>
      <w:pPr>
        <w:pStyle w:val="Heading2"/>
      </w:pPr>
      <w:r>
        <w:t>HPV-Impfbereitschaft bei Eltern in China: 63 % bereit, nur 18 % tatsächlich geimpft</w:t>
      </w:r>
    </w:p>
    <w:p>
      <w:r>
        <w:rPr>
          <w:i/>
          <w:color w:val="666666"/>
          <w:sz w:val="18"/>
        </w:rPr>
        <w:t>Li Y et al.  ·  Front Public Health  ·  16.09.2026  ·  PMID 42819398</w:t>
      </w:r>
    </w:p>
    <w:p>
      <w:r>
        <w:t>Querschnittsstudie mit 506 Eltern von Schülerinnen (China) prüfte nach Theory of Planned Behavior, welche Faktoren HPV-Impfwilligkeit und tatsächliche Inanspruchnahme vorhersagen.</w:t>
      </w:r>
    </w:p>
    <w:p>
      <w:r>
        <w:rPr>
          <w:b/>
        </w:rPr>
        <w:t xml:space="preserve">Ergebnis: </w:t>
      </w:r>
      <w:r>
        <w:t>63,24 Prozent zeigten Bereitschaft, aber nur 17,98 Prozent tatsächliche Impfquote. Höhere Elternbildung, Haushaltseinkommen 5.000–10.000 RMB, Familiengeschichte Krebs und positive Einstellung waren Prädiktoren. Wahrgenommene Verhaltenskontrolle (Barrieren) zeigte negatives Pfadkoeffizient (β = –0,10, p &lt; 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Theory of Planned Behavior universell anwendbar; Gap zwischen Bereitschaft und Umsetzung ist globales Problem</w:t>
      </w:r>
    </w:p>
    <w:p>
      <w:r>
        <w:rPr>
          <w:color w:val="5A7D3A"/>
          <w:sz w:val="18"/>
        </w:rPr>
        <w:t>https://pubmed.ncbi.nlm.nih.gov/42819398/</w:t>
      </w:r>
    </w:p>
    <w:p>
      <w:pPr>
        <w:pStyle w:val="Heading2"/>
      </w:pPr>
      <w:r>
        <w:t>Zero-Dose-Kinder in Ländern mit niedrigem Einkommen: Hausgeburten top Risikofaktor</w:t>
      </w:r>
    </w:p>
    <w:p>
      <w:r>
        <w:rPr>
          <w:i/>
          <w:color w:val="666666"/>
          <w:sz w:val="18"/>
        </w:rPr>
        <w:t>Bobo FT et al.  ·  Int J Equity Health  ·  04.08.2026  ·  PMID 42816851</w:t>
      </w:r>
    </w:p>
    <w:p>
      <w:r>
        <w:t>Sekundäranalyse von zwei DHS-Runden aus zehn Ländern mit niedrigem/unterem Einkommen prüfte Trends bei Kinder ohne Grundimmunisierung und bevölkerungszuschreibbare Risikofaktoren.</w:t>
      </w:r>
    </w:p>
    <w:p>
      <w:r>
        <w:rPr>
          <w:b/>
        </w:rPr>
        <w:t xml:space="preserve">Ergebnis: </w:t>
      </w:r>
      <w:r>
        <w:t>Zero-Dose-Prävalenz stieg in fünf Ländern signifikant (z. B. Mosambik 4,8 % auf 14,2 %, Madagaskar 13,3 % auf 18,1 %). Hausgeburt hatte höchste PAF (17,1 %; 95 %-KI: 14,1–19,6), gefolgt von &lt;4 ANC-Kontakten (8,6 %; 95 %-KI: 7,2–10,0). Reproductive Health Services kombiniert: PAF 29,4 Prozent. Vermögen-bedingte Ungleichheit überall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LLMIC, aber bevölkerungszuschreibbare Anteile und Kausalkettenlogik helfen Priorisierung in ähnlichen Systemen</w:t>
      </w:r>
    </w:p>
    <w:p>
      <w:r>
        <w:rPr>
          <w:color w:val="5A7D3A"/>
          <w:sz w:val="18"/>
        </w:rPr>
        <w:t>https://pubmed.ncbi.nlm.nih.gov/42816851/</w:t>
      </w:r>
    </w:p>
    <w:p>
      <w:pPr>
        <w:pStyle w:val="Heading2"/>
      </w:pPr>
      <w:r>
        <w:t>Impfskepsis in Pakistan: Mehrstufig randomisierte Surveys zeigen 33,8 Prozent Hesitancy</w:t>
      </w:r>
    </w:p>
    <w:p>
      <w:r>
        <w:rPr>
          <w:i/>
          <w:color w:val="666666"/>
          <w:sz w:val="18"/>
        </w:rPr>
        <w:t>Honghe L et al.  ·  J Epidemiol Glob Health  ·  12.08.2026  ·  PMID 42809170</w:t>
      </w:r>
    </w:p>
    <w:p>
      <w:r>
        <w:t>Querschnittsstudie mit 1.200 Teilnehmern (Pakistan, Juni–August 2021) nutzte mehrstufig stratifizierte Paired-Response-Frameworks, um Impfskepsis und Underreporting zu quantifizieren.</w:t>
      </w:r>
    </w:p>
    <w:p>
      <w:r>
        <w:rPr>
          <w:b/>
        </w:rPr>
        <w:t xml:space="preserve">Ergebnis: </w:t>
      </w:r>
      <w:r>
        <w:t>Impfskepsis wurde mit MSPRF-I auf 33,8 Prozent (vs. 24,3 % in konventionellen Befragungen) geschätzt, mit 290–399 % höherer Effizienz. Urban-rural-Unterschiede bei Offenbarungsbereitschaft, aber systematische Unterschätzung in Routineerhebungen.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Pakistan, neue Methodik zur Erfassung von Hesitancy auch in Hochrisiko-Settings nutzbar</w:t>
      </w:r>
    </w:p>
    <w:p>
      <w:r>
        <w:rPr>
          <w:color w:val="5A7D3A"/>
          <w:sz w:val="18"/>
        </w:rPr>
        <w:t>https://pubmed.ncbi.nlm.nih.gov/42809170/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