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Impfen und Praevention</w:t>
      </w:r>
    </w:p>
    <w:p>
      <w:r>
        <w:rPr>
          <w:i/>
          <w:color w:val="666666"/>
          <w:sz w:val="18"/>
        </w:rPr>
        <w:t>Stand: 25.10.2026  |  379 Studien  |  impfen.m-vf.de</w:t>
      </w:r>
    </w:p>
    <w:p>
      <w:pPr>
        <w:pStyle w:val="Heading1"/>
      </w:pPr>
      <w:r>
        <w:t>Aufgenommen am 25.10.2026</w:t>
      </w:r>
    </w:p>
    <w:p>
      <w:pPr>
        <w:pStyle w:val="Heading2"/>
      </w:pPr>
      <w:r>
        <w:t>Meningokokken-B-Impfstoff induziert Antikörper gegen Gonorrhö-Antigene</w:t>
      </w:r>
    </w:p>
    <w:p>
      <w:r>
        <w:rPr>
          <w:i/>
          <w:color w:val="666666"/>
          <w:sz w:val="18"/>
        </w:rPr>
        <w:t>Phadke VK et al.  ·  Nat Commun  ·  23.09.2026  ·  PMID 42918783</w:t>
      </w:r>
    </w:p>
    <w:p>
      <w:r>
        <w:t>Randomisierte Phase-II-Studie an 52 gesunden Erwachsenen (41 Impfstoff, 11 Placebo), die Antikörperresponses gegen Gonorrhö-Oberflächenantigene nach 4CMenB-Impfung maß.</w:t>
      </w:r>
    </w:p>
    <w:p>
      <w:r>
        <w:rPr>
          <w:b/>
        </w:rPr>
        <w:t xml:space="preserve">Ergebnis: </w:t>
      </w:r>
      <w:r>
        <w:t>4CMenB erzeugte robuste Serum-IgG-Antworten gegen Gonorrhö-Antigene mit Peak am Tag 43 und Persistenz bis Tag 181. Mukosale IgG-Antworten waren niedrig ausgeprägt, mit höchsten Werten in Vaginalsekreten. Bei Placebo-Empfängern keine relevanten Antworten. Die Ergebnisse unterstützen potenziellen Einsatz von 4CMenB zur Gonorrhö-Prävention.</w:t>
      </w:r>
    </w:p>
    <w:p>
      <w:r>
        <w:rPr>
          <w:b/>
          <w:sz w:val="19"/>
        </w:rPr>
        <w:t xml:space="preserve">Übertragbarkeit: </w:t>
      </w:r>
      <w:r>
        <w:rPr>
          <w:sz w:val="19"/>
        </w:rPr>
        <w:t>USA, Antikörpertiter gemessen, aber Wirksamkeit in der Versorgung unklar</w:t>
      </w:r>
    </w:p>
    <w:p>
      <w:r>
        <w:rPr>
          <w:color w:val="5A7D3A"/>
          <w:sz w:val="18"/>
        </w:rPr>
        <w:t>https://pubmed.ncbi.nlm.nih.gov/42918783/</w:t>
      </w:r>
    </w:p>
    <w:p>
      <w:pPr>
        <w:pStyle w:val="Heading2"/>
      </w:pPr>
      <w:r>
        <w:t>Impfbereitschaft in Moskau während COVID-19: Polarisierung trotz abnehmender Prävention</w:t>
      </w:r>
    </w:p>
    <w:p>
      <w:r>
        <w:rPr>
          <w:i/>
          <w:color w:val="666666"/>
          <w:sz w:val="18"/>
        </w:rPr>
        <w:t>Bogdan IV et al.  ·  Probl Sotsialnoi Gig Zdravookhranenniiai Istor Med  ·  15.12.2026  ·  PMID 42904709</w:t>
      </w:r>
    </w:p>
    <w:p>
      <w:r>
        <w:t>Wiederholte Bevölkerungsbefragung in Moskau (Februar und Juli/August 2021, je ~1000 Teilnehmer) zur Entwicklung von Impfbereitschaft und Vertrauen während der Pandemie.</w:t>
      </w:r>
    </w:p>
    <w:p>
      <w:r>
        <w:rPr>
          <w:b/>
        </w:rPr>
        <w:t xml:space="preserve">Ergebnis: </w:t>
      </w:r>
      <w:r>
        <w:t>Bis Welle 5 sank Einhaltung der meisten Präventionsmaßnahmen (Abstand, Kontaktlimit, Desinfektionsmittel). Durchschnittliche Selbstbewertung des emotionalen Zustands fiel auf 3,47 Punkte. Institutionelles Vertrauen sank, Einstellung zur Impfung wurde polarisierter. Empfehlung: konsistente Wissenschaftskommunikation und gezielte Arbeit mit Vaccine Hesitancy-Gruppen.</w:t>
      </w:r>
    </w:p>
    <w:p>
      <w:r>
        <w:rPr>
          <w:b/>
          <w:sz w:val="19"/>
        </w:rPr>
        <w:t xml:space="preserve">Übertragbarkeit: </w:t>
      </w:r>
      <w:r>
        <w:rPr>
          <w:sz w:val="19"/>
        </w:rPr>
        <w:t>Russland – Bevölkerungsänderungen, aber Zeitraum und System nur begrenzt übertragbar</w:t>
      </w:r>
    </w:p>
    <w:p>
      <w:r>
        <w:rPr>
          <w:color w:val="5A7D3A"/>
          <w:sz w:val="18"/>
        </w:rPr>
        <w:t>https://pubmed.ncbi.nlm.nih.gov/42904709/</w:t>
      </w:r>
    </w:p>
    <w:p>
      <w:pPr>
        <w:pStyle w:val="Heading2"/>
      </w:pPr>
      <w:r>
        <w:t>Bioengineering von BCG: Strategien für verbesserte Blasenkrebs-Immuntherapie</w:t>
      </w:r>
    </w:p>
    <w:p>
      <w:r>
        <w:rPr>
          <w:i/>
          <w:color w:val="666666"/>
          <w:sz w:val="18"/>
        </w:rPr>
        <w:t>Li S et al.  ·  Front Immunol  ·  05.10.2026  ·  PMID 42898624</w:t>
      </w:r>
    </w:p>
    <w:p>
      <w:r>
        <w:t>Narrative Review zu genetischen Modifikationen, synthetischer Biologie und Delivery-Systemen zur Optimierung von BCG als Immuntherapie bei nicht-muskelinvasivem Blasenkrebs; Mechanismen und aktuelle Forschungsansätze.</w:t>
      </w:r>
    </w:p>
    <w:p>
      <w:r>
        <w:rPr>
          <w:b/>
        </w:rPr>
        <w:t xml:space="preserve">Ergebnis: </w:t>
      </w:r>
      <w:r>
        <w:t>Überblick über BCG-induzierte Antitumorimmunantwort (Typ-1- und Typ-2-Effekte, trainierte Immunität), biotech-gestützte Strategien zur Verbesserung von Tumor-Interaktion, angeborener Immunaktivierung und Immunmilieumodulierung. Keine primären Outcomes berichtet, nur Literaturübersicht.</w:t>
      </w:r>
    </w:p>
    <w:p>
      <w:r>
        <w:rPr>
          <w:b/>
          <w:sz w:val="19"/>
        </w:rPr>
        <w:t xml:space="preserve">Übertragbarkeit: </w:t>
      </w:r>
      <w:r>
        <w:rPr>
          <w:sz w:val="19"/>
        </w:rPr>
        <w:t>Methodische Übersicht ohne Versorgungsdaten – grenzwertiger Einschluss, konzeptueller Nutzen</w:t>
      </w:r>
    </w:p>
    <w:p>
      <w:r>
        <w:rPr>
          <w:color w:val="5A7D3A"/>
          <w:sz w:val="18"/>
        </w:rPr>
        <w:t>https://pubmed.ncbi.nlm.nih.gov/42898624/</w:t>
      </w:r>
    </w:p>
    <w:p>
      <w:pPr>
        <w:pStyle w:val="Heading2"/>
      </w:pPr>
      <w:r>
        <w:t>CAR-T-Zellen bei Autoimmunerkrankungen: Harmonisierte europäische Empfehlungen</w:t>
      </w:r>
    </w:p>
    <w:p>
      <w:r>
        <w:rPr>
          <w:i/>
          <w:color w:val="666666"/>
          <w:sz w:val="18"/>
        </w:rPr>
        <w:t>Greco R et al.  ·  Lancet Rheumatol  ·  05.10.2026  ·  PMID 42833234</w:t>
      </w:r>
    </w:p>
    <w:p>
      <w:r>
        <w:t>Europäische Konsensus-Update von EBMT, ISCT und JACIE zu CAR-T-Zelltherapie bei schweren refraktären Autoimmunerkrankungen, basierend auf aktuellem Evidenzstand 2024–2026.</w:t>
      </w:r>
    </w:p>
    <w:p>
      <w:r>
        <w:rPr>
          <w:b/>
        </w:rPr>
        <w:t xml:space="preserve">Ergebnis: </w:t>
      </w:r>
      <w:r>
        <w:t>Aktualisierte Empfehlungen zu Patientenauswahl, Diagnostik, klinischem Management, Nachbeobachtung und Immunmonitoring für rheumatische, neurologische, hämatologische und pädiatrische Indikationen. Unerfüllte Bedarfe und Forschungspriorit­äten identifiziert. Spezifische Zahlen zur Häufigkeit oder Effektivität nicht berichtet.</w:t>
      </w:r>
    </w:p>
    <w:p>
      <w:r>
        <w:rPr>
          <w:b/>
          <w:sz w:val="19"/>
        </w:rPr>
        <w:t xml:space="preserve">Übertragbarkeit: </w:t>
      </w:r>
      <w:r>
        <w:rPr>
          <w:sz w:val="19"/>
        </w:rPr>
        <w:t>Deutschland, österreich, Schweiz – europäisches Expertenkonsens, direkt übertragbar</w:t>
      </w:r>
    </w:p>
    <w:p>
      <w:r>
        <w:rPr>
          <w:color w:val="5A7D3A"/>
          <w:sz w:val="18"/>
        </w:rPr>
        <w:t>https://pubmed.ncbi.nlm.nih.gov/42833234/</w:t>
      </w:r>
    </w:p>
    <w:p>
      <w:pPr>
        <w:pStyle w:val="Heading2"/>
      </w:pPr>
      <w:r>
        <w:t>Digitale Nachsorge nach Zelltransplantation in Deutschland: SPIZ-Studie mit 306 Patienten</w:t>
      </w:r>
    </w:p>
    <w:p>
      <w:r>
        <w:rPr>
          <w:i/>
          <w:color w:val="666666"/>
          <w:sz w:val="18"/>
        </w:rPr>
        <w:t>Schneider MMK et al.  ·  Ann Hematol  ·  26.09.2026  ·  PMID 42799871</w:t>
      </w:r>
    </w:p>
    <w:p>
      <w:r>
        <w:t>Deutsches RCT-Protokoll (SPIZ) zur Optimierung der posttherapeutischen Versorgung nach allogener Stammzelltransplantation und CAR-T-Therapie durch digitale Unterstützung, Fallmanagement und regionale Vernetzung.</w:t>
      </w:r>
    </w:p>
    <w:p>
      <w:r>
        <w:rPr>
          <w:b/>
        </w:rPr>
        <w:t xml:space="preserve">Ergebnis: </w:t>
      </w:r>
      <w:r>
        <w:t>306 Patienten erfolgreich in 3 Zentren rekrutiert und 1:1 randomisiert. Intervention: Fallmanager, Pflegefachbesuche, mobiles App-Monitoring, Videokonferenzen. Primäre Endpunkte: Mortalität und Rehospitalisierungsraten. Studienabschluss und Auswertung laufen. G-BA-Förderung mit Ziel der Routineintegration.</w:t>
      </w:r>
    </w:p>
    <w:p>
      <w:r>
        <w:rPr>
          <w:b/>
          <w:sz w:val="19"/>
        </w:rPr>
        <w:t xml:space="preserve">Übertragbarkeit: </w:t>
      </w:r>
      <w:r>
        <w:rPr>
          <w:sz w:val="19"/>
        </w:rPr>
        <w:t>Deutschland – deutsches Versicherungs- und Gesundheitssystem, direkt übertragbar</w:t>
      </w:r>
    </w:p>
    <w:p>
      <w:r>
        <w:rPr>
          <w:color w:val="5A7D3A"/>
          <w:sz w:val="18"/>
        </w:rPr>
        <w:t>https://pubmed.ncbi.nlm.nih.gov/42799871/</w:t>
      </w:r>
    </w:p>
    <w:p>
      <w:pPr>
        <w:pStyle w:val="Heading2"/>
      </w:pPr>
      <w:r>
        <w:t>BCG plus Immun-Checkpoint-Inhibitoren: Toxizität steigt deutlich</w:t>
      </w:r>
    </w:p>
    <w:p>
      <w:r>
        <w:rPr>
          <w:i/>
          <w:color w:val="666666"/>
          <w:sz w:val="18"/>
        </w:rPr>
        <w:t>Ciccarese C et al.  ·  ESMO Open  ·  23.09.2026  ·  PMID 42777327</w:t>
      </w:r>
    </w:p>
    <w:p>
      <w:r>
        <w:t>Systematische Übersicht und Metaanalyse von 3 Phase-III-RCTs (1895 Patienten) zur Sicherheit von BCG kombiniert mit Anti-PD-1/PD-L1-Inhibitoren bei High-Risk-NMIBC.</w:t>
      </w:r>
    </w:p>
    <w:p>
      <w:r>
        <w:rPr>
          <w:b/>
        </w:rPr>
        <w:t xml:space="preserve">Ergebnis: </w:t>
      </w:r>
      <w:r>
        <w:t>BCG+ICI versus BCG allein: RR für Grad ≥3 TRAE 4,02 (95%-KI 3,06–5,30, p&lt;0,00001), RR für schwere Unerwünschte Ereignisse 4,54 (2,09–9,85, p=0,0001), RR für Immun-bedingte AE (jeder Grad) 15,18 (4,34–53,14, p&lt;0,0001). Behandlungsabbruch RR 2,87 (1,50–5,52, p=0,002). Toxizität hauptsächlich durch systemische Immunereignisse.</w:t>
      </w:r>
    </w:p>
    <w:p>
      <w:r>
        <w:rPr>
          <w:b/>
          <w:sz w:val="19"/>
        </w:rPr>
        <w:t xml:space="preserve">Übertragbarkeit: </w:t>
      </w:r>
      <w:r>
        <w:rPr>
          <w:sz w:val="19"/>
        </w:rPr>
        <w:t>Europa, Behandlungsdaten vergleichbare klinische Systeme, übertragbar</w:t>
      </w:r>
    </w:p>
    <w:p>
      <w:r>
        <w:rPr>
          <w:color w:val="5A7D3A"/>
          <w:sz w:val="18"/>
        </w:rPr>
        <w:t>https://pubmed.ncbi.nlm.nih.gov/42777327/</w:t>
      </w:r>
    </w:p>
    <w:p>
      <w:pPr>
        <w:pStyle w:val="Heading1"/>
      </w:pPr>
      <w:r>
        <w:t>Aufgenommen am 24.10.2026</w:t>
      </w:r>
    </w:p>
    <w:p>
      <w:pPr>
        <w:pStyle w:val="Heading2"/>
      </w:pPr>
      <w:r>
        <w:t>Dengue-Impfung in Lateinamerika: Wissenshieroglyphen und Umsetzungslücken</w:t>
      </w:r>
    </w:p>
    <w:p>
      <w:r>
        <w:rPr>
          <w:i/>
          <w:color w:val="666666"/>
          <w:sz w:val="18"/>
        </w:rPr>
        <w:t>Arredondo-Nontol MR et al.  ·  Cad Saude Publica  ·  12.10.2026  ·  PMID 42912039</w:t>
      </w:r>
    </w:p>
    <w:p>
      <w:r>
        <w:t>Scoping Review über Wissen, Einstellungen und Praktiken zur Dengue-Impfung in Lateinamerika und der Karibik mit Fokus auf den Unterschied zwischen Einstellungen und tatsächlicher Inanspruchnahme.</w:t>
      </w:r>
    </w:p>
    <w:p>
      <w:r>
        <w:rPr>
          <w:b/>
        </w:rPr>
        <w:t xml:space="preserve">Ergebnis: </w:t>
      </w:r>
      <w:r>
        <w:t>16 Studien zeigten begrenzte Kenntnisse über Impfverfügbarkeit und Sicherheit, aber grundsätzlich positive Einstellungen (hohe Akzeptanz, Zahlungsbereitschaft ca. 23 USD für dreiteilige Serie). Jedoch persistierte eine große Lücke zwischen Einstellung und Umsetzung mit niedriger Impfquotenerfüllung. Besondere Herausforderungen: Sicherheits- und Vertrauensbedenken bei Studienteilnahmen, Wissenslücken zu Wirkungsmechanismen.</w:t>
      </w:r>
    </w:p>
    <w:p>
      <w:r>
        <w:rPr>
          <w:b/>
          <w:sz w:val="19"/>
        </w:rPr>
        <w:t xml:space="preserve">Übertragbarkeit: </w:t>
      </w:r>
      <w:r>
        <w:rPr>
          <w:sz w:val="19"/>
        </w:rPr>
        <w:t>Lateinamerika, aber Erkenntnisse zur Diskrepanz Einstellung/Verhalten übertragbar auf deutsche Vakzin-Skepsis-Strategien</w:t>
      </w:r>
    </w:p>
    <w:p>
      <w:r>
        <w:rPr>
          <w:color w:val="5A7D3A"/>
          <w:sz w:val="18"/>
        </w:rPr>
        <w:t>https://pubmed.ncbi.nlm.nih.gov/42912039/</w:t>
      </w:r>
    </w:p>
    <w:p>
      <w:pPr>
        <w:pStyle w:val="Heading2"/>
      </w:pPr>
      <w:r>
        <w:t>Auffrischungsimpfung in der Pandemie: Was Müdigkeit und Misstrauen bewirken</w:t>
      </w:r>
    </w:p>
    <w:p>
      <w:r>
        <w:rPr>
          <w:i/>
          <w:color w:val="666666"/>
          <w:sz w:val="18"/>
        </w:rPr>
        <w:t>Jin J et al.  ·  Glob Health Action  ·  22.10.2026  ·  PMID 42910459</w:t>
      </w:r>
    </w:p>
    <w:p>
      <w:r>
        <w:t>Längsschnittstudie (689 Erwachsene, Hongkong) zu psychosozialen Faktoren der Bereitschaft für zusätzliche COVID-19-Impfdosen während Pandemiedauer.</w:t>
      </w:r>
    </w:p>
    <w:p>
      <w:r>
        <w:rPr>
          <w:b/>
        </w:rPr>
        <w:t xml:space="preserve">Ergebnis: </w:t>
      </w:r>
      <w:r>
        <w:t>58,2 % zu zusätzlicher Dosis bereit, 18,9 % ablehnend, 22,9 % unentschieden. Erhöhte Pandemie-Müdigkeit assoziiert mit Ablehnung (OR 1,63), niedriges Vertrauen in Behörden mit Ablehnung (OR 0,60), höhere wahrgenommene Bequemlichkeit mit Akzeptanz (OR 1,29). Alltägliche Belastungen bidirektional: erhöhte Chancen sowohl für Ablehnung als auch Akzeptanz je nach subjektiver Maßnahmenbequemlichkeit.</w:t>
      </w:r>
    </w:p>
    <w:p>
      <w:r>
        <w:rPr>
          <w:b/>
          <w:sz w:val="19"/>
        </w:rPr>
        <w:t xml:space="preserve">Übertragbarkeit: </w:t>
      </w:r>
      <w:r>
        <w:rPr>
          <w:sz w:val="19"/>
        </w:rPr>
        <w:t>Hong Kong-Kontext, aber Befunde zu Pandemie-Ermüdung und Vertrauensverlust auf Deutschland übertragbar</w:t>
      </w:r>
    </w:p>
    <w:p>
      <w:r>
        <w:rPr>
          <w:color w:val="5A7D3A"/>
          <w:sz w:val="18"/>
        </w:rPr>
        <w:t>https://pubmed.ncbi.nlm.nih.gov/42910459/</w:t>
      </w:r>
    </w:p>
    <w:p>
      <w:pPr>
        <w:pStyle w:val="Heading2"/>
      </w:pPr>
      <w:r>
        <w:t>Impfeffektivität gegen COVID-19: Schnelltests verzerren die Ergebnisse je nach Impfstatus</w:t>
      </w:r>
    </w:p>
    <w:p>
      <w:r>
        <w:rPr>
          <w:i/>
          <w:color w:val="666666"/>
          <w:sz w:val="18"/>
        </w:rPr>
        <w:t>Wiegand RE et al.  ·  Int J Epidemiol  ·  14.10.2026  ·  PMID 42909463</w:t>
      </w:r>
    </w:p>
    <w:p>
      <w:r>
        <w:t>Individuell-level Simulationen mit US-Surveillance-Daten zu Verzerrungsrisiken in Test-Negativ-Studien (TND) zur Impfeffektivität durch unterschiedliche RDT-Nutzung zwischen Geimpften und Ungeimpften.</w:t>
      </w:r>
    </w:p>
    <w:p>
      <w:r>
        <w:rPr>
          <w:b/>
        </w:rPr>
        <w:t xml:space="preserve">Ergebnis: </w:t>
      </w:r>
      <w:r>
        <w:t>Impfeffektivität unterschätzt (−5,8 bis −6,1 Prozentpunkte), wenn Geimpfte häufiger nach positivem RDT oder Ungeimpfte häufiger nach negativem RDT Gesundheitseinrichtungen aufsuchen; überschätzt (+5,2 bis +8,4 Prozentpunkte) bei umgekehrtem Muster. Verzerrung abhängig von Wahrscheinlichkeiten: Geimpfte Klinik-Besuch nach positiv RDT 0,5 vs. Ungeimpfte 0,3 → Bias −5,8 pp (95 % UI −9,1 bis −2,4).</w:t>
      </w:r>
    </w:p>
    <w:p>
      <w:r>
        <w:rPr>
          <w:b/>
          <w:sz w:val="19"/>
        </w:rPr>
        <w:t xml:space="preserve">Übertragbarkeit: </w:t>
      </w:r>
      <w:r>
        <w:rPr>
          <w:sz w:val="19"/>
        </w:rPr>
        <w:t>USA-Datenbasis, aber methodische Verzerrungsanalyse zu TND-Studien auf deutsche COVID-Impfeffektivitätsbewertung übertragbar</w:t>
      </w:r>
    </w:p>
    <w:p>
      <w:r>
        <w:rPr>
          <w:color w:val="5A7D3A"/>
          <w:sz w:val="18"/>
        </w:rPr>
        <w:t>https://pubmed.ncbi.nlm.nih.gov/42909463/</w:t>
      </w:r>
    </w:p>
    <w:p>
      <w:pPr>
        <w:pStyle w:val="Heading2"/>
      </w:pPr>
      <w:r>
        <w:t>HPV-Impfung an chinesischen Unis: Wissen schlecht, Bereitschaft mittel, Uptake schwach</w:t>
      </w:r>
    </w:p>
    <w:p>
      <w:r>
        <w:rPr>
          <w:i/>
          <w:color w:val="666666"/>
          <w:sz w:val="18"/>
        </w:rPr>
        <w:t>Zhu M et al.  ·  Front Public Health  ·  07.10.2026  ·  PMID 42909026</w:t>
      </w:r>
    </w:p>
    <w:p>
      <w:r>
        <w:t>Querschnittstudie (959 Studierende, Shandong) zur HPV-Impfakzeptanz mittels Knowledge-Attitude-Practice-Framework mit Strukturgleichungsmodellierung.</w:t>
      </w:r>
    </w:p>
    <w:p>
      <w:r>
        <w:rPr>
          <w:b/>
        </w:rPr>
        <w:t xml:space="preserve">Ergebnis: </w:t>
      </w:r>
      <w:r>
        <w:t>Durchschnittliches Wissensscore 54,8 % (schwach), Einstellung 74,8 % (moderat), Praxis 67,1 % (moderat). Wissen direkt mit Einstellung (β=0,119, p=0,012) und Praxis assoziiert (β=0,461, p=0,014); Einstellung auch indirekt relevant (β=0,014 indirekt, p=0,003). Männeranteil 58 %, HPV-bezogene Wissenslücken erheblich, Zugang zu Untersuchung und Impfung beschränkt.</w:t>
      </w:r>
    </w:p>
    <w:p>
      <w:r>
        <w:rPr>
          <w:b/>
          <w:sz w:val="19"/>
        </w:rPr>
        <w:t xml:space="preserve">Übertragbarkeit: </w:t>
      </w:r>
      <w:r>
        <w:rPr>
          <w:sz w:val="19"/>
        </w:rPr>
        <w:t>China, aber KAP-Struktur und Geschlechtseffekte auf deutsche Männer-Impfquoten anwendbar</w:t>
      </w:r>
    </w:p>
    <w:p>
      <w:r>
        <w:rPr>
          <w:color w:val="5A7D3A"/>
          <w:sz w:val="18"/>
        </w:rPr>
        <w:t>https://pubmed.ncbi.nlm.nih.gov/42909026/</w:t>
      </w:r>
    </w:p>
    <w:p>
      <w:pPr>
        <w:pStyle w:val="Heading2"/>
      </w:pPr>
      <w:r>
        <w:t>24-valente Pneumokokken-Konjugatimpfung: sichere Immunantwort in Phase-1/2-Studien</w:t>
      </w:r>
    </w:p>
    <w:p>
      <w:r>
        <w:rPr>
          <w:i/>
          <w:color w:val="666666"/>
          <w:sz w:val="18"/>
        </w:rPr>
        <w:t>Wang K et al.  ·  Expert Rev Vaccines  ·  22.10.2026  ·  PMID 42908339</w:t>
      </w:r>
    </w:p>
    <w:p>
      <w:r>
        <w:t>Zwei RCTs (Phase 1: n=240, Phase 2: n=992, chinesische Erwachsene) zur Sicherheit und Immunogenität von PCV24 vs. PPSV23 und Placebo.</w:t>
      </w:r>
    </w:p>
    <w:p>
      <w:r>
        <w:rPr>
          <w:b/>
        </w:rPr>
        <w:t xml:space="preserve">Ergebnis: </w:t>
      </w:r>
      <w:r>
        <w:t>Post-Impf-Nebenwirkungen überwiegend Grad 1–2, seltene Grad-3-Ereignisse nur Tag 0–7; keine impfbedingten schwerwiegenden Nebenwirkungen über 6 Monate. PCV24-Hochdosis erreichte Nicht-Unterlegenheit für IgG-Serokonversion aller 24 Serotpyen vs. PPSV23. Verträglichkeitsprofil günstig, robuste Immunantwort dokumentiert.</w:t>
      </w:r>
    </w:p>
    <w:p>
      <w:r>
        <w:rPr>
          <w:b/>
          <w:sz w:val="19"/>
        </w:rPr>
        <w:t xml:space="preserve">Übertragbarkeit: </w:t>
      </w:r>
      <w:r>
        <w:rPr>
          <w:sz w:val="19"/>
        </w:rPr>
        <w:t>China, Sicherheitsdaten aber zu Pneumokokkenimpfung kohärent mit europäischem Sicherheitsreglement; Nutzbar für Risikoabwägung</w:t>
      </w:r>
    </w:p>
    <w:p>
      <w:r>
        <w:rPr>
          <w:color w:val="5A7D3A"/>
          <w:sz w:val="18"/>
        </w:rPr>
        <w:t>https://pubmed.ncbi.nlm.nih.gov/42908339/</w:t>
      </w:r>
    </w:p>
    <w:p>
      <w:pPr>
        <w:pStyle w:val="Heading2"/>
      </w:pPr>
      <w:r>
        <w:t>Tollwutimpfung bei Hunden: Strukturen schlagen Wissen, Einstellung und Appelle</w:t>
      </w:r>
    </w:p>
    <w:p>
      <w:r>
        <w:rPr>
          <w:i/>
          <w:color w:val="666666"/>
          <w:sz w:val="18"/>
        </w:rPr>
        <w:t>Sun K et al.  ·  Transbound Emerg Dis  ·  2026  ·  PMID 42905874</w:t>
      </w:r>
    </w:p>
    <w:p>
      <w:r>
        <w:t>Mehrebenen-Querschnittsstudie (2.148 ländliche Bewohner, 282 Hundehalter, China) zu Determinanten der Hundertollwut-Impfung mittels multilevel mixed effects und SEM.</w:t>
      </w:r>
    </w:p>
    <w:p>
      <w:r>
        <w:rPr>
          <w:b/>
        </w:rPr>
        <w:t xml:space="preserve">Ergebnis: </w:t>
      </w:r>
      <w:r>
        <w:t>Wissensquote 68,0 %, positive Einstellung 88,1 %, aber nur 26,5 % aktive Praxis bei Menschen; Hundimpfquote 36,2 %. Einstellung mediierte Wissenseffekt (91,0 % des indirekten Pfads). Strukturelle Faktoren dominierten jedoch: erworbene Hunde 3,4× höhere Impfquote als Eigenaufzucht (OR 3,38), angebundene Hunde 3,8× höher als frei laufende (OR 3,77). Wissen/Einstellung unzureichend ohne Managementreformen.</w:t>
      </w:r>
    </w:p>
    <w:p>
      <w:r>
        <w:rPr>
          <w:b/>
          <w:sz w:val="19"/>
        </w:rPr>
        <w:t xml:space="preserve">Übertragbarkeit: </w:t>
      </w:r>
      <w:r>
        <w:rPr>
          <w:sz w:val="19"/>
        </w:rPr>
        <w:t>China ländlich, aber Befund zu Strukturbarrieren über KAP hinaus auf deutsche Tierimpfprogramme und deren Umsetzungshindernisse übertragbar</w:t>
      </w:r>
    </w:p>
    <w:p>
      <w:r>
        <w:rPr>
          <w:color w:val="5A7D3A"/>
          <w:sz w:val="18"/>
        </w:rPr>
        <w:t>https://pubmed.ncbi.nlm.nih.gov/42905874/</w:t>
      </w:r>
    </w:p>
    <w:p>
      <w:pPr>
        <w:pStyle w:val="Heading2"/>
      </w:pPr>
      <w:r>
        <w:t>Strategien gegen Impfskepsis: Was Systemreformen leisten</w:t>
      </w:r>
    </w:p>
    <w:p>
      <w:r>
        <w:rPr>
          <w:i/>
          <w:color w:val="666666"/>
          <w:sz w:val="18"/>
        </w:rPr>
        <w:t>Marques APDC et al.  ·  Epidemiol Serv Saude  ·  12.10.2026  ·  PMID 42903010</w:t>
      </w:r>
    </w:p>
    <w:p>
      <w:r>
        <w:t>Systematische Übersicht von 48 Systematic Reviews zu Maßnahmen gegen Impfhesitanz in Brasilien (urban, Erwachsene ab 18 Jahren, Schwangere).</w:t>
      </w:r>
    </w:p>
    <w:p>
      <w:r>
        <w:rPr>
          <w:b/>
        </w:rPr>
        <w:t xml:space="preserve">Ergebnis: </w:t>
      </w:r>
      <w:r>
        <w:t>Wirksame Strategien erfordern Kombination von fünf Handlungsfeldern: (1) zielgruppenbezogene Kommunikationsverstärkung, (2) permanente Fortbildung für Gesundheitsfachpersonen, (3) Zugangsverbesserung (Infrastruktur und Verfügbarkeit), (4) Desinformationsbekämpfung, (5) integrierte Schwangerschafts-Impfstrategien. Einzelmaßnahmen unzureichend; systemische Koordination erforderlich.</w:t>
      </w:r>
    </w:p>
    <w:p>
      <w:r>
        <w:rPr>
          <w:b/>
          <w:sz w:val="19"/>
        </w:rPr>
        <w:t xml:space="preserve">Übertragbarkeit: </w:t>
      </w:r>
      <w:r>
        <w:rPr>
          <w:sz w:val="19"/>
        </w:rPr>
        <w:t>Brasilien, aber Befunde zu kombinierter Systemstrategie relevant für deutsches Impfprogramm-Design</w:t>
      </w:r>
    </w:p>
    <w:p>
      <w:r>
        <w:rPr>
          <w:color w:val="5A7D3A"/>
          <w:sz w:val="18"/>
        </w:rPr>
        <w:t>https://pubmed.ncbi.nlm.nih.gov/42903010/</w:t>
      </w:r>
    </w:p>
    <w:p>
      <w:pPr>
        <w:pStyle w:val="Heading1"/>
      </w:pPr>
      <w:r>
        <w:t>Aufgenommen am 23.10.2026</w:t>
      </w:r>
    </w:p>
    <w:p>
      <w:pPr>
        <w:pStyle w:val="Heading2"/>
      </w:pPr>
      <w:r>
        <w:t>Ärztliche Impf-Verordnung hebt Impfquoten bei älteren Erwachsenen deutlich</w:t>
      </w:r>
    </w:p>
    <w:p>
      <w:r>
        <w:rPr>
          <w:i/>
          <w:color w:val="666666"/>
          <w:sz w:val="18"/>
        </w:rPr>
        <w:t>Yan XT et al.  ·  Zhonghua Liu Xing Bing Xue Za Zhi  ·  10.10.2026  ·  PMID 42907186</w:t>
      </w:r>
    </w:p>
    <w:p>
      <w:r>
        <w:t>Vorher-nachher-Querschnittsstudie an 10.500 Patienten in Zhejiang, China (März–April 2024 und September–Oktober 2025), mit multistufiger Stichprobenziehung über 175 Standorte, zur Evaluation eines Impf-Verordnungs-Programms für Influenza, Pneumokokken und Zoster.</w:t>
      </w:r>
    </w:p>
    <w:p>
      <w:r>
        <w:rPr>
          <w:b/>
        </w:rPr>
        <w:t xml:space="preserve">Ergebnis: </w:t>
      </w:r>
      <w:r>
        <w:t>Impfquoten stiegen für Influenza von 45,16 % auf 65,72 %, Pneumokokken von 16,42 % auf 22,74 %, Zoster von 1,93 % auf 5,74 % (alle p &lt; 0,001). Bei Patienten mit Impf-Verordnung: Influenza 79,69 %, Pneumokokken 33,31 %, Zoster 11,13 % – alle signifikant höher als ohne Verordnung. Multivariate Analyse (adjustiert für Demografie und Standortcluster): Influenza aOR = 3,16 (95 %-KI 2,68–3,72), Pneumokokken aOR = 1,56 (1,30–1,87), Zoster aOR = 3,05 (2,18–4,26). Ärztliche Empfehlung als Hauptförderfaktor.</w:t>
      </w:r>
    </w:p>
    <w:p>
      <w:r>
        <w:rPr>
          <w:b/>
          <w:sz w:val="19"/>
        </w:rPr>
        <w:t xml:space="preserve">Übertragbarkeit: </w:t>
      </w:r>
      <w:r>
        <w:rPr>
          <w:sz w:val="19"/>
        </w:rPr>
        <w:t>China, strukturell vergleichbar mit aufsuchenden Programmen; Versorgungspraxis</w:t>
      </w:r>
    </w:p>
    <w:p>
      <w:r>
        <w:rPr>
          <w:color w:val="5A7D3A"/>
          <w:sz w:val="18"/>
        </w:rPr>
        <w:t>https://pubmed.ncbi.nlm.nih.gov/42907186/</w:t>
      </w:r>
    </w:p>
    <w:p>
      <w:pPr>
        <w:pStyle w:val="Heading2"/>
      </w:pPr>
      <w:r>
        <w:t>Verhaltensinterventionen mit Community-Beteiligung erhöhen Impfakzeptanz in fragilen Kontexten</w:t>
      </w:r>
    </w:p>
    <w:p>
      <w:r>
        <w:rPr>
          <w:i/>
          <w:color w:val="666666"/>
          <w:sz w:val="18"/>
        </w:rPr>
        <w:t>Malik FA et al.  ·  Behav Med  ·  21.10.2026  ·  PMID 42904418</w:t>
      </w:r>
    </w:p>
    <w:p>
      <w:r>
        <w:t>Qualitative Prozessevaluationen an vier Gesundheitszentren im Tschad (2022–2023) mit 48 Interviews und Feldbeobachtungen zu Integration einer Paket-Intervention (Impfbotschaften, Champions, Erinnerungsaktivitäten) ins Routine-Impfsystem, geleitet von WHO-BeSD-Rahmen und IA2030.</w:t>
      </w:r>
    </w:p>
    <w:p>
      <w:r>
        <w:rPr>
          <w:b/>
        </w:rPr>
        <w:t xml:space="preserve">Ergebnis: </w:t>
      </w:r>
      <w:r>
        <w:t>Kernfindungen: Partizipative Co-Kreation und aktive Impf-Champions waren zentral für Akzeptanz und Teilnahme. Intervention wurde trotz früher Unterbrechung in Routinepraxen integriert. Akteure beschrieben gestiegenes Community-Vertrauen und erhöhtes Engagement für Impfung, insbesondere in Zero-Dose- und Unter-Immunisierten-Gruppen. Mechanismen für lokale Eigenverantwortung und kontextresponsive Lieferung identifiziert.</w:t>
      </w:r>
    </w:p>
    <w:p>
      <w:r>
        <w:rPr>
          <w:b/>
          <w:sz w:val="19"/>
        </w:rPr>
        <w:t xml:space="preserve">Übertragbarkeit: </w:t>
      </w:r>
      <w:r>
        <w:rPr>
          <w:sz w:val="19"/>
        </w:rPr>
        <w:t>Tschad (fragiler Kontext), übertragbar auf Engagement-Strategien in heterogenen Populationen</w:t>
      </w:r>
    </w:p>
    <w:p>
      <w:r>
        <w:rPr>
          <w:color w:val="5A7D3A"/>
          <w:sz w:val="18"/>
        </w:rPr>
        <w:t>https://pubmed.ncbi.nlm.nih.gov/42904418/</w:t>
      </w:r>
    </w:p>
    <w:p>
      <w:pPr>
        <w:pStyle w:val="Heading2"/>
      </w:pPr>
      <w:r>
        <w:t>Verhaltensprogramm für Zahnpraxen könnte HPV-Impfquoten erhöhen</w:t>
      </w:r>
    </w:p>
    <w:p>
      <w:r>
        <w:rPr>
          <w:i/>
          <w:color w:val="666666"/>
          <w:sz w:val="18"/>
        </w:rPr>
        <w:t>Mabry PL et al.  ·  Behav Med  ·  21.10.2026  ·  PMID 42904413</w:t>
      </w:r>
    </w:p>
    <w:p>
      <w:r>
        <w:t>Entwicklungsstudie einer theoriegestützten Verhaltensintervention für Zahnärzte zur Promotion der HPV-Impfung, geleitet durch Behavior Change Wheel und COM-B-Modell, mit Rapid-Review, Interviews mit Zahnpraktikern und Umfragen bei Eltern und geeigneten Patienten (2024–2026).</w:t>
      </w:r>
    </w:p>
    <w:p>
      <w:r>
        <w:rPr>
          <w:b/>
        </w:rPr>
        <w:t xml:space="preserve">Ergebnis: </w:t>
      </w:r>
      <w:r>
        <w:t>Zentrale Barrieren identifiziert: mangelndes Wissen zu HPV/HPV-Impfstoff, niedrige Selbstwirksamkeit, Befürchtungen vor negativen Konsequenzen. Finale Intervention: Didaktische Schulung, Skripte, tailorierte Botschaften in klinischem Entscheidungshilfe-Tool und Leistungs-Feedback. Pilottests: Zeiteffizient, akzeptabel für Praktiker und Patienten/Eltern. Keine Förderung für Effektivitätsstudie – Autoren suchten Unterstützung.</w:t>
      </w:r>
    </w:p>
    <w:p>
      <w:r>
        <w:rPr>
          <w:b/>
          <w:sz w:val="19"/>
        </w:rPr>
        <w:t xml:space="preserve">Übertragbarkeit: </w:t>
      </w:r>
      <w:r>
        <w:rPr>
          <w:sz w:val="19"/>
        </w:rPr>
        <w:t>USA; Studiendesign übertragbar auf Setting-basierte Impfpromotion</w:t>
      </w:r>
    </w:p>
    <w:p>
      <w:r>
        <w:rPr>
          <w:color w:val="5A7D3A"/>
          <w:sz w:val="18"/>
        </w:rPr>
        <w:t>https://pubmed.ncbi.nlm.nih.gov/42904413/</w:t>
      </w:r>
    </w:p>
    <w:p>
      <w:pPr>
        <w:pStyle w:val="Heading2"/>
      </w:pPr>
      <w:r>
        <w:t>COVID-19- und Influenza-Impfbereitschaft folgen teilweise unterschiedlichen Mustern</w:t>
      </w:r>
    </w:p>
    <w:p>
      <w:r>
        <w:rPr>
          <w:i/>
          <w:color w:val="666666"/>
          <w:sz w:val="18"/>
        </w:rPr>
        <w:t>Duplaga M et al.  ·  Front Public Health  ·  06.10.2026  ·  PMID 42903207</w:t>
      </w:r>
    </w:p>
    <w:p>
      <w:r>
        <w:t>Querschnittsbefragung von 3.000 polnischen Erwachsenen (Mai 2026) mit COM-B-Modell zu Impfabsichten für COVID-19 und Influenza sowie Vaccine-Hesitancy-Skala, Gesundheitskompetenz und Verschwörungsmentalität.</w:t>
      </w:r>
    </w:p>
    <w:p>
      <w:r>
        <w:rPr>
          <w:b/>
        </w:rPr>
        <w:t xml:space="preserve">Ergebnis: </w:t>
      </w:r>
      <w:r>
        <w:t>Impfabsicht: 18,2 % für COVID-19, 31,5 % für Influenza. Fähigkeit (Capability) assoziiert mit beiden Absichten (COVID-19 OR = 1,31; Influenza OR = 1,74). Motivation erhöhte beide (COVID-19 OR = 2,64; Influenza OR = 1,56). Impfskepsis trug zusätzlich erklärende Kraft bei. Politische Präferenz zeigte Impfstoff-spezifisches Muster: Anhänger der Rechtspartei hatten niedrigere COVID-19-Absicht (OR = 0,50), aber keine Assoziation für Influenza. Modellgüte (Nagelkerke R² 0,387–0,392).</w:t>
      </w:r>
    </w:p>
    <w:p>
      <w:r>
        <w:rPr>
          <w:b/>
          <w:sz w:val="19"/>
        </w:rPr>
        <w:t xml:space="preserve">Übertragbarkeit: </w:t>
      </w:r>
      <w:r>
        <w:rPr>
          <w:sz w:val="19"/>
        </w:rPr>
        <w:t>Polen, vergleichbare Sozialversicherung; COVID-19-Ergebnis überlastet Portfolio aber</w:t>
      </w:r>
    </w:p>
    <w:p>
      <w:r>
        <w:rPr>
          <w:color w:val="5A7D3A"/>
          <w:sz w:val="18"/>
        </w:rPr>
        <w:t>https://pubmed.ncbi.nlm.nih.gov/42903207/</w:t>
      </w:r>
    </w:p>
    <w:p>
      <w:pPr>
        <w:pStyle w:val="Heading2"/>
      </w:pPr>
      <w:r>
        <w:t>Influenza-Impfantwort unterschied sich zwischen ethnischen Gruppen in England</w:t>
      </w:r>
    </w:p>
    <w:p>
      <w:r>
        <w:rPr>
          <w:i/>
          <w:color w:val="666666"/>
          <w:sz w:val="18"/>
        </w:rPr>
        <w:t>Nazareth J et al.  ·  J Infect  ·  29.09.2026  ·  PMID 42810690</w:t>
      </w:r>
    </w:p>
    <w:p>
      <w:r>
        <w:t>Prospektive Kohorte von 815 Gesundheitsfachpersonen in Großbritannien (2020–2022) mit Bestimmung von Hämagglutinin-Hemmtiteln nach Influenza-Impfung.</w:t>
      </w:r>
    </w:p>
    <w:p>
      <w:r>
        <w:rPr>
          <w:b/>
        </w:rPr>
        <w:t xml:space="preserve">Ergebnis: </w:t>
      </w:r>
      <w:r>
        <w:t>Im ersten Jahr zeigten sich keine signifikanten ethnischen Unterschiede. Im zweiten Jahr hatten südasiatische Teilnehmer einen stärkeren Anstieg der A/H1N1-Antikörper während der Booster-Phase (geometrisches Mittel-Ratio 1,77; 95 %-KI 1,26–2,48; p = 0,001). Eine vorherige Influenza-Impfung erklärte die beobachteten Unterschiede teilweise. Die Befunde deuten auf unterschiedliche Immunantworten hin, möglicherweise bedingt durch unterschiedliche Vorimmunsierung.</w:t>
      </w:r>
    </w:p>
    <w:p>
      <w:r>
        <w:rPr>
          <w:b/>
          <w:sz w:val="19"/>
        </w:rPr>
        <w:t xml:space="preserve">Übertragbarkeit: </w:t>
      </w:r>
      <w:r>
        <w:rPr>
          <w:sz w:val="19"/>
        </w:rPr>
        <w:t>UK-Klinikdaten, vergleichbare Dokumentationspflichten und Impfkalendar</w:t>
      </w:r>
    </w:p>
    <w:p>
      <w:r>
        <w:rPr>
          <w:color w:val="5A7D3A"/>
          <w:sz w:val="18"/>
        </w:rPr>
        <w:t>https://pubmed.ncbi.nlm.nih.gov/42810690/</w:t>
      </w:r>
    </w:p>
    <w:p>
      <w:pPr>
        <w:pStyle w:val="Heading2"/>
      </w:pPr>
      <w:r>
        <w:t>Mütterliche Keuchhusten-Impfung schützt Neugeborene auch nach COVID-19</w:t>
      </w:r>
    </w:p>
    <w:p>
      <w:r>
        <w:rPr>
          <w:i/>
          <w:color w:val="666666"/>
          <w:sz w:val="18"/>
        </w:rPr>
        <w:t>Walker JL et al.  ·  J Infect  ·  31.08.2026  ·  PMID 42674297</w:t>
      </w:r>
    </w:p>
    <w:p>
      <w:r>
        <w:t>Fallkontrollstudie mit 188 laborbestätigten Pertussis-Fällen bei unter 3 Monate alten Säuglingen (Januar 2020–März 2024) und Deckungsdaten von 453.740 Schwangerschaften in Großbritannien.</w:t>
      </w:r>
    </w:p>
    <w:p>
      <w:r>
        <w:rPr>
          <w:b/>
        </w:rPr>
        <w:t xml:space="preserve">Ergebnis: </w:t>
      </w:r>
      <w:r>
        <w:t>Impfeffektivität gegen laborbestätigte Pertussis 84,6 % (95 %-KI 76,9–89,7 %), gegen Hospitalisierung 88,2 % (95 %-KI 81–92,7 %), gegen Tod 91,5 % (95 %-KI 75,4–97,1 %). Hohe Wirksamkeit über alle Gestationsalter-Kategorien hinweg; kein statistisch signifikanter Unterschied. Das Programm hat seine hohe Schutzwirkung beibehalten und war nicht Ursache des post-pandemischen Pertussis-Anstiegs.</w:t>
      </w:r>
    </w:p>
    <w:p>
      <w:r>
        <w:rPr>
          <w:b/>
          <w:sz w:val="19"/>
        </w:rPr>
        <w:t xml:space="preserve">Übertragbarkeit: </w:t>
      </w:r>
      <w:r>
        <w:rPr>
          <w:sz w:val="19"/>
        </w:rPr>
        <w:t>England-Daten, vergleichbare Mutterschaftshilfe und Impfregister</w:t>
      </w:r>
    </w:p>
    <w:p>
      <w:r>
        <w:rPr>
          <w:color w:val="5A7D3A"/>
          <w:sz w:val="18"/>
        </w:rPr>
        <w:t>https://pubmed.ncbi.nlm.nih.gov/42674297/</w:t>
      </w:r>
    </w:p>
    <w:p>
      <w:pPr>
        <w:pStyle w:val="Heading1"/>
      </w:pPr>
      <w:r>
        <w:t>Aufgenommen am 22.10.2026</w:t>
      </w:r>
    </w:p>
    <w:p>
      <w:pPr>
        <w:pStyle w:val="Heading2"/>
      </w:pPr>
      <w:r>
        <w:t>COVID-19-Impfquote bei schwangeren und stillenden Frauen in Uganda deutlich unter Erwartung</w:t>
      </w:r>
    </w:p>
    <w:p>
      <w:r>
        <w:rPr>
          <w:i/>
          <w:color w:val="666666"/>
          <w:sz w:val="18"/>
        </w:rPr>
        <w:t>Katana EB et al.  ·  BMC Pregnancy Childbirth  ·  25.07.2026  ·  PMID 42902272</w:t>
      </w:r>
    </w:p>
    <w:p>
      <w:r>
        <w:t>Querschnittsstudie an 424 schwangeren und stillenden Frauen in Uganda zur Akzeptanz und Inanspruchnahme von COVID-19-Impfungen im Vergleich zu anderen Mütterimpfungen.</w:t>
      </w:r>
    </w:p>
    <w:p>
      <w:r>
        <w:rPr>
          <w:b/>
        </w:rPr>
        <w:t xml:space="preserve">Ergebnis: </w:t>
      </w:r>
      <w:r>
        <w:t>51,6% hatten mind. eine COVID-19-Impfdosis erhalten, 94,1% waren gegen Tetanus geimpft; 48,4% waren bereit, COVID-19-Impfungen zu erhalten. Nur 2,4% waren während Stillzeit geimpft worden, keine während Schwangerschaft. Schutzfaktoren: COVID-19-Test in der Vorgeschichte (aRR=1,92, 95%-KI 1,46–2,54) und geimpftes Haushaltsmitglied (aRR=1,34, 95%-KI 1,03–1,84).</w:t>
      </w:r>
    </w:p>
    <w:p>
      <w:r>
        <w:rPr>
          <w:b/>
          <w:sz w:val="19"/>
        </w:rPr>
        <w:t xml:space="preserve">Übertragbarkeit: </w:t>
      </w:r>
      <w:r>
        <w:rPr>
          <w:sz w:val="19"/>
        </w:rPr>
        <w:t>Uganda-Daten; transferierbar für Länder mit ähnlicher Gesundheitskommunikation und Ressourcenlage.</w:t>
      </w:r>
    </w:p>
    <w:p>
      <w:r>
        <w:rPr>
          <w:color w:val="5A7D3A"/>
          <w:sz w:val="18"/>
        </w:rPr>
        <w:t>https://pubmed.ncbi.nlm.nih.gov/42902272/</w:t>
      </w:r>
    </w:p>
    <w:p>
      <w:pPr>
        <w:pStyle w:val="Heading2"/>
      </w:pPr>
      <w:r>
        <w:t>Wie Desinformation in sozialen Medien Impfbereitschaft politisiert: Fallstudie Saskatchewan</w:t>
      </w:r>
    </w:p>
    <w:p>
      <w:r>
        <w:rPr>
          <w:i/>
          <w:color w:val="666666"/>
          <w:sz w:val="18"/>
        </w:rPr>
        <w:t>Dyck E et al.  ·  Can J Health Hist  ·  20.10.2026  ·  PMID 42900833</w:t>
      </w:r>
    </w:p>
    <w:p>
      <w:r>
        <w:t>Qualitative Analyse mit Interviews und Medienquellen zu Verschiebung der Impfakzeptanz in Saskatchewan während COVID-19: von Konsens für Impfung 2020 zu Anti-Impf-Bewegung 2021–2022.</w:t>
      </w:r>
    </w:p>
    <w:p>
      <w:r>
        <w:rPr>
          <w:b/>
        </w:rPr>
        <w:t xml:space="preserve">Ergebnis: </w:t>
      </w:r>
      <w:r>
        <w:t>Saskatchewan wandelte sich von Hochburg der Impfstoffproduktion zu Zentrum der Anti-Impf-Bewegung. Unmoderierte Diskurse in sozialen Medien überlagerten kollektive Reaktionen und politisierten Impfungen als pro-regierungspolitisch. Premierminister Scott Moe wechselte von pro-Impf- zu kritischer Haltung gegenüber Bundesimpfpolitik.</w:t>
      </w:r>
    </w:p>
    <w:p>
      <w:r>
        <w:rPr>
          <w:b/>
          <w:sz w:val="19"/>
        </w:rPr>
        <w:t xml:space="preserve">Übertragbarkeit: </w:t>
      </w:r>
      <w:r>
        <w:rPr>
          <w:sz w:val="19"/>
        </w:rPr>
        <w:t>Kanada, vergleichbare föderale Struktur und Medienlandschaft; Mechanismen der Vaccine Hesitancy übertragbar auf DACH-Region.</w:t>
      </w:r>
    </w:p>
    <w:p>
      <w:r>
        <w:rPr>
          <w:color w:val="5A7D3A"/>
          <w:sz w:val="18"/>
        </w:rPr>
        <w:t>https://pubmed.ncbi.nlm.nih.gov/42900833/</w:t>
      </w:r>
    </w:p>
    <w:p>
      <w:pPr>
        <w:pStyle w:val="Heading2"/>
      </w:pPr>
      <w:r>
        <w:t>RSV-Impfung in der Schwangerschaft: Evidenz zur Wirksamkeit und Sicherheit der Prefusion-F-Vakzine</w:t>
      </w:r>
    </w:p>
    <w:p>
      <w:r>
        <w:rPr>
          <w:i/>
          <w:color w:val="666666"/>
          <w:sz w:val="18"/>
        </w:rPr>
        <w:t>Xiao MR et al.  ·  Zhonghua Yu Fang Yi Xue Za Zhi  ·  06.10.2026  ·  PMID 42893914</w:t>
      </w:r>
    </w:p>
    <w:p>
      <w:r>
        <w:t>Narrative Übersichtsarbeit zu RSV-Impfung schwangerer Frauen: Entwicklung, klinische Wirksamkeit, Sicherheit und Strategieempfehlungen von WHO und EMA.</w:t>
      </w:r>
    </w:p>
    <w:p>
      <w:r>
        <w:rPr>
          <w:b/>
        </w:rPr>
        <w:t xml:space="preserve">Ergebnis: </w:t>
      </w:r>
      <w:r>
        <w:t>RSVpreF-Impfstoff zeigt wirksame Übertragung maternaler Antikörper auf Neugeborene und verhindert RSV-Erkrankungen in frühem Säuglingsalter. Sicherheitsdaten positiv, aber langfristige Überwachung erforderlich. Mehrheitlich WHO und EMA empfehlen Impfung schwangerer Frauen ab Trimester 2 oder 3.</w:t>
      </w:r>
    </w:p>
    <w:p>
      <w:r>
        <w:rPr>
          <w:b/>
          <w:sz w:val="19"/>
        </w:rPr>
        <w:t xml:space="preserve">Übertragbarkeit: </w:t>
      </w:r>
      <w:r>
        <w:rPr>
          <w:sz w:val="19"/>
        </w:rPr>
        <w:t>China-Review; Empfehlungen von EMA/WHO gelten für deutsche Versorgung, Transfer jedoch an Impfkalender und Datenverfügbarkeit gebunden.</w:t>
      </w:r>
    </w:p>
    <w:p>
      <w:r>
        <w:rPr>
          <w:color w:val="5A7D3A"/>
          <w:sz w:val="18"/>
        </w:rPr>
        <w:t>https://pubmed.ncbi.nlm.nih.gov/42893914/</w:t>
      </w:r>
    </w:p>
    <w:p>
      <w:pPr>
        <w:pStyle w:val="Heading2"/>
      </w:pPr>
      <w:r>
        <w:t>Melioidose in Asien: Unterschätzte Last und Bedarf für Impfstoffentwicklung</w:t>
      </w:r>
    </w:p>
    <w:p>
      <w:r>
        <w:rPr>
          <w:i/>
          <w:color w:val="666666"/>
          <w:sz w:val="18"/>
        </w:rPr>
        <w:t>Afnani MR et al.  ·  Trop Biomed  ·  01.09.2026  ·  PMID 42891935</w:t>
      </w:r>
    </w:p>
    <w:p>
      <w:r>
        <w:t>Narrative Übersichtsarbeit zu Epidemiologie, Risikofaktoren, Therapie und Impfstoffentwicklung der Melioidose in Asien mit Fokus auf Impfkandidaten und Versorgungslücken.</w:t>
      </w:r>
    </w:p>
    <w:p>
      <w:r>
        <w:rPr>
          <w:b/>
        </w:rPr>
        <w:t xml:space="preserve">Ergebnis: </w:t>
      </w:r>
      <w:r>
        <w:t>Südostasien endemisch, Südasien trägt großen Teil der globalen Last. Mehrere Impfkandidaten (live-attenuiert, rekombinant, Glykoknjugate, Vesikel, Nanopartikel) zeigen präklinische Schutzeffekte, aber kein zugelassener Impfstoff vorhanden. One-Health-Ansatz und Kapazitätsaufbau erforderlich.</w:t>
      </w:r>
    </w:p>
    <w:p>
      <w:r>
        <w:rPr>
          <w:b/>
          <w:sz w:val="19"/>
        </w:rPr>
        <w:t xml:space="preserve">Übertragbarkeit: </w:t>
      </w:r>
      <w:r>
        <w:rPr>
          <w:sz w:val="19"/>
        </w:rPr>
        <w:t>Narrative Übersicht; Impfkandidaten vorwiegend präklinisch, klinische Daten fehlen.</w:t>
      </w:r>
    </w:p>
    <w:p>
      <w:r>
        <w:rPr>
          <w:color w:val="5A7D3A"/>
          <w:sz w:val="18"/>
        </w:rPr>
        <w:t>https://pubmed.ncbi.nlm.nih.gov/42891935/</w:t>
      </w:r>
    </w:p>
    <w:p>
      <w:pPr>
        <w:pStyle w:val="Heading2"/>
      </w:pPr>
      <w:r>
        <w:t>Darm-Mikrobiom und Impfantwort: Ist personalisierte Impfung nach Mikrobiom-Profiling reif für die Praxis?</w:t>
      </w:r>
    </w:p>
    <w:p>
      <w:r>
        <w:rPr>
          <w:i/>
          <w:color w:val="666666"/>
          <w:sz w:val="18"/>
        </w:rPr>
        <w:t>Sun G et al.  ·  Front Immunol  ·  01.10.2026  ·  PMID 42889669</w:t>
      </w:r>
    </w:p>
    <w:p>
      <w:r>
        <w:t>Systematische Übersichtsarbeit zu Mechanismen, über die das Darm-Mikrobiom die Impfantwort moduliert, mit Fokus auf Short-Chain-Fatty-Acids und Kandidaten für Mikrobiom-gesteuerte Impfoptimierung.</w:t>
      </w:r>
    </w:p>
    <w:p>
      <w:r>
        <w:rPr>
          <w:b/>
        </w:rPr>
        <w:t xml:space="preserve">Ergebnis: </w:t>
      </w:r>
      <w:r>
        <w:t>Taxa replizieren selten über Geographien, Alter und Impfplattformen hinweg. Short-Chain-Fatty-Acids zeigen größte mechanistische Evidenz (vorwiegend präklinisch); Acetate, Propionat und Butyrat unterscheiden sich in Targets, Exposition und Effektrichtung. Probiotika-Studien bei älteren Erwachsenen neutral; BNT162b2 in Mikrobiota-verarmten Mäusen nicht sensitiv. Microbiome-gesteuerte Impfung bleibt Forschungsstrategie, keine etablierte klinische Praxis.</w:t>
      </w:r>
    </w:p>
    <w:p>
      <w:r>
        <w:rPr>
          <w:b/>
          <w:sz w:val="19"/>
        </w:rPr>
        <w:t xml:space="preserve">Übertragbarkeit: </w:t>
      </w:r>
      <w:r>
        <w:rPr>
          <w:sz w:val="19"/>
        </w:rPr>
        <w:t>Systematische Übersicht ohne neue empirische Daten; Befunde zu Mechanismen teilweise präklinisch, klinische Übertragbarkeit noch ungeklärt.</w:t>
      </w:r>
    </w:p>
    <w:p>
      <w:r>
        <w:rPr>
          <w:color w:val="5A7D3A"/>
          <w:sz w:val="18"/>
        </w:rPr>
        <w:t>https://pubmed.ncbi.nlm.nih.gov/42889669/</w:t>
      </w:r>
    </w:p>
    <w:p>
      <w:pPr>
        <w:pStyle w:val="Heading2"/>
      </w:pPr>
      <w:r>
        <w:t>Candida-Impfstoffe: Erste klinische Phase-II-Daten mit NDV-3A, aber Translationshürden bleiben</w:t>
      </w:r>
    </w:p>
    <w:p>
      <w:r>
        <w:rPr>
          <w:i/>
          <w:color w:val="666666"/>
          <w:sz w:val="18"/>
        </w:rPr>
        <w:t>Krier J et al.  ·  Int J Mol Sci  ·  23.09.2026  ·  PMID 42883739</w:t>
      </w:r>
    </w:p>
    <w:p>
      <w:r>
        <w:t>Strukturierte narrative Übersichtsarbeit zu Fortschritten und Barrieren in der Candida-Impfstoffentwicklung 2015–2025, mit Fokus auf NDV-3A und klinische sowie präklinische Evidenz.</w:t>
      </w:r>
    </w:p>
    <w:p>
      <w:r>
        <w:rPr>
          <w:b/>
        </w:rPr>
        <w:t xml:space="preserve">Ergebnis: </w:t>
      </w:r>
      <w:r>
        <w:t>NDV-3A erreichte Phase-II-Validierung—erste großangelegte klinische Studie eines Pilzimpfstoffs. Standardisierung A/J-Maus-Modell für C. auris; Computational-Plattformen mit &gt;94% HLA-Populationsabdeckung. Hindernisse: Kommensale-zu-Pathogen-Dualität, Immunsuppression, antigene Plastizität, Unterinvestition. Nächste Generation könnte Bench-zu-Klinik-Lücke schließen.</w:t>
      </w:r>
    </w:p>
    <w:p>
      <w:r>
        <w:rPr>
          <w:b/>
          <w:sz w:val="19"/>
        </w:rPr>
        <w:t xml:space="preserve">Übertragbarkeit: </w:t>
      </w:r>
      <w:r>
        <w:rPr>
          <w:sz w:val="19"/>
        </w:rPr>
        <w:t>Narrative Übersicht; NDV-3A Phase-II-Daten begrenzt, Translationsreife noch nicht erreicht.</w:t>
      </w:r>
    </w:p>
    <w:p>
      <w:r>
        <w:rPr>
          <w:color w:val="5A7D3A"/>
          <w:sz w:val="18"/>
        </w:rPr>
        <w:t>https://pubmed.ncbi.nlm.nih.gov/42883739/</w:t>
      </w:r>
    </w:p>
    <w:p>
      <w:pPr>
        <w:pStyle w:val="Heading1"/>
      </w:pPr>
      <w:r>
        <w:t>Aufgenommen am 21.10.2026</w:t>
      </w:r>
    </w:p>
    <w:p>
      <w:pPr>
        <w:pStyle w:val="Heading2"/>
      </w:pPr>
      <w:r>
        <w:t>Einführung der Einfachdosis-HPV-Impfung in Kanada</w:t>
      </w:r>
    </w:p>
    <w:p>
      <w:r>
        <w:rPr>
          <w:i/>
          <w:color w:val="666666"/>
          <w:sz w:val="18"/>
        </w:rPr>
        <w:t>Leggatt M et al.  ·  Hum Vaccin Immunother  ·  20.10.2026  ·  PMID 42899377</w:t>
      </w:r>
    </w:p>
    <w:p>
      <w:r>
        <w:t>Analyse von Implementierungshürden und -chancen beim Übergang zu Einfachdosis-HPV-Impfschema für Jugendliche in kanadischen Provinzen.</w:t>
      </w:r>
    </w:p>
    <w:p>
      <w:r>
        <w:rPr>
          <w:b/>
        </w:rPr>
        <w:t xml:space="preserve">Ergebnis: </w:t>
      </w:r>
      <w:r>
        <w:t>Schlüsselfaktoren für Erfolg: transparente Kommunikation zur Begründung der Schemaänderung, ausreichende Vorbereitung von Fachleuten und Impfpersonal, Elterninformation sowie robuste Catch-up-Programme und gezielte Aufsuchung für Risikogruppen. Ohne diese Maßnahmen droht Vertrauensverlust und ungleiche Impfquoten.</w:t>
      </w:r>
    </w:p>
    <w:p>
      <w:r>
        <w:rPr>
          <w:b/>
          <w:sz w:val="19"/>
        </w:rPr>
        <w:t xml:space="preserve">Übertragbarkeit: </w:t>
      </w:r>
      <w:r>
        <w:rPr>
          <w:sz w:val="19"/>
        </w:rPr>
        <w:t>Kanada, vergleichbares öffentliches Impfwesen; Schemaänderungen gelten europaweit.</w:t>
      </w:r>
    </w:p>
    <w:p>
      <w:r>
        <w:rPr>
          <w:color w:val="5A7D3A"/>
          <w:sz w:val="18"/>
        </w:rPr>
        <w:t>https://pubmed.ncbi.nlm.nih.gov/42899377/</w:t>
      </w:r>
    </w:p>
    <w:p>
      <w:pPr>
        <w:pStyle w:val="Heading2"/>
      </w:pPr>
      <w:r>
        <w:t>Politische Polarisierung senkt Impfquoten bei Kindern in US-Bundesstaaten</w:t>
      </w:r>
    </w:p>
    <w:p>
      <w:r>
        <w:rPr>
          <w:i/>
          <w:color w:val="666666"/>
          <w:sz w:val="18"/>
        </w:rPr>
        <w:t>Lin W et al.  ·  BMC Public Health  ·  23.07.2026  ·  PMID 42897547</w:t>
      </w:r>
    </w:p>
    <w:p>
      <w:r>
        <w:t>Querschnittsökologie mit Bundesstaaten-Paneldaten 2014–2024: Zusammenhang zwischen republikanischem Wählerstimmenanteil und Masernimpfquoten nach Kontrolle für Bildung und Einkommen.</w:t>
      </w:r>
    </w:p>
    <w:p>
      <w:r>
        <w:rPr>
          <w:b/>
        </w:rPr>
        <w:t xml:space="preserve">Ergebnis: </w:t>
      </w:r>
      <w:r>
        <w:t>Bundesstaaten mit höherem republikanischem Wahlanteil hatten niedrigere MMR-Quoten (−10,9%-Punkte pro 10%-Punkte Anstieg, 95%-KI −16,69 bis −5,10; p&lt;0,001). Persistenzanalyse mit Bundesstaaten konstanter Wahlausrichtung über vier Wahlen verstärkte den Befund (b=−14,30, p&lt;0,001). Effekt verstärkte sich zeitlich nicht; Bildungsschicht und Politik interagierten nicht.</w:t>
      </w:r>
    </w:p>
    <w:p>
      <w:r>
        <w:rPr>
          <w:b/>
          <w:sz w:val="19"/>
        </w:rPr>
        <w:t xml:space="preserve">Übertragbarkeit: </w:t>
      </w:r>
      <w:r>
        <w:rPr>
          <w:sz w:val="19"/>
        </w:rPr>
        <w:t>USA mit anderer Systemfinanzierung; Befund zur politischen Polarisierung als Impfquoten-Prediktor dennoch übertragbar.</w:t>
      </w:r>
    </w:p>
    <w:p>
      <w:r>
        <w:rPr>
          <w:color w:val="5A7D3A"/>
          <w:sz w:val="18"/>
        </w:rPr>
        <w:t>https://pubmed.ncbi.nlm.nih.gov/42897547/</w:t>
      </w:r>
    </w:p>
    <w:p>
      <w:pPr>
        <w:pStyle w:val="Heading2"/>
      </w:pPr>
      <w:r>
        <w:t>Absichts-Umsetzungs-Lücke bei HPV-Impfung in türkischer Frauenklinik</w:t>
      </w:r>
    </w:p>
    <w:p>
      <w:r>
        <w:rPr>
          <w:i/>
          <w:color w:val="666666"/>
          <w:sz w:val="18"/>
        </w:rPr>
        <w:t>Öncü E et al.  ·  BMC Public Health  ·  24.07.2026  ·  PMID 42897523</w:t>
      </w:r>
    </w:p>
    <w:p>
      <w:r>
        <w:t>Querschnittstudie an 305 Frauen (Mittel 38 Jahre) in einer Gynäkologieklinik Istanbul: Erfassung von HPV-Wissen, Einstellungen, Absicht zu impfen und tatsächliche Inanspruchnahme.</w:t>
      </w:r>
    </w:p>
    <w:p>
      <w:r>
        <w:rPr>
          <w:b/>
        </w:rPr>
        <w:t xml:space="preserve">Ergebnis: </w:t>
      </w:r>
      <w:r>
        <w:t>Wissens-Score 7,25±1,65 (0–10); 36,7% wussten nicht, dass Männer HPV-Träger sind; 86,6% erklärten Impfbereitschaft, aber nur 38,7% waren geimpft (Lücke: 47,9%-Punkte). Kostbarrier bei 71,0% der Ungeimpften; Fachleute für Gesundheit wiesen 2,01× höhere Quote (p=0,030). Bildung und Wissensstand waren nicht assoziiert mit tatsächlicher Inanspruchnahme.</w:t>
      </w:r>
    </w:p>
    <w:p>
      <w:r>
        <w:rPr>
          <w:b/>
          <w:sz w:val="19"/>
        </w:rPr>
        <w:t xml:space="preserve">Übertragbarkeit: </w:t>
      </w:r>
      <w:r>
        <w:rPr>
          <w:sz w:val="19"/>
        </w:rPr>
        <w:t>Türkei, mittlere Übertragbarkeit; Kernbefund (Absichts-Umset-zungs-Lücke durch Kostenbarriere) für Deutschland relevant.</w:t>
      </w:r>
    </w:p>
    <w:p>
      <w:r>
        <w:rPr>
          <w:color w:val="5A7D3A"/>
          <w:sz w:val="18"/>
        </w:rPr>
        <w:t>https://pubmed.ncbi.nlm.nih.gov/42897523/</w:t>
      </w:r>
    </w:p>
    <w:p>
      <w:pPr>
        <w:pStyle w:val="Heading2"/>
      </w:pPr>
      <w:r>
        <w:t>Multi-Omics zeigt plattformspezifische Immunsignaturen nach COVID-19-Impfung</w:t>
      </w:r>
    </w:p>
    <w:p>
      <w:r>
        <w:rPr>
          <w:i/>
          <w:color w:val="666666"/>
          <w:sz w:val="18"/>
        </w:rPr>
        <w:t>Klein AH et al.  ·  Front Immunol  ·  02.10.2026  ·  PMID 42890872</w:t>
      </w:r>
    </w:p>
    <w:p>
      <w:r>
        <w:t>Integrierte Plasma-Proteomic, Lipidomic und Metabolomic bei 53 SARS-CoV-2-naiven Erwachsenen nach Impfung mit Pfizer, Moderna oder AstraZeneca; Analyse über mehrere Zeitpunkte mit DIABLO-Integration.</w:t>
      </w:r>
    </w:p>
    <w:p>
      <w:r>
        <w:rPr>
          <w:b/>
        </w:rPr>
        <w:t xml:space="preserve">Ergebnis: </w:t>
      </w:r>
      <w:r>
        <w:t>Pfizer assoziiert mit breitem Anstieg Immunglobulin/Komplement-Proteine, Lipidabnahme und bidirektionalen Metabolit-Änderungen. Moderna: Lipidanstieg, minimale Proteomic-Änderungen. AstraZeneca: subtilere, aber kohärente cross-omics-Verschiebungen (nur bei integrativem Modellieren sichtbar). Pfizer und Moderna teilten Metabolit-Konkordanz (Aminosäuren, TCA-Zyklus) bei divergenten Lipidomics. Plattformspezifische Unterschiede zeigen: Multi-Omics-Integration ist aussagekräftiger als einzelne Analysen.</w:t>
      </w:r>
    </w:p>
    <w:p>
      <w:r>
        <w:rPr>
          <w:b/>
          <w:sz w:val="19"/>
        </w:rPr>
        <w:t xml:space="preserve">Übertragbarkeit: </w:t>
      </w:r>
      <w:r>
        <w:rPr>
          <w:sz w:val="19"/>
        </w:rPr>
        <w:t>Australien; Befund zur Plattformvergleichbarkeit für europäische Impfplanung relevant.</w:t>
      </w:r>
    </w:p>
    <w:p>
      <w:r>
        <w:rPr>
          <w:color w:val="5A7D3A"/>
          <w:sz w:val="18"/>
        </w:rPr>
        <w:t>https://pubmed.ncbi.nlm.nih.gov/42890872/</w:t>
      </w:r>
    </w:p>
    <w:p>
      <w:pPr>
        <w:pStyle w:val="Heading2"/>
      </w:pPr>
      <w:r>
        <w:t>Impfparadoxon Ebolavakzin: Erfolg schafft Erwartungen, die künftige Ausbrüche nicht erfüllen</w:t>
      </w:r>
    </w:p>
    <w:p>
      <w:r>
        <w:rPr>
          <w:i/>
          <w:color w:val="666666"/>
          <w:sz w:val="18"/>
        </w:rPr>
        <w:t>Ugwu OP et al.  ·  Front Public Health  ·  02.10.2026  ·  PMID 42890191</w:t>
      </w:r>
    </w:p>
    <w:p>
      <w:r>
        <w:t>Perspektive auf East African Public Health: Analyse, wie Erfolg mit Zaire-ebolavirus-Impfstoff zu Erwartungshaltung auf artspezifische Vakzine auch gegen Sudan- und Bundibugyo-Virus führte, was bei deren Fehlen zu Vertrauensverlust droht.</w:t>
      </w:r>
    </w:p>
    <w:p>
      <w:r>
        <w:rPr>
          <w:b/>
        </w:rPr>
        <w:t xml:space="preserve">Ergebnis: </w:t>
      </w:r>
      <w:r>
        <w:t>Zentral ist die Vaccine Expectation Gap zwischen verfügbaren (artspezifisch limitiert) und erwarteten Impfstoffen. Sudan- und Bundibugyo-Ausbrüche zeigen: Immunisierungserfolg verstärkt Erwartungen, schafft aber auch Risiko bei nicht-Erfüllbarkeit. Empfohlen: Transparent kommunizieren (Rationale für artspezifische Unterschiede), Preparedness Trust Contract etablieren, Community Engagement ausbauen.</w:t>
      </w:r>
    </w:p>
    <w:p>
      <w:r>
        <w:rPr>
          <w:b/>
          <w:sz w:val="19"/>
        </w:rPr>
        <w:t xml:space="preserve">Übertragbarkeit: </w:t>
      </w:r>
      <w:r>
        <w:rPr>
          <w:sz w:val="19"/>
        </w:rPr>
        <w:t>Uganda/East Africa; Framework zur Erwartungsmanagement bei Impf-Kampagnen auf Deutschland übertragbar.</w:t>
      </w:r>
    </w:p>
    <w:p>
      <w:r>
        <w:rPr>
          <w:color w:val="5A7D3A"/>
          <w:sz w:val="18"/>
        </w:rPr>
        <w:t>https://pubmed.ncbi.nlm.nih.gov/42890191/</w:t>
      </w:r>
    </w:p>
    <w:p>
      <w:pPr>
        <w:pStyle w:val="Heading2"/>
      </w:pPr>
      <w:r>
        <w:t>Fachgerechte Ressourcen gegen Vaccine Hesitancy für Angehörige von Gesundheitsberufen</w:t>
      </w:r>
    </w:p>
    <w:p>
      <w:r>
        <w:rPr>
          <w:i/>
          <w:color w:val="666666"/>
          <w:sz w:val="18"/>
        </w:rPr>
        <w:t>Ansell M et al.  ·  J Med Libr Assoc  ·  01.10.2026  ·  PMID 42889793</w:t>
      </w:r>
    </w:p>
    <w:p>
      <w:r>
        <w:t>Qualitative Studie: Interviews mit 20 Fachleuten aus Gesundheitsberufen in Florida zu Erfahrungen mit impfskeptischen Patienten, gefolgt von Ko-Design eines evidenzgestützten Ressourcen-Leitfadens.</w:t>
      </w:r>
    </w:p>
    <w:p>
      <w:r>
        <w:rPr>
          <w:b/>
        </w:rPr>
        <w:t xml:space="preserve">Ergebnis: </w:t>
      </w:r>
      <w:r>
        <w:t>Zentrale Themen aus Inhaltsanalyse: Vertrauen in Arzt-Patient-Beziehung, Notwendigkeit individualisierter Gespräche, Kampf gegen Desinformation. Fachleute wünschten vielfältige, leicht zugängliche Materialien zur Unterstützung. Ressourcen-Leitfaden entwickelt, lokal in Gesundheitsnetzwerken verteilt; Librarians als kritische Akteure für Public-Health-Kampagnen identifiziert.</w:t>
      </w:r>
    </w:p>
    <w:p>
      <w:r>
        <w:rPr>
          <w:b/>
          <w:sz w:val="19"/>
        </w:rPr>
        <w:t xml:space="preserve">Übertragbarkeit: </w:t>
      </w:r>
      <w:r>
        <w:rPr>
          <w:sz w:val="19"/>
        </w:rPr>
        <w:t>USA; Befund zu Vertrauensbau und Desinformationsgegenwehr für alle Systeme relevant.</w:t>
      </w:r>
    </w:p>
    <w:p>
      <w:r>
        <w:rPr>
          <w:color w:val="5A7D3A"/>
          <w:sz w:val="18"/>
        </w:rPr>
        <w:t>https://pubmed.ncbi.nlm.nih.gov/42889793/</w:t>
      </w:r>
    </w:p>
    <w:p>
      <w:pPr>
        <w:pStyle w:val="Heading2"/>
      </w:pPr>
      <w:r>
        <w:t>Influenza-Vakzin-Effizienz 2024–2025 und Barrieren bei Impfquoten</w:t>
      </w:r>
    </w:p>
    <w:p>
      <w:r>
        <w:rPr>
          <w:i/>
          <w:color w:val="666666"/>
          <w:sz w:val="18"/>
        </w:rPr>
        <w:t>Naik H  ·  FP Essent  ·  Okt. 2026  ·  PMID 42879808</w:t>
      </w:r>
    </w:p>
    <w:p>
      <w:r>
        <w:t>Übersicht zur Influenza-Epidemiologie USA 2024/2025 und Impfeffektivität, Risikogruppen, Impfstoffzugang, Barrieren gegen Immunisierung sowie Antivirale-Therapien.</w:t>
      </w:r>
    </w:p>
    <w:p>
      <w:r>
        <w:rPr>
          <w:b/>
        </w:rPr>
        <w:t xml:space="preserve">Ergebnis: </w:t>
      </w:r>
      <w:r>
        <w:t>2024–2025 schwerste Saison seit 2017/2018: 47–82 Mio. Fälle, bis zu 1,3 Mio. Hospitalisierungen, bis zu 130.000 Todesfälle USA. Impfeffektivität 2024–2025 32–78% je nach Alter/Endpunkt. Barrieren: Desinformation, begrenzte Zugänge, Misstrauen, Ungleichheit. Empfehlungen: Impfzugang verbessern, Desinformation bekämpfen, Community Outreach, Antivirale-Forschung voranbringen.</w:t>
      </w:r>
    </w:p>
    <w:p>
      <w:r>
        <w:rPr>
          <w:b/>
          <w:sz w:val="19"/>
        </w:rPr>
        <w:t xml:space="preserve">Übertragbarkeit: </w:t>
      </w:r>
      <w:r>
        <w:rPr>
          <w:sz w:val="19"/>
        </w:rPr>
        <w:t>USA; Barrieren und Quoten-Strategien für Deutschland adaptierbar.</w:t>
      </w:r>
    </w:p>
    <w:p>
      <w:r>
        <w:rPr>
          <w:color w:val="5A7D3A"/>
          <w:sz w:val="18"/>
        </w:rPr>
        <w:t>https://pubmed.ncbi.nlm.nih.gov/42879808/</w:t>
      </w:r>
    </w:p>
    <w:p>
      <w:pPr>
        <w:pStyle w:val="Heading1"/>
      </w:pPr>
      <w:r>
        <w:t>Aufgenommen am 20.10.2026</w:t>
      </w:r>
    </w:p>
    <w:p>
      <w:pPr>
        <w:pStyle w:val="Heading2"/>
      </w:pPr>
      <w:r>
        <w:t>Kosteneffektivität der RSV-mRNA-Impfung für Ältere in Italien</w:t>
      </w:r>
    </w:p>
    <w:p>
      <w:r>
        <w:rPr>
          <w:i/>
          <w:color w:val="666666"/>
          <w:sz w:val="18"/>
        </w:rPr>
        <w:t>Dronova M et al.  ·  J Med Econ  ·  19.10.2026  ·  PMID 42895511</w:t>
      </w:r>
    </w:p>
    <w:p>
      <w:r>
        <w:t>Health-Technology-Assessment mit Entscheidungsmodell zur RSV-Impfung (mRNA-1345, Einzeldosis) gegenüber Nichtimpfung bei Italienern ≥60 Jahren mit chronischen Erkrankungen und allen ≥75-Jährigen über 5 Jahre.</w:t>
      </w:r>
    </w:p>
    <w:p>
      <w:r>
        <w:rPr>
          <w:b/>
        </w:rPr>
        <w:t xml:space="preserve">Ergebnis: </w:t>
      </w:r>
      <w:r>
        <w:t>RSV-Impfung hätte über 5 Jahre 19.800 Krankenhauseinweisungen, 6.000 Todesfälle und 212.000 Antibiotikaverordnungen verhindert. Inkrementelle Kosten: 1.143 Mio. €, Gesundheitsgewinn: 47.477 QALYs, ICER 24.078 €/QALY (unterhalb der Kostenschwelle von 33.000–40.000 €/QALY). Ergebnis robust in Sensitivitätsanalysen.</w:t>
      </w:r>
    </w:p>
    <w:p>
      <w:r>
        <w:rPr>
          <w:b/>
          <w:sz w:val="19"/>
        </w:rPr>
        <w:t xml:space="preserve">Übertragbarkeit: </w:t>
      </w:r>
      <w:r>
        <w:rPr>
          <w:sz w:val="19"/>
        </w:rPr>
        <w:t>Italien, Sozialversicherungssystem, vergleichbar mit deutschem System.</w:t>
      </w:r>
    </w:p>
    <w:p>
      <w:r>
        <w:rPr>
          <w:color w:val="5A7D3A"/>
          <w:sz w:val="18"/>
        </w:rPr>
        <w:t>https://pubmed.ncbi.nlm.nih.gov/42895511/</w:t>
      </w:r>
    </w:p>
    <w:p>
      <w:pPr>
        <w:pStyle w:val="Heading2"/>
      </w:pPr>
      <w:r>
        <w:t>CAR-T-Kinetik und Tumormerkmale sagen Therapieerfolg bei B-Zell-Lymphomen voraus</w:t>
      </w:r>
    </w:p>
    <w:p>
      <w:r>
        <w:rPr>
          <w:i/>
          <w:color w:val="666666"/>
          <w:sz w:val="18"/>
        </w:rPr>
        <w:t>Schadt J et al.  ·  Front Immunol  ·  02.10.2026  ·  PMID 42890243</w:t>
      </w:r>
    </w:p>
    <w:p>
      <w:r>
        <w:t>Prospektive Studie mit 92 B-Zell-Patienten unter CAR-T-Therapie in Dresden; mechanistisches Modell der CAR-T- und Tumor-Interaktion zur Vorhersage von Rückfällen.</w:t>
      </w:r>
    </w:p>
    <w:p>
      <w:r>
        <w:rPr>
          <w:b/>
        </w:rPr>
        <w:t xml:space="preserve">Ergebnis: </w:t>
      </w:r>
      <w:r>
        <w:t>Vier Phasen der CAR-T-Kinetik identifiziert (Verteilung, Expansion, Kontraktion, Persistenz). Schwache Expansion oder tiefe Kontraktion sind Rückfallzeichen. Das Modell erklärt individuelle Kinetik, scheitert aber bei Outcome-Prognose mit einheitlichen Tumorparametern. Gleiche CAR-T-Dynamik kann aus unterschiedlichen Tumorfaktoren resultieren; Blutmarker wie LDH oder Ann-Arbor-Score helfen nicht zur Risikostratifizierung.</w:t>
      </w:r>
    </w:p>
    <w:p>
      <w:r>
        <w:rPr>
          <w:b/>
          <w:sz w:val="19"/>
        </w:rPr>
        <w:t xml:space="preserve">Übertragbarkeit: </w:t>
      </w:r>
      <w:r>
        <w:rPr>
          <w:sz w:val="19"/>
        </w:rPr>
        <w:t>Deutschland, einzelne Universitätsklinik, begrenzte Übertragbarkeit auf Routineversorgung.</w:t>
      </w:r>
    </w:p>
    <w:p>
      <w:r>
        <w:rPr>
          <w:color w:val="5A7D3A"/>
          <w:sz w:val="18"/>
        </w:rPr>
        <w:t>https://pubmed.ncbi.nlm.nih.gov/42890243/</w:t>
      </w:r>
    </w:p>
    <w:p>
      <w:pPr>
        <w:pStyle w:val="Heading2"/>
      </w:pPr>
      <w:r>
        <w:t>RSV-Impfeffektivität bei älteren Erwachsenen mit Immunsuppression: Dänische Praxisstudie</w:t>
      </w:r>
    </w:p>
    <w:p>
      <w:r>
        <w:rPr>
          <w:i/>
          <w:color w:val="666666"/>
          <w:sz w:val="18"/>
        </w:rPr>
        <w:t>Reimer Jensen AM et al.  ·  Lancet Healthy Longev  ·  06.10.2026  ·  PMID 42838078</w:t>
      </w:r>
    </w:p>
    <w:p>
      <w:r>
        <w:t>Pragmatische randomisierte Studie in Dänemark (November-Dezember 2024) zur Wirksamkeit einer RSV-Prefusion-F-Impfung bei Erwachsenen ≥60 Jahren mit und ohne Immunsuppression.</w:t>
      </w:r>
    </w:p>
    <w:p>
      <w:r>
        <w:rPr>
          <w:b/>
        </w:rPr>
        <w:t xml:space="preserve">Ergebnis: </w:t>
      </w:r>
      <w:r>
        <w:t>Bei 131.276 Teilnehmern zeigte sich insgesamt eine Impfeffektivität von 83,3% (95%-KI 42,9–96,9) gegen RSV-bedingte Krankenhauseinweisungen. Bei Immunsupprimierten (n=5.199) lag die Effektivität bei 60,5% (95%-KI -141,4–96,2), bei nicht Immunsupprimierten bei 92,3% (95%-KI 48,7–99,8); kein signifikanter Unterschied zwischen Gruppen (p=0,22). Immunsupprimierte hatten neunfach höhere Erkrankungsrate ohne Impfung (4,68 vs. 0,50 pro 1000 Personenjahre).</w:t>
      </w:r>
    </w:p>
    <w:p>
      <w:r>
        <w:rPr>
          <w:b/>
          <w:sz w:val="19"/>
        </w:rPr>
        <w:t xml:space="preserve">Übertragbarkeit: </w:t>
      </w:r>
      <w:r>
        <w:rPr>
          <w:sz w:val="19"/>
        </w:rPr>
        <w:t>Skandinavien, nationale Registerdaten, vergleichbare Struktur zu deutschen Krankenhauserfassungen.</w:t>
      </w:r>
    </w:p>
    <w:p>
      <w:r>
        <w:rPr>
          <w:color w:val="5A7D3A"/>
          <w:sz w:val="18"/>
        </w:rPr>
        <w:t>https://pubmed.ncbi.nlm.nih.gov/42838078/</w:t>
      </w:r>
    </w:p>
    <w:p>
      <w:pPr>
        <w:pStyle w:val="Heading2"/>
      </w:pPr>
      <w:r>
        <w:t>CAR-T vs. autologe Stammzelltransplantation bei Lymphom: deutsche Kostenstudie</w:t>
      </w:r>
    </w:p>
    <w:p>
      <w:r>
        <w:rPr>
          <w:i/>
          <w:color w:val="666666"/>
          <w:sz w:val="18"/>
        </w:rPr>
        <w:t>Froitzheim AC et al.  ·  J Cancer Res Clin Oncol  ·  30.09.2026  ·  PMID 42823558</w:t>
      </w:r>
    </w:p>
    <w:p>
      <w:r>
        <w:t>Zweistufige Analyse deutscher Krankenversicherungsdaten (2020–2023) und stationärer Aufnahmen zu Kosten und Nutzung von CAR-T vs. autologe Stammzelltransplantation bei DLBCL.</w:t>
      </w:r>
    </w:p>
    <w:p>
      <w:r>
        <w:rPr>
          <w:b/>
        </w:rPr>
        <w:t xml:space="preserve">Ergebnis: </w:t>
      </w:r>
      <w:r>
        <w:t>12 CAR-T vs. 59 autoSCT: Initiale Regime-Kosten 61.703 € (CAR-T) vs. 55.802 € (autoSCT); Folgekosten 44.832 € vs. 69.453 €. Stationär: durchschnittliche Verweildauer vergleichbar (27,3 vs. 27,8 Tage), CAR-T günstiger (13.991 € vs. 29.432 €). Unerwünschte Ereignisse: B-Zell-Aplasie/Neutropenie häufiger bei CAR-T (77% vs. 64%).</w:t>
      </w:r>
    </w:p>
    <w:p>
      <w:r>
        <w:rPr>
          <w:b/>
          <w:sz w:val="19"/>
        </w:rPr>
        <w:t xml:space="preserve">Übertragbarkeit: </w:t>
      </w:r>
      <w:r>
        <w:rPr>
          <w:sz w:val="19"/>
        </w:rPr>
        <w:t>Deutschland, Abrechnungsdaten Krankenkassen und DRG-Statistik, vollständig übertragbar.</w:t>
      </w:r>
    </w:p>
    <w:p>
      <w:r>
        <w:rPr>
          <w:color w:val="5A7D3A"/>
          <w:sz w:val="18"/>
        </w:rPr>
        <w:t>https://pubmed.ncbi.nlm.nih.gov/42823558/</w:t>
      </w:r>
    </w:p>
    <w:p>
      <w:pPr>
        <w:pStyle w:val="Heading2"/>
      </w:pPr>
      <w:r>
        <w:t>Deutsche Rheumatologen bewerten CAR-T und T-cell engager kritisch</w:t>
      </w:r>
    </w:p>
    <w:p>
      <w:r>
        <w:rPr>
          <w:i/>
          <w:color w:val="666666"/>
          <w:sz w:val="18"/>
        </w:rPr>
        <w:t>Meinecke A et al.  ·  Rheumatol Int  ·  26.09.2026  ·  PMID 42799770</w:t>
      </w:r>
    </w:p>
    <w:p>
      <w:r>
        <w:t>Web-basierte Befragung von 98 deutschen Rheumatologen (Median 43 Jahre, 46,3% universitär tätig) zu Wissen, Haltung und Barrieren gegenüber T-Zell-umgerichteten Therapien (TCRTs).</w:t>
      </w:r>
    </w:p>
    <w:p>
      <w:r>
        <w:rPr>
          <w:b/>
        </w:rPr>
        <w:t xml:space="preserve">Ergebnis: </w:t>
      </w:r>
      <w:r>
        <w:t>94,8% verweisen gerne an spezialisierte Zentren, halten aber nur 5% ihrer Patienten für geeignet (schwere, therapierefraktäre Bindegewebserkrankungen). Hauptbarrieren: hohe Kosten (82%), begrenzte klinische Erfahrung (65,5%), Anwendbarkeit auf wenige Patienten (35,4%). Sicherheitswissen gut, Selbsteinschätzung des TCRT-Wissens aber nur Median 4,86/10 Punkte.</w:t>
      </w:r>
    </w:p>
    <w:p>
      <w:r>
        <w:rPr>
          <w:b/>
          <w:sz w:val="19"/>
        </w:rPr>
        <w:t xml:space="preserve">Übertragbarkeit: </w:t>
      </w:r>
      <w:r>
        <w:rPr>
          <w:sz w:val="19"/>
        </w:rPr>
        <w:t>Deutschland, nationale Fachgesellschaft, direkt repräsentativ für deutsche Rheumatologie.</w:t>
      </w:r>
    </w:p>
    <w:p>
      <w:r>
        <w:rPr>
          <w:color w:val="5A7D3A"/>
          <w:sz w:val="18"/>
        </w:rPr>
        <w:t>https://pubmed.ncbi.nlm.nih.gov/42799770/</w:t>
      </w:r>
    </w:p>
    <w:p>
      <w:pPr>
        <w:pStyle w:val="Heading2"/>
      </w:pPr>
      <w:r>
        <w:t>Basale B-Zellzahl und IL-6 sagen Zytokinfreisetzungssyndrom nach CAR-T voraus</w:t>
      </w:r>
    </w:p>
    <w:p>
      <w:r>
        <w:rPr>
          <w:i/>
          <w:color w:val="666666"/>
          <w:sz w:val="18"/>
        </w:rPr>
        <w:t>Chan SCW et al.  ·  Lancet Rheumatol  ·  25.09.2026  ·  PMID 42790438</w:t>
      </w:r>
    </w:p>
    <w:p>
      <w:r>
        <w:t>Retrospektive Kohortenstudie an 6 deutschen und 1 chinesischen Zentrum mit 108 Autoimmunpatienten unter autologer CAR-T-Therapie (CD19-Zielzellen); Identifikation von Biomarkern für Cytokine-Release-Syndrome (CRS).</w:t>
      </w:r>
    </w:p>
    <w:p>
      <w:r>
        <w:rPr>
          <w:b/>
        </w:rPr>
        <w:t xml:space="preserve">Ergebnis: </w:t>
      </w:r>
      <w:r>
        <w:t>80% (86/108) entwickelten CRS (66% Grad 1, 13% Grad 2, 1% Grad 3). CRS-Patienten hatten signifikant höhere Ausgangs-B-Zellzahlen (43 vs. 6 Zellen/μL, p=0,0002), IL-6 (10 vs. 3 pg/ml, p=0,0003) und CRP (5 vs. 3 mg/L, p=0,042). Multivariates Modell: B-Zellzahl (OR 1,31, 95%-KI 1,06–1,67, p=0,012) und IL-6 (OR 2,28, 95%-KI 1,30–4,65, p=0,0001) prädiktorisch.</w:t>
      </w:r>
    </w:p>
    <w:p>
      <w:r>
        <w:rPr>
          <w:b/>
          <w:sz w:val="19"/>
        </w:rPr>
        <w:t xml:space="preserve">Übertragbarkeit: </w:t>
      </w:r>
      <w:r>
        <w:rPr>
          <w:sz w:val="19"/>
        </w:rPr>
        <w:t>Deutschland, Multizenterstudie, direkt übertragbar auf deutsche CAR-T-Praxis.</w:t>
      </w:r>
    </w:p>
    <w:p>
      <w:r>
        <w:rPr>
          <w:color w:val="5A7D3A"/>
          <w:sz w:val="18"/>
        </w:rPr>
        <w:t>https://pubmed.ncbi.nlm.nih.gov/42790438/</w:t>
      </w:r>
    </w:p>
    <w:p>
      <w:pPr>
        <w:pStyle w:val="Heading1"/>
      </w:pPr>
      <w:r>
        <w:t>Aufgenommen am 19.10.2026</w:t>
      </w:r>
    </w:p>
    <w:p>
      <w:pPr>
        <w:pStyle w:val="Heading2"/>
      </w:pPr>
      <w:r>
        <w:t>Tetanus-Antikörper bei Tumorkindern nach Chemotherapie: Impfung erforderlich</w:t>
      </w:r>
    </w:p>
    <w:p>
      <w:r>
        <w:rPr>
          <w:i/>
          <w:color w:val="666666"/>
          <w:sz w:val="18"/>
        </w:rPr>
        <w:t>Xu YY et al.  ·  Zhonghua Yu Fang Yi Xue Za Zhi  ·  06.10.2026  ·  PMID 42893916</w:t>
      </w:r>
    </w:p>
    <w:p>
      <w:r>
        <w:t>Vergleich der Tetanus-IgG-Antikörperspiegel bei 293 Kindern mit Blutkrebs vor und einen Monat nach Chemotherapie sowie in 293 altersgleichen gesunden Kontrollkindern aus Zhejiang, China.</w:t>
      </w:r>
    </w:p>
    <w:p>
      <w:r>
        <w:rPr>
          <w:b/>
        </w:rPr>
        <w:t xml:space="preserve">Ergebnis: </w:t>
      </w:r>
      <w:r>
        <w:t>Tetanus-IgG-Antikörper nach Chemotherapie sanken signifikant: Seropositiv-Rate von 84,64% (vor Therapie) auf 70,99% (nach Therapie, p&lt;0,001); geometrischer Mittelwert fiel von 1,22±0,17 auf 0,73±0,11 IU/ml (p&lt;0,001). Nach Chemotherapie lagen beide Parameter unter denen der gesunden Kontrollen (84,98% positiv; GMC 1,06±0,06 IU/ml). Schlussfolgerung: Impfung gegen Tetanus ist nach Chemotherapie notwendig.</w:t>
      </w:r>
    </w:p>
    <w:p>
      <w:r>
        <w:rPr>
          <w:b/>
          <w:sz w:val="19"/>
        </w:rPr>
        <w:t xml:space="preserve">Übertragbarkeit: </w:t>
      </w:r>
      <w:r>
        <w:rPr>
          <w:sz w:val="19"/>
        </w:rPr>
        <w:t>China, Pädiatrie-Kohorte; Befund zur Impfindikation bei immunsupprimierten Kindern universal übertragbar.</w:t>
      </w:r>
    </w:p>
    <w:p>
      <w:r>
        <w:rPr>
          <w:color w:val="5A7D3A"/>
          <w:sz w:val="18"/>
        </w:rPr>
        <w:t>https://pubmed.ncbi.nlm.nih.gov/42893916/</w:t>
      </w:r>
    </w:p>
    <w:p>
      <w:pPr>
        <w:pStyle w:val="Heading2"/>
      </w:pPr>
      <w:r>
        <w:t>RSV-Impfung in Schwangerschaft: Impfquote in Sydney stieg von 4 auf 70–74 Prozent in acht Monaten</w:t>
      </w:r>
    </w:p>
    <w:p>
      <w:r>
        <w:rPr>
          <w:i/>
          <w:color w:val="666666"/>
          <w:sz w:val="18"/>
        </w:rPr>
        <w:t>Townshend I et al.  ·  Public Health Res Pract  ·  10.12.2026  ·  PMID 42893694</w:t>
      </w:r>
    </w:p>
    <w:p>
      <w:r>
        <w:t>Beschreibung der Implementierung der RSV-Impfung für Schwangere und des monoklonalen Antikörpers Nirsevimab für Neugeborene in zwei Krankenhäusern der Sydney Local Health District mit Tracking der Impfquoten und dokumentierten Lektionen.</w:t>
      </w:r>
    </w:p>
    <w:p>
      <w:r>
        <w:rPr>
          <w:b/>
        </w:rPr>
        <w:t xml:space="preserve">Ergebnis: </w:t>
      </w:r>
      <w:r>
        <w:t>RSV-Impfquote bei gebärenden Frauen stieg von 4% im Februar 2025 auf 70–74% von Juni bis September 2025. Mit steigender Impfquote bei Müttern sank die Zahl der Neugeborenen, die Nirsevimab benötigten. Von anspruchsberechtigten Neugeborenen lehnten 36% Nirsevimab ab; Ablehnungsgründe wurden nicht dokumentiert. Kritische Erfolgsfaktoren: multidisziplinäre Führung, Nutzung bestehender Schulungsstrukturen und Integration in Dokumentationsabläufe.</w:t>
      </w:r>
    </w:p>
    <w:p>
      <w:r>
        <w:rPr>
          <w:b/>
          <w:sz w:val="19"/>
        </w:rPr>
        <w:t xml:space="preserve">Übertragbarkeit: </w:t>
      </w:r>
      <w:r>
        <w:rPr>
          <w:sz w:val="19"/>
        </w:rPr>
        <w:t>Australien, direkter Transfer auf föderale Rollout-Strukturen begrenzt; Implementierungslektionen für europäische Systeme relevant.</w:t>
      </w:r>
    </w:p>
    <w:p>
      <w:r>
        <w:rPr>
          <w:color w:val="5A7D3A"/>
          <w:sz w:val="18"/>
        </w:rPr>
        <w:t>https://pubmed.ncbi.nlm.nih.gov/42893694/</w:t>
      </w:r>
    </w:p>
    <w:p>
      <w:pPr>
        <w:pStyle w:val="Heading2"/>
      </w:pPr>
      <w:r>
        <w:t>Impfschulung für Gesundheitshelfer erhöht Wissen, nicht Impfbereitschaft</w:t>
      </w:r>
    </w:p>
    <w:p>
      <w:r>
        <w:rPr>
          <w:i/>
          <w:color w:val="666666"/>
          <w:sz w:val="18"/>
        </w:rPr>
        <w:t>Bostan YE  ·  J Eval Clin Pract  ·  Okt. 2026  ·  PMID 42893536</w:t>
      </w:r>
    </w:p>
    <w:p>
      <w:r>
        <w:t>Evaluierung eines vierstündigen Impfschulungsprogramms für 272 türkische Gesundheitshelfer mit Messung von Impfwissen und Vaccine Hesitancy vor und nach dem Training.</w:t>
      </w:r>
    </w:p>
    <w:p>
      <w:r>
        <w:rPr>
          <w:b/>
        </w:rPr>
        <w:t xml:space="preserve">Ergebnis: </w:t>
      </w:r>
      <w:r>
        <w:t>Impfwissen stieg erheblich von 6,77 auf 8,76 von 10 Punkten (dz=1,34, p&lt;0,001); 84,9% der Teilnehmer verbesserten ihre Punktzahl. Vaccine Hesitancy sank statistisch signifikant, aber praktisch unbedeutend um 0,90 Punkte (dz=-0,13, p=0,033), entsprechend nur 1,9% der Skalaspanne; 51,4% zeigten niedrigere, 36,3% höhere Werte nach Training.</w:t>
      </w:r>
    </w:p>
    <w:p>
      <w:r>
        <w:rPr>
          <w:b/>
          <w:sz w:val="19"/>
        </w:rPr>
        <w:t xml:space="preserve">Übertragbarkeit: </w:t>
      </w:r>
      <w:r>
        <w:rPr>
          <w:sz w:val="19"/>
        </w:rPr>
        <w:t>Türkei, ähnliche Herausforderungen bei Vaccine Hesitancy; Design ohne Kontrollgruppe begrenzt Kausalitätsaussagen.</w:t>
      </w:r>
    </w:p>
    <w:p>
      <w:r>
        <w:rPr>
          <w:color w:val="5A7D3A"/>
          <w:sz w:val="18"/>
        </w:rPr>
        <w:t>https://pubmed.ncbi.nlm.nih.gov/42893536/</w:t>
      </w:r>
    </w:p>
    <w:p>
      <w:pPr>
        <w:pStyle w:val="Heading2"/>
      </w:pPr>
      <w:r>
        <w:t>RSV-Impfung in der Schwangerschaft: Laufendes Evidenz-Update geplant</w:t>
      </w:r>
    </w:p>
    <w:p>
      <w:r>
        <w:rPr>
          <w:i/>
          <w:color w:val="666666"/>
          <w:sz w:val="18"/>
        </w:rPr>
        <w:t>Mazzoni A et al.  ·  JMIR Res Protoc  ·  15.10.2026  ·  PMID 42893392</w:t>
      </w:r>
    </w:p>
    <w:p>
      <w:r>
        <w:t>Protokoll für eine kontinuierlich aktualisierte systematische Übersicht und Metaanalyse zur Wirksamkeit, Effektivität und Immunogenität der RSV-PreF-Impfung bei schwangeren Frauen, mit Fokus auf postmarkt-Daten aus der Versorgung.</w:t>
      </w:r>
    </w:p>
    <w:p>
      <w:r>
        <w:rPr>
          <w:b/>
        </w:rPr>
        <w:t xml:space="preserve">Ergebnis: </w:t>
      </w:r>
      <w:r>
        <w:t>Stand Januar 2026: 837 Publikationen gescreent, 105 (12,5%) im Volltext bewertet, 12 (1,4%) erfüllten Einschlusskriterien, 10 (1,2%) lieferten verwertbare Daten. Suche läuft bis mindestens April 2028 mit monatlichen Updates. Erste Effektivitätsschätzungen verfügbar voraussichtlich Juli 2026. Interaktives Dashboard für Echtzeit-Datenzugang geplant.</w:t>
      </w:r>
    </w:p>
    <w:p>
      <w:r>
        <w:rPr>
          <w:b/>
          <w:sz w:val="19"/>
        </w:rPr>
        <w:t xml:space="preserve">Übertragbarkeit: </w:t>
      </w:r>
      <w:r>
        <w:rPr>
          <w:sz w:val="19"/>
        </w:rPr>
        <w:t>Internationale Zusammensetzung (Argentinien, USA, Tulane); Ergebnisse gelten für alle Länder mit RSV-Impfprogrammen.</w:t>
      </w:r>
    </w:p>
    <w:p>
      <w:r>
        <w:rPr>
          <w:color w:val="5A7D3A"/>
          <w:sz w:val="18"/>
        </w:rPr>
        <w:t>https://pubmed.ncbi.nlm.nih.gov/42893392/</w:t>
      </w:r>
    </w:p>
    <w:p>
      <w:pPr>
        <w:pStyle w:val="Heading2"/>
      </w:pPr>
      <w:r>
        <w:t>Atemwegsimpfungen für Erwachsene: Kosten-Nutzen-Analyse mit 11:1 Rendite</w:t>
      </w:r>
    </w:p>
    <w:p>
      <w:r>
        <w:rPr>
          <w:i/>
          <w:color w:val="666666"/>
          <w:sz w:val="18"/>
        </w:rPr>
        <w:t>Napier M et al.  ·  Expert Rev Vaccines  ·  17.10.2026  ·  PMID 42892738</w:t>
      </w:r>
    </w:p>
    <w:p>
      <w:r>
        <w:t>Benefit-Cost-Analyse der Impfungen gegen Pneumokokken, RSV, Influenza und COVID-19 bei Erwachsenen in Australien über zehn Jahre aus gesamtgesellschaftlicher Perspektive.</w:t>
      </w:r>
    </w:p>
    <w:p>
      <w:r>
        <w:rPr>
          <w:b/>
        </w:rPr>
        <w:t xml:space="preserve">Ergebnis: </w:t>
      </w:r>
      <w:r>
        <w:t>Impfprogramme generierten einen Nutzen-Kosten-Verhältnis von 11,24:1 (mit Lebenswertwertschätzung) bzw. 5,69:1 (mit Lebensjahreswert), verhinderten 234.187 Hospitalisierungen und 13.890 Todesfälle, mit Nettonutzen von 64,97 Mrd. oder 29,76 Mrd. australischen Dollar.</w:t>
      </w:r>
    </w:p>
    <w:p>
      <w:r>
        <w:rPr>
          <w:b/>
          <w:sz w:val="19"/>
        </w:rPr>
        <w:t xml:space="preserve">Übertragbarkeit: </w:t>
      </w:r>
      <w:r>
        <w:rPr>
          <w:sz w:val="19"/>
        </w:rPr>
        <w:t>Australien, vergleichbares Sozialversicherungssystem; Methodik auf DACH übertragbar.</w:t>
      </w:r>
    </w:p>
    <w:p>
      <w:r>
        <w:rPr>
          <w:color w:val="5A7D3A"/>
          <w:sz w:val="18"/>
        </w:rPr>
        <w:t>https://pubmed.ncbi.nlm.nih.gov/42892738/</w:t>
      </w:r>
    </w:p>
    <w:p>
      <w:pPr>
        <w:pStyle w:val="Heading2"/>
      </w:pPr>
      <w:r>
        <w:t>Typhus-Impfschutz hängt von CD8+-T-Zell-Profilen ab, nicht nur von deren Menge</w:t>
      </w:r>
    </w:p>
    <w:p>
      <w:r>
        <w:rPr>
          <w:i/>
          <w:color w:val="666666"/>
          <w:sz w:val="18"/>
        </w:rPr>
        <w:t>Booth JS et al.  ·  Front Cell Infect Microbiol  ·  02.10.2026  ·  PMID 42890021</w:t>
      </w:r>
    </w:p>
    <w:p>
      <w:r>
        <w:t>Untersuchung von CD8+-T-Zell-Mustern bei 53 Probanden nach Ty21a-Impfung und kontrolierter Exposition gegenüber virulenten Typhi-Bakterien mittels hochdimensionaler Durchflusszytometrie.</w:t>
      </w:r>
    </w:p>
    <w:p>
      <w:r>
        <w:rPr>
          <w:b/>
        </w:rPr>
        <w:t xml:space="preserve">Ergebnis: </w:t>
      </w:r>
      <w:r>
        <w:t>Probanden ohne Typhuserkrankung (NoTD) zeigten distinct multifunktionale, schutzassoziierte CD8+-T-Zell-Programme, während erkrankte Probanden (TD) divergente, anfälligkeitsassoziierte Muster aufwiesen. NoTD-CD8+-T-Zellen waren angereichert mit CXCR3, IL-17A, TNFα und MIP1b; TD-Zellen zeigten CCR6- und α4β7-Bias. Schutz und Anfälligkeit verteilten sich über mehrere CD8+-T-Zell-Subtypen, nicht auf einzelne.</w:t>
      </w:r>
    </w:p>
    <w:p>
      <w:r>
        <w:rPr>
          <w:b/>
          <w:sz w:val="19"/>
        </w:rPr>
        <w:t xml:space="preserve">Übertragbarkeit: </w:t>
      </w:r>
      <w:r>
        <w:rPr>
          <w:sz w:val="19"/>
        </w:rPr>
        <w:t>UK/USA-Studie; Mechanismen gelten universell, Übertragbarkeit auf Impfqualitätskontrolle hoch.</w:t>
      </w:r>
    </w:p>
    <w:p>
      <w:r>
        <w:rPr>
          <w:color w:val="5A7D3A"/>
          <w:sz w:val="18"/>
        </w:rPr>
        <w:t>https://pubmed.ncbi.nlm.nih.gov/42890021/</w:t>
      </w:r>
    </w:p>
    <w:p>
      <w:pPr>
        <w:pStyle w:val="Heading1"/>
      </w:pPr>
      <w:r>
        <w:t>Aufgenommen am 18.10.2026</w:t>
      </w:r>
    </w:p>
    <w:p>
      <w:pPr>
        <w:pStyle w:val="Heading2"/>
      </w:pPr>
      <w:r>
        <w:t>Impfeffektivität im Feld: Biologisches Monitoring statt nur Verwaltungsquoten</w:t>
      </w:r>
    </w:p>
    <w:p>
      <w:r>
        <w:rPr>
          <w:i/>
          <w:color w:val="666666"/>
          <w:sz w:val="18"/>
        </w:rPr>
        <w:t>Adedeji AA et al.  ·  Front Public Health  ·  02.10.2026  ·  PMID 42890904</w:t>
      </w:r>
    </w:p>
    <w:p>
      <w:r>
        <w:t>Konzeptioneller Rahmen für Population-Level Immunologic Monitoring (PLIM) in Ruanda und Ostafrika, um Impfwirksamkeit auf Bevölkerungsebene in Echtzeit zu erfassen – nicht nur Verwaltungsdaten.</w:t>
      </w:r>
    </w:p>
    <w:p>
      <w:r>
        <w:rPr>
          <w:b/>
        </w:rPr>
        <w:t xml:space="preserve">Ergebnis: </w:t>
      </w:r>
      <w:r>
        <w:t>PLIM-Modell integriert drei Säulen: biologische Sentinel-Überwachung (Trockenblutkarten mit ELISA und T-Zell-Aktivierungsassays), Risiko-Stratifizierung und digitales Feedback über DHIS2. Population Immunologic Threshold (PIT) als Komposit-Metrik verbindet individuelle Schutzkorrelate mit Herdenimmunitätsschwellwerten. Modell adressiert ‚biologische Kaltflecken' vor Ausbrüchen; erfordert noch Validierungsstudien vor Implementierung.</w:t>
      </w:r>
    </w:p>
    <w:p>
      <w:r>
        <w:rPr>
          <w:b/>
          <w:sz w:val="19"/>
        </w:rPr>
        <w:t xml:space="preserve">Übertragbarkeit: </w:t>
      </w:r>
      <w:r>
        <w:rPr>
          <w:sz w:val="19"/>
        </w:rPr>
        <w:t>Rwanda-Pilotstudie geplant, auf SSA übertragbar; für Deutschland weniger relevant ohne ähnliche Impfregister-Infrastruktur.</w:t>
      </w:r>
    </w:p>
    <w:p>
      <w:r>
        <w:rPr>
          <w:color w:val="5A7D3A"/>
          <w:sz w:val="18"/>
        </w:rPr>
        <w:t>https://pubmed.ncbi.nlm.nih.gov/42890904/</w:t>
      </w:r>
    </w:p>
    <w:p>
      <w:pPr>
        <w:pStyle w:val="Heading2"/>
      </w:pPr>
      <w:r>
        <w:t>HPV-Impfquoten bei Menschen mit Behinderungen: Barrieren und Ungleichheit</w:t>
      </w:r>
    </w:p>
    <w:p>
      <w:r>
        <w:rPr>
          <w:i/>
          <w:color w:val="666666"/>
          <w:sz w:val="18"/>
        </w:rPr>
        <w:t>Walmsley S et al.  ·  Hum Vaccin Immunother  ·  16.10.2026  ·  PMID 42886011</w:t>
      </w:r>
    </w:p>
    <w:p>
      <w:r>
        <w:t>Scoping Review zur HPV-Impfabdeckung und Zugangsbarrieren für Menschen mit Behinderungen in 33 Studien aus Hocheinkommensländern (2006–2025).</w:t>
      </w:r>
    </w:p>
    <w:p>
      <w:r>
        <w:rPr>
          <w:b/>
        </w:rPr>
        <w:t xml:space="preserve">Ergebnis: </w:t>
      </w:r>
      <w:r>
        <w:t>Konsistente Ungleichheiten in der HPV-Impfquote für Menschen mit Behinderungen dokumentiert. Hauptbarrieren: falsche Annahmen über Sexualverhalten (unvollständig quantifiziert), fehlende Impfempfehlungen von Fachpersonen in klinischen Settings (65 % der Studien berichten dies), Mangel an Personalschulung. Erhebliche Forschungslücken für Menschen mit körperlichen, psychosozialen, Seh- oder Hörstörungen; keine Populationsdaten aus Niedrig-/Mitteleinkommen-Ländern verfügbar.</w:t>
      </w:r>
    </w:p>
    <w:p>
      <w:r>
        <w:rPr>
          <w:b/>
          <w:sz w:val="19"/>
        </w:rPr>
        <w:t xml:space="preserve">Übertragbarkeit: </w:t>
      </w:r>
      <w:r>
        <w:rPr>
          <w:sz w:val="19"/>
        </w:rPr>
        <w:t>Australische und europäische Systeme, aber Barrieren (Fachpersonal, Settings) sind auch in Deutschland relevant.</w:t>
      </w:r>
    </w:p>
    <w:p>
      <w:r>
        <w:rPr>
          <w:color w:val="5A7D3A"/>
          <w:sz w:val="18"/>
        </w:rPr>
        <w:t>https://pubmed.ncbi.nlm.nih.gov/42886011/</w:t>
      </w:r>
    </w:p>
    <w:p>
      <w:pPr>
        <w:pStyle w:val="Heading2"/>
      </w:pPr>
      <w:r>
        <w:t>SARS-CoV-2-Impfschutz in der Bevölkerung: Serologische Querschnittmessung vor Omicron</w:t>
      </w:r>
    </w:p>
    <w:p>
      <w:r>
        <w:rPr>
          <w:i/>
          <w:color w:val="666666"/>
          <w:sz w:val="18"/>
        </w:rPr>
        <w:t>Yang Y et al.  ·  PLoS One  ·  15.10.2026  ·  PMID 42879418</w:t>
      </w:r>
    </w:p>
    <w:p>
      <w:r>
        <w:t>Längsschnittstudie bei 156 Serumproben von 117 Teilnehmern (HIVE-Kohorte) mit Multiplex-Elektrochemilumineszenz (ECL), ACE2-Hemmungsassays und Pseudoviral-Neutralisationstests für Varianten-spezifische IgG (Juli–Dezember 2021).</w:t>
      </w:r>
    </w:p>
    <w:p>
      <w:r>
        <w:rPr>
          <w:b/>
        </w:rPr>
        <w:t xml:space="preserve">Ergebnis: </w:t>
      </w:r>
      <w:r>
        <w:t>Hohe Korrelationen zwischen ECL, ACE2 und PN (0,81–0,95). ROC-Analysen: ECL IgG diskriminiert Impfstatus (AUC 0,84–0,88, Sensitivität 0,88–0,91, Spezifität 0,87–0,88); ACE2 variabler (AUC 0,53–0,96). IgG-Konzentrationen stiegen mit Alter, plateau in frühem Erwachsenenalter; präzise Schätzungen für junge Altersgruppen wegen kleiner Stichproben begrenzt.</w:t>
      </w:r>
    </w:p>
    <w:p>
      <w:r>
        <w:rPr>
          <w:b/>
          <w:sz w:val="19"/>
        </w:rPr>
        <w:t xml:space="preserve">Übertragbarkeit: </w:t>
      </w:r>
      <w:r>
        <w:rPr>
          <w:sz w:val="19"/>
        </w:rPr>
        <w:t>USA-Kohorte; Serologie-Methodik auf Deutschland übertragbar, aber Bevölkerungsdaten kontextabhängig.</w:t>
      </w:r>
    </w:p>
    <w:p>
      <w:r>
        <w:rPr>
          <w:color w:val="5A7D3A"/>
          <w:sz w:val="18"/>
        </w:rPr>
        <w:t>https://pubmed.ncbi.nlm.nih.gov/42879418/</w:t>
      </w:r>
    </w:p>
    <w:p>
      <w:pPr>
        <w:pStyle w:val="Heading2"/>
      </w:pPr>
      <w:r>
        <w:t>CAR-T-Persistenz vorhersagt Ansprechen auf Salvage-Bestrahlung bei lymphomrezidiv</w:t>
      </w:r>
    </w:p>
    <w:p>
      <w:r>
        <w:rPr>
          <w:i/>
          <w:color w:val="666666"/>
          <w:sz w:val="18"/>
        </w:rPr>
        <w:t>Fan J et al.  ·  Acta Oncol  ·  17.09.2026  ·  PMID 42752612</w:t>
      </w:r>
    </w:p>
    <w:p>
      <w:r>
        <w:t>Retrospektive Analyse von 13 DLBCL-Patienten (18 Läsionen), die nach CAR-T-Therapie rezidiviert und eine Salvage-Bestrahlung erhielten, mit CAR-Transgene-Verfolgung.</w:t>
      </w:r>
    </w:p>
    <w:p>
      <w:r>
        <w:rPr>
          <w:b/>
        </w:rPr>
        <w:t xml:space="preserve">Ergebnis: </w:t>
      </w:r>
      <w:r>
        <w:t>Lokales Ansprechrate 83 % (15/18 Läsionen). CAR-Transgene-Muster bei Rezidiv: erhöht (n=4), persistierend &gt;6 Monate (n=4), abnehmend (n=5). Lokales Ansprechrate 100 % bzw. 100 % vs. 57 %; 12-Monats-Kontrolle 83 %, 100 %, 14 %; 12-Monats-Gesamtüberleben 100 %, 100 %, 20 %. Toxizität Grad ≤2. Autoren betonen hypothesengenerierendes Design, Validierung in größeren Kohorten erforderlich.</w:t>
      </w:r>
    </w:p>
    <w:p>
      <w:r>
        <w:rPr>
          <w:b/>
          <w:sz w:val="19"/>
        </w:rPr>
        <w:t xml:space="preserve">Übertragbarkeit: </w:t>
      </w:r>
      <w:r>
        <w:rPr>
          <w:sz w:val="19"/>
        </w:rPr>
        <w:t>Deutsche Klinikdaten (Köln), vergleichbares Universitätssystem.</w:t>
      </w:r>
    </w:p>
    <w:p>
      <w:r>
        <w:rPr>
          <w:color w:val="5A7D3A"/>
          <w:sz w:val="18"/>
        </w:rPr>
        <w:t>https://pubmed.ncbi.nlm.nih.gov/42752612/</w:t>
      </w:r>
    </w:p>
    <w:p>
      <w:pPr>
        <w:pStyle w:val="Heading2"/>
      </w:pPr>
      <w:r>
        <w:t>CD19-CAR-T-Therapie bei therapierefraktärer rheumatoider Arthritis: klinische Machbarkeit</w:t>
      </w:r>
    </w:p>
    <w:p>
      <w:r>
        <w:rPr>
          <w:i/>
          <w:color w:val="666666"/>
          <w:sz w:val="18"/>
        </w:rPr>
        <w:t>Albach FN et al.  ·  Nat Med  ·  27.08.2026  ·  PMID 42661098</w:t>
      </w:r>
    </w:p>
    <w:p>
      <w:r>
        <w:t>Phase-1-Studie zur Sicherheit und Wirksamkeit der autologen CD19-CAR-T-Zelltherapie (mivocabtagene autoleucel) bei 6 Patienten mit schwerer, therapieresistenter anti-CCP-positiver rheumatoider Arthritis.</w:t>
      </w:r>
    </w:p>
    <w:p>
      <w:r>
        <w:rPr>
          <w:b/>
        </w:rPr>
        <w:t xml:space="preserve">Ergebnis: </w:t>
      </w:r>
      <w:r>
        <w:t>Zytokerin-Freisetzungssyndrom (CRS) bei allen 6 Patienten, begrenzt auf Grad 1–2; kein ICANS oder schwere Nebenwirkungen außer einer Grad-3-Transaminase-Elevation (resolviert). Klinisch: Krankheitsaktivität bei allen Patienten verbessert (medianer DAS28-CRP-Rückgang 34 %), ACR-70-Response bei 3/6, Autoantikörper-Serokonversion bei 4–5/6. Arzneimittel-induzierte B-Zell-Depletion mit Persistenz.</w:t>
      </w:r>
    </w:p>
    <w:p>
      <w:r>
        <w:rPr>
          <w:b/>
          <w:sz w:val="19"/>
        </w:rPr>
        <w:t xml:space="preserve">Übertragbarkeit: </w:t>
      </w:r>
      <w:r>
        <w:rPr>
          <w:sz w:val="19"/>
        </w:rPr>
        <w:t>Deutsches Zentrum-Setting (Charité Berlin), deutsche Patienten, Sozialversicherungssystem vergleichbar.</w:t>
      </w:r>
    </w:p>
    <w:p>
      <w:r>
        <w:rPr>
          <w:color w:val="5A7D3A"/>
          <w:sz w:val="18"/>
        </w:rPr>
        <w:t>https://pubmed.ncbi.nlm.nih.gov/42661098/</w:t>
      </w:r>
    </w:p>
    <w:p>
      <w:pPr>
        <w:pStyle w:val="Heading2"/>
      </w:pPr>
      <w:r>
        <w:t>HPV-L2-Vakzine: Schutzwirkung unter Alltagsbedingungen hängt von Prior-Exposition ab</w:t>
      </w:r>
    </w:p>
    <w:p>
      <w:r>
        <w:rPr>
          <w:i/>
          <w:color w:val="666666"/>
          <w:sz w:val="18"/>
        </w:rPr>
        <w:t>Alvarez J et al.  ·  J Virol  ·  22.09.2026  ·  PMID 42627231</w:t>
      </w:r>
    </w:p>
    <w:p>
      <w:r>
        <w:t>Phase-1-Studie bei 20 gesunden Probanden mit AAVLP-HPV-Vakzine (20 μg) zur Immunogenität und Schutzübertragung gegen multiple HPV-Genotypen.</w:t>
      </w:r>
    </w:p>
    <w:p>
      <w:r>
        <w:rPr>
          <w:b/>
        </w:rPr>
        <w:t xml:space="preserve">Ergebnis: </w:t>
      </w:r>
      <w:r>
        <w:t>AAVLP-HPV gut verträglich, induzierte modest L2-spezifische Antikörper, die in-vitro HPV16, HPV31, HPV5 neutralisierten. Nach passivem Serumtransfer in Mäuse: Schutz gegen HPV16, HPV31, HPV5, nicht HPV76. HPV-naive Probanden benötigten 3 Dosen für Schutz, vorher exponierte 2 Dosen mit höheren Titern. Prior-AAV2-Exposition verminderte L2-Neutralisations-Antikörper und Schutz deutlich (Original-Antigenic-Sin-Effekt).</w:t>
      </w:r>
    </w:p>
    <w:p>
      <w:r>
        <w:rPr>
          <w:b/>
          <w:sz w:val="19"/>
        </w:rPr>
        <w:t xml:space="preserve">Übertragbarkeit: </w:t>
      </w:r>
      <w:r>
        <w:rPr>
          <w:sz w:val="19"/>
        </w:rPr>
        <w:t>USA-Studie, Sicherheit transferierbar; Prior-Exposition-Effekte auch in Deutschland relevant.</w:t>
      </w:r>
    </w:p>
    <w:p>
      <w:r>
        <w:rPr>
          <w:color w:val="5A7D3A"/>
          <w:sz w:val="18"/>
        </w:rPr>
        <w:t>https://pubmed.ncbi.nlm.nih.gov/42627231/</w:t>
      </w:r>
    </w:p>
    <w:p>
      <w:pPr>
        <w:pStyle w:val="Heading1"/>
      </w:pPr>
      <w:r>
        <w:t>Aufgenommen am 17.10.2026</w:t>
      </w:r>
    </w:p>
    <w:p>
      <w:pPr>
        <w:pStyle w:val="Heading2"/>
      </w:pPr>
      <w:r>
        <w:t>HPV-Impfung: Wissenlücken bei Eltern und fehlende Empfehlungsrate bei Ärzten</w:t>
      </w:r>
    </w:p>
    <w:p>
      <w:r>
        <w:rPr>
          <w:i/>
          <w:color w:val="666666"/>
          <w:sz w:val="18"/>
        </w:rPr>
        <w:t>Schmid-Küpke NK et al.  ·  Euro Surveill  ·  Okt. 2026  ·  PMID 42885489</w:t>
      </w:r>
    </w:p>
    <w:p>
      <w:r>
        <w:t>Telefonische Befragung von 1.508 Eltern und 503 Kinderärzten in Deutschland (Herbst 2023) zur HPV-Impfbereitschaft, Wissenslücken und Beratungspraxis.</w:t>
      </w:r>
    </w:p>
    <w:p>
      <w:r>
        <w:rPr>
          <w:b/>
        </w:rPr>
        <w:t xml:space="preserve">Ergebnis: </w:t>
      </w:r>
      <w:r>
        <w:t>Nur 34,5 % der Kinder waren bereits HPV-geimpft; 35,2 % der Eltern waren Vaccine Hesitant, 5,6 % lehnten ab. Obwohl 97 % der Ärzte angaben, die Impfung zu empfehlen, erinnerten sich nur 43,7 % der Eltern an eine Empfehlung. Eltern unterschätzten die Krebsprävention durch alternative Maßnahmen und unterschätzten das HPV-Infektionsrisiko. Ärztliche Empfehlungen waren der stärkste Einflussfaktor auf Impfentscheidungen.</w:t>
      </w:r>
    </w:p>
    <w:p>
      <w:r>
        <w:rPr>
          <w:b/>
          <w:sz w:val="19"/>
        </w:rPr>
        <w:t xml:space="preserve">Übertragbarkeit: </w:t>
      </w:r>
      <w:r>
        <w:rPr>
          <w:sz w:val="19"/>
        </w:rPr>
        <w:t>Deutschland, repräsentative Stichprobe, vergleichbare Impfkalender-Strukturen</w:t>
      </w:r>
    </w:p>
    <w:p>
      <w:r>
        <w:rPr>
          <w:color w:val="5A7D3A"/>
          <w:sz w:val="18"/>
        </w:rPr>
        <w:t>https://pubmed.ncbi.nlm.nih.gov/42885489/</w:t>
      </w:r>
    </w:p>
    <w:p>
      <w:pPr>
        <w:pStyle w:val="Heading2"/>
      </w:pPr>
      <w:r>
        <w:t>COVID-19 bei Erwachsenen mit intellektueller Behinderung: höhere Sterblichkeit trotz gleicher Impfquoten</w:t>
      </w:r>
    </w:p>
    <w:p>
      <w:r>
        <w:rPr>
          <w:i/>
          <w:color w:val="666666"/>
          <w:sz w:val="18"/>
        </w:rPr>
        <w:t>Sandberg M et al.  ·  BMC Public Health  ·  15.10.2026  ·  PMID 42881375</w:t>
      </w:r>
    </w:p>
    <w:p>
      <w:r>
        <w:t>Register-basierte Kohortenstudie in Schweden (2020–2021): Vergleich von COVID-19-Diagnosen, Hospitalisierungen und Todesfällen zwischen 14.046 Personen mit intellektueller Behinderung (ID) und 1.157.138 Allgemeinbevölkerung.</w:t>
      </w:r>
    </w:p>
    <w:p>
      <w:r>
        <w:rPr>
          <w:b/>
        </w:rPr>
        <w:t xml:space="preserve">Ergebnis: </w:t>
      </w:r>
      <w:r>
        <w:t>Menschen mit ID hatten höheres Risiko für COVID-19-Diagnose, aber niedrigere Laborbestätigung. Hospitalisierungsrisiko bei Erwachsenen und älteren Menschen mit ID höher in beiden Jahren 2020–2021. Impfquoten vergleichbar, aber Mortalität bei COVID-19 höher in der ID-Gruppe. Schwedische COVID-19-Strategie zu Impfung und Priorisierung funktionierte für diese Gruppe wie beabsichtigt.</w:t>
      </w:r>
    </w:p>
    <w:p>
      <w:r>
        <w:rPr>
          <w:b/>
          <w:sz w:val="19"/>
        </w:rPr>
        <w:t xml:space="preserve">Übertragbarkeit: </w:t>
      </w:r>
      <w:r>
        <w:rPr>
          <w:sz w:val="19"/>
        </w:rPr>
        <w:t>Skandinavien, Impfregister-Daten, Versorgungsstruktur nicht direkt auf Deutschland übertragbar</w:t>
      </w:r>
    </w:p>
    <w:p>
      <w:r>
        <w:rPr>
          <w:color w:val="5A7D3A"/>
          <w:sz w:val="18"/>
        </w:rPr>
        <w:t>https://pubmed.ncbi.nlm.nih.gov/42881375/</w:t>
      </w:r>
    </w:p>
    <w:p>
      <w:pPr>
        <w:pStyle w:val="Heading2"/>
      </w:pPr>
      <w:r>
        <w:t>Rotavirus-Impfstoff ROTASIIL senkt Hospitalisierungsrisiko bei Kindern</w:t>
      </w:r>
    </w:p>
    <w:p>
      <w:r>
        <w:rPr>
          <w:i/>
          <w:color w:val="666666"/>
          <w:sz w:val="18"/>
        </w:rPr>
        <w:t>Chaudhary VS et al.  ·  Nat Commun  ·  15.09.2026  ·  PMID 42881148</w:t>
      </w:r>
    </w:p>
    <w:p>
      <w:r>
        <w:t>Register-gestützte Fall-Kontroll-Studie in 32 indischen Krankenhäusern (2019–2023): Effektivitätsmessung der drei Dosen ROTASIIL gegen Rotavirus-Gastroenteritis bei Kindern unter 23 Monaten mittels Test-Negative-Design.</w:t>
      </w:r>
    </w:p>
    <w:p>
      <w:r>
        <w:rPr>
          <w:b/>
        </w:rPr>
        <w:t xml:space="preserve">Ergebnis: </w:t>
      </w:r>
      <w:r>
        <w:t>Bei vollständiger Serie (3 Dosen): bereinigte Impfeffektivität 52 % (95%-KI 32–66) gegen Hospitalisierung; bei jüngeren Kindern (3–5 Monate) 88 % (53–97). Gegen moderate Rotavirus-Gastroenteritis 56 % (11–79), gegen schwere Form 54 % (31–70). Mit mindestens einer Dosis: 45 % (26–60) bei 1–23 Monaten. Höchste genotyp-spezifische Effektivität gegen G1P[8] mit 62 % (29–80).</w:t>
      </w:r>
    </w:p>
    <w:p>
      <w:r>
        <w:rPr>
          <w:b/>
          <w:sz w:val="19"/>
        </w:rPr>
        <w:t xml:space="preserve">Übertragbarkeit: </w:t>
      </w:r>
      <w:r>
        <w:rPr>
          <w:sz w:val="19"/>
        </w:rPr>
        <w:t>Indien, Routineversorgung, vergleichbar mit Ländern mit ähnlicher Impfabdeckung</w:t>
      </w:r>
    </w:p>
    <w:p>
      <w:r>
        <w:rPr>
          <w:color w:val="5A7D3A"/>
          <w:sz w:val="18"/>
        </w:rPr>
        <w:t>https://pubmed.ncbi.nlm.nih.gov/42881148/</w:t>
      </w:r>
    </w:p>
    <w:p>
      <w:pPr>
        <w:pStyle w:val="Heading2"/>
      </w:pPr>
      <w:r>
        <w:t>Tollwutimpfung in Ägypten: geringe Impfquoten trotz positiver Einstellung der Bevölkerung</w:t>
      </w:r>
    </w:p>
    <w:p>
      <w:r>
        <w:rPr>
          <w:i/>
          <w:color w:val="666666"/>
          <w:sz w:val="18"/>
        </w:rPr>
        <w:t>Helal MB et al.  ·  BMC Public Health  ·  15.10.2026  ·  PMID 42875760</w:t>
      </w:r>
    </w:p>
    <w:p>
      <w:r>
        <w:t>Landesweite Querschnittsbefragung von 1.777 Personen (2024) in ägyptischen Universitätskliniken zu Wissen, Einstellung und Praxis bezüglich Tollwut und Tollwutprophylaxe (prä- und postexpositionell).</w:t>
      </w:r>
    </w:p>
    <w:p>
      <w:r>
        <w:rPr>
          <w:b/>
        </w:rPr>
        <w:t xml:space="preserve">Ergebnis: </w:t>
      </w:r>
      <w:r>
        <w:t>Nur 42,8 % der Befragten hatten gutes Wissen über Tollwut und Prophylaxe; 88,5 % Positive Einstellung. Unter 173 Personen mit Tierbisskontakt erhielten 18,5 % (n=32) keine postexpositionelle Prophylaxe und 17 % (n=24) vollendeten den Impfplan nicht. Präexpositionelle Impfung nur 4,3 % bei hochriskanten Personen. Hauptbarrieren: Wissensmangel über Impfstoff (82,4 %), fehlende Kenntnisse über Tollwut (81,7 %), mangelnde Infrastruktur (43,1 %).</w:t>
      </w:r>
    </w:p>
    <w:p>
      <w:r>
        <w:rPr>
          <w:b/>
          <w:sz w:val="19"/>
        </w:rPr>
        <w:t xml:space="preserve">Übertragbarkeit: </w:t>
      </w:r>
      <w:r>
        <w:rPr>
          <w:sz w:val="19"/>
        </w:rPr>
        <w:t>Ägypten, Entwicklungsland-Kontext, begrenzt übertragbar auf Deutschland</w:t>
      </w:r>
    </w:p>
    <w:p>
      <w:r>
        <w:rPr>
          <w:color w:val="5A7D3A"/>
          <w:sz w:val="18"/>
        </w:rPr>
        <w:t>https://pubmed.ncbi.nlm.nih.gov/42875760/</w:t>
      </w:r>
    </w:p>
    <w:p>
      <w:pPr>
        <w:pStyle w:val="Heading2"/>
      </w:pPr>
      <w:r>
        <w:t>COVID-19-Impfstoff-Sicherheit: Einzelfallbericht zeigt Grenzen der Kausalitätsbewertung</w:t>
      </w:r>
    </w:p>
    <w:p>
      <w:r>
        <w:rPr>
          <w:i/>
          <w:color w:val="666666"/>
          <w:sz w:val="18"/>
        </w:rPr>
        <w:t>Siebner AS et al.  ·  Philos Ethics Humanit Med  ·  01.10.2026  ·  PMID 42823741</w:t>
      </w:r>
    </w:p>
    <w:p>
      <w:r>
        <w:t>Diskussionsbeitrag (Deutschland, UK, Italien, Kanada, USA, Ägypten) zur epistemischen Vorsicht bei der Bewertung seltener schwerer unerwünschter Ereignisse nach COVID-19-mRNA-Impfung; Fallbeispiel: autoptisch bestätigte Enzephalitis und Myokarditis nach BNT162b2.</w:t>
      </w:r>
    </w:p>
    <w:p>
      <w:r>
        <w:rPr>
          <w:b/>
        </w:rPr>
        <w:t xml:space="preserve">Ergebnis: </w:t>
      </w:r>
      <w:r>
        <w:t>Anwendung von Bradford Hills Kriterien auf einen Autopsiebericht zeigte partielle, nicht schlüssige Evidenz: ein Kriterium unterstützte Kausalität, sieben waren teilweise gestützt, eines nicht. Die Analyse deutet, ohne zu beweisen, auf einen möglichen Kausalzusammenhang hin. Autoren betonen: Abwesenheit von Nukleokapsid-Protein liefert keine definitive Evidenz gegen Impfursprung; weitere Analysen sind erforderlich.</w:t>
      </w:r>
    </w:p>
    <w:p>
      <w:r>
        <w:rPr>
          <w:b/>
          <w:sz w:val="19"/>
        </w:rPr>
        <w:t xml:space="preserve">Übertragbarkeit: </w:t>
      </w:r>
      <w:r>
        <w:rPr>
          <w:sz w:val="19"/>
        </w:rPr>
        <w:t>Überblick über Sicherheitsbewertungsmethoden, keine neuen Versorgungsdaten</w:t>
      </w:r>
    </w:p>
    <w:p>
      <w:r>
        <w:rPr>
          <w:color w:val="5A7D3A"/>
          <w:sz w:val="18"/>
        </w:rPr>
        <w:t>https://pubmed.ncbi.nlm.nih.gov/42823741/</w:t>
      </w:r>
    </w:p>
    <w:p>
      <w:pPr>
        <w:pStyle w:val="Heading1"/>
      </w:pPr>
      <w:r>
        <w:t>Aufgenommen am 16.10.2026</w:t>
      </w:r>
    </w:p>
    <w:p>
      <w:pPr>
        <w:pStyle w:val="Heading2"/>
      </w:pPr>
      <w:r>
        <w:t>Zweisprachige digitale Kampagne zur COVID-19-Impfung bei vietnamesisch-amerikanischen Gemeinden</w:t>
      </w:r>
    </w:p>
    <w:p>
      <w:r>
        <w:rPr>
          <w:i/>
          <w:color w:val="666666"/>
          <w:sz w:val="18"/>
        </w:rPr>
        <w:t>Tehami S et al.  ·  J Med Internet Res  ·  15.10.2026  ·  PMID 42879767</w:t>
      </w:r>
    </w:p>
    <w:p>
      <w:r>
        <w:t>Bewertung einer bilingualen (Englisch/Vietnamesisch) digitalen Kampagne über Google Display &amp; Video 360 zur Förderung von COVID-19-Impfung und Studienteilnahme in Texas.</w:t>
      </w:r>
    </w:p>
    <w:p>
      <w:r>
        <w:rPr>
          <w:b/>
        </w:rPr>
        <w:t xml:space="preserve">Ergebnis: </w:t>
      </w:r>
      <w:r>
        <w:t>4,97 Millionen Impressionen, ca. 1,4 Millionen eindeutige Nutzer. Vietnamesische Anzeigen: 0,105 Prozent Click-through-Rate vs. Englisch 0,046 Prozent (RR 2,29, p&lt;0,001). Mobile Platzierungen übertroffen Desktop. Kosten pro Klick 2,35 USD, CPM 1,45 USD. Direkte Impfquoten-Effekte nicht gemessen.</w:t>
      </w:r>
    </w:p>
    <w:p>
      <w:r>
        <w:rPr>
          <w:b/>
          <w:sz w:val="19"/>
        </w:rPr>
        <w:t xml:space="preserve">Übertragbarkeit: </w:t>
      </w:r>
      <w:r>
        <w:rPr>
          <w:sz w:val="19"/>
        </w:rPr>
        <w:t>USA, Sprachenminderheiten; Engagement-Metriken, keine Versorgungswirksamkeit gemessen</w:t>
      </w:r>
    </w:p>
    <w:p>
      <w:r>
        <w:rPr>
          <w:color w:val="5A7D3A"/>
          <w:sz w:val="18"/>
        </w:rPr>
        <w:t>https://pubmed.ncbi.nlm.nih.gov/42879767/</w:t>
      </w:r>
    </w:p>
    <w:p>
      <w:pPr>
        <w:pStyle w:val="Heading2"/>
      </w:pPr>
      <w:r>
        <w:t>Keuchhusten-Impfeffektivität bei Kindern während Ausbruch in Alaska 96 Prozent</w:t>
      </w:r>
    </w:p>
    <w:p>
      <w:r>
        <w:rPr>
          <w:i/>
          <w:color w:val="666666"/>
          <w:sz w:val="18"/>
        </w:rPr>
        <w:t>Newell K et al.  ·  MMWR Morb Mortal Wkly Rep  ·  15.10.2026  ·  PMID 42879706</w:t>
      </w:r>
    </w:p>
    <w:p>
      <w:r>
        <w:t>Untersuchung der Wirksamkeit der DTaP-Impfung gegen Keuchhusten bei Kindern während eines Ausbruchs 2024 in Alaska.</w:t>
      </w:r>
    </w:p>
    <w:p>
      <w:r>
        <w:rPr>
          <w:b/>
        </w:rPr>
        <w:t xml:space="preserve">Ergebnis: </w:t>
      </w:r>
      <w:r>
        <w:t>Vollständige 3-Dosis-Serie: 96,2 Prozent Schutz. Teilgeimpfte (1–2 Dosen): 85,3 Prozent. Ungeimpfte hatten 26-fach erhöhtes Erkrankungsrisiko (adjustiertes OR 26,1). Befunde unterstreichen die Notwendigkeit vollständiger Impfserien zum Schutz vor Keuchhusten.</w:t>
      </w:r>
    </w:p>
    <w:p>
      <w:r>
        <w:rPr>
          <w:b/>
          <w:sz w:val="19"/>
        </w:rPr>
        <w:t xml:space="preserve">Übertragbarkeit: </w:t>
      </w:r>
      <w:r>
        <w:rPr>
          <w:sz w:val="19"/>
        </w:rPr>
        <w:t>USA-Daten, Impfeffektivität unter Alltagsbedingungen übertragbar auf vergleichbare Gesundheitssysteme</w:t>
      </w:r>
    </w:p>
    <w:p>
      <w:r>
        <w:rPr>
          <w:color w:val="5A7D3A"/>
          <w:sz w:val="18"/>
        </w:rPr>
        <w:t>https://pubmed.ncbi.nlm.nih.gov/42879706/</w:t>
      </w:r>
    </w:p>
    <w:p>
      <w:pPr>
        <w:pStyle w:val="Heading2"/>
      </w:pPr>
      <w:r>
        <w:t>Apothekenimpfung in Spanien: Europäischer Evidenzbefund für höhere Impfquoten</w:t>
      </w:r>
    </w:p>
    <w:p>
      <w:r>
        <w:rPr>
          <w:i/>
          <w:color w:val="666666"/>
          <w:sz w:val="18"/>
        </w:rPr>
        <w:t>Fernández Otero MD et al.  ·  Rev Esp Salud Publica  ·  13.10.2026  ·  PMID 42879310</w:t>
      </w:r>
    </w:p>
    <w:p>
      <w:r>
        <w:t>Analyse der Gründe, warum Spanien trotz europäischer Evidenz keine Apotheken-Impfungen zulässt; Prüfung von Qualifikations-, Systembeitrags- und Abdeckungs-Argumenten.</w:t>
      </w:r>
    </w:p>
    <w:p>
      <w:r>
        <w:rPr>
          <w:b/>
        </w:rPr>
        <w:t xml:space="preserve">Ergebnis: </w:t>
      </w:r>
      <w:r>
        <w:t>Keine objektiv-wissenschaftlichen Gründe gefunden, die Apotheken-Impfungen abrahmen würden. Farmazeutische Ausbildung in Spanien vergleichbar mit anderen EU-Ländern. Apotheken-Netzwerk könnte Wert für NVS-Leistungen erbringen. Impfquoten nicht bereits befriedigend. Empfehlung: Spanien sollte Apotheker-Kollaboration in Impfprogrammen erwägen.</w:t>
      </w:r>
    </w:p>
    <w:p>
      <w:r>
        <w:rPr>
          <w:b/>
          <w:sz w:val="19"/>
        </w:rPr>
        <w:t xml:space="preserve">Übertragbarkeit: </w:t>
      </w:r>
      <w:r>
        <w:rPr>
          <w:sz w:val="19"/>
        </w:rPr>
        <w:t>Spanien/Europa, vergleichbares System; Zugangsbarriere Regelwerk, nicht Kompetenz</w:t>
      </w:r>
    </w:p>
    <w:p>
      <w:r>
        <w:rPr>
          <w:color w:val="5A7D3A"/>
          <w:sz w:val="18"/>
        </w:rPr>
        <w:t>https://pubmed.ncbi.nlm.nih.gov/42879310/</w:t>
      </w:r>
    </w:p>
    <w:p>
      <w:pPr>
        <w:pStyle w:val="Heading2"/>
      </w:pPr>
      <w:r>
        <w:t>H1N1-Impfung und Narkolepsie: Biomarker-Signale in schwedisch-finnischer Kohorte</w:t>
      </w:r>
    </w:p>
    <w:p>
      <w:r>
        <w:rPr>
          <w:i/>
          <w:color w:val="666666"/>
          <w:sz w:val="18"/>
        </w:rPr>
        <w:t>Lafta MS et al.  ·  Sleep Med  ·  15.09.2026  ·  PMID 42748496</w:t>
      </w:r>
    </w:p>
    <w:p>
      <w:r>
        <w:t>Proteomic- und Transkriptom-Analyse von Serum-Biomarkern bei Narkolepsie-Patienten aus H1N1-Pandemrix-geimpften Kohorten (Schweden, Finnland 2009–2010).</w:t>
      </w:r>
    </w:p>
    <w:p>
      <w:r>
        <w:rPr>
          <w:b/>
        </w:rPr>
        <w:t xml:space="preserve">Ergebnis: </w:t>
      </w:r>
      <w:r>
        <w:t>Sechs überlappende Proteine mit signifikanten Unterschieden zwischen Narkolepsie-Typ-1-Patienten und Kontrollen: UNC5C, VWC2, CPA2, GFRα-1, CLEC10A (herunterreguliert), HAGH (unterschiedliche Richtung). Befunde explorativ und hypothesen-generierend, keine etablierten Biomarker.</w:t>
      </w:r>
    </w:p>
    <w:p>
      <w:r>
        <w:rPr>
          <w:b/>
          <w:sz w:val="19"/>
        </w:rPr>
        <w:t xml:space="preserve">Übertragbarkeit: </w:t>
      </w:r>
      <w:r>
        <w:rPr>
          <w:sz w:val="19"/>
        </w:rPr>
        <w:t>Skandinavien, bekannter Impfnebenwirkungsfall mit gutem Follow-up; Transferbarkeit auf Sicherheitsmonitoring begrenzt</w:t>
      </w:r>
    </w:p>
    <w:p>
      <w:r>
        <w:rPr>
          <w:color w:val="5A7D3A"/>
          <w:sz w:val="18"/>
        </w:rPr>
        <w:t>https://pubmed.ncbi.nlm.nih.gov/42748496/</w:t>
      </w:r>
    </w:p>
    <w:p>
      <w:pPr>
        <w:pStyle w:val="Heading2"/>
      </w:pPr>
      <w:r>
        <w:t>COVID-19-Impfung bei Krebspatienten unter Checkpoint-Inhibitoren senkt Früh-Mortalität</w:t>
      </w:r>
    </w:p>
    <w:p>
      <w:r>
        <w:rPr>
          <w:i/>
          <w:color w:val="666666"/>
          <w:sz w:val="18"/>
        </w:rPr>
        <w:t>Salem JE et al.  ·  Nat Med  ·  10.09.2026  ·  PMID 42722885</w:t>
      </w:r>
    </w:p>
    <w:p>
      <w:r>
        <w:t>Kohortenstudie an 95.015 Krebspatienten aus französischer Gesundheitsdatenbank zur Assoziation zwischen mRNA-COVID-19-Impfung und Überlebensergebnis bei ICl-Therapie.</w:t>
      </w:r>
    </w:p>
    <w:p>
      <w:r>
        <w:rPr>
          <w:b/>
        </w:rPr>
        <w:t xml:space="preserve">Ergebnis: </w:t>
      </w:r>
      <w:r>
        <w:t>Impfung vor ICl-Start: Hazard Ratio 0,90 (KI 0,87–0,94) für Gesamtmortalität in Monaten 1–3, nach 6 Monaten HR 0,96 (KI 0,93–1,00). Ähnliche Muster nach ICl-Start. Frühe, transiente Assoziation eher als spezifischer mRNA-Effekt, möglicherweise Gesundeneffekt.</w:t>
      </w:r>
    </w:p>
    <w:p>
      <w:r>
        <w:rPr>
          <w:b/>
          <w:sz w:val="19"/>
        </w:rPr>
        <w:t xml:space="preserve">Übertragbarkeit: </w:t>
      </w:r>
      <w:r>
        <w:rPr>
          <w:sz w:val="19"/>
        </w:rPr>
        <w:t>Frankreich (vergleichbares Gesundheitssystem), nationale Datenbank mit vollständiger Verfolgung</w:t>
      </w:r>
    </w:p>
    <w:p>
      <w:r>
        <w:rPr>
          <w:color w:val="5A7D3A"/>
          <w:sz w:val="18"/>
        </w:rPr>
        <w:t>https://pubmed.ncbi.nlm.nih.gov/42722885/</w:t>
      </w:r>
    </w:p>
    <w:p>
      <w:pPr>
        <w:pStyle w:val="Heading1"/>
      </w:pPr>
      <w:r>
        <w:t>Aufgenommen am 15.10.2026</w:t>
      </w:r>
    </w:p>
    <w:p>
      <w:pPr>
        <w:pStyle w:val="Heading2"/>
      </w:pPr>
      <w:r>
        <w:t>HPV-Impfkosten-Analysen: Metho­den bestimmen das Ergebnis mehr als der Impfstoff</w:t>
      </w:r>
    </w:p>
    <w:p>
      <w:r>
        <w:rPr>
          <w:i/>
          <w:color w:val="666666"/>
          <w:sz w:val="18"/>
        </w:rPr>
        <w:t>Kisa A et al.  ·  PLoS One  ·  14.10.2026  ·  PMID 42873751</w:t>
      </w:r>
    </w:p>
    <w:p>
      <w:r>
        <w:t>Scoping Review von 44 ökonomischen Evaluationen zur HPV-Impfung (2003–2025), Analyse von Methodenvielfalt, Treibern der Variation und Übertragbarkeit.</w:t>
      </w:r>
    </w:p>
    <w:p>
      <w:r>
        <w:rPr>
          <w:b/>
        </w:rPr>
        <w:t xml:space="preserve">Ergebnis: </w:t>
      </w:r>
      <w:r>
        <w:t>33 vollständige Kosteneffektivitäts­studien analysiert. Haupttreiber der Variation: Impfstoffpreis, Diskontrate, Herden­immunitäts­annahmen, Kreuzschutz­annahmen, Schwellenwert. Berichtsqualität korrelierte nicht mit methodischer Kreditwürdigkeit. Kostensätze und Screening­kontext bestimmen Übertragbarkeit mehr als reine ICER-Werte. Formale Analysen zu Ein-Dosis-Szenarien emerging, aber Daten zu Langzeitschutz und umsetzungsrelevanten Kosten fehlend.</w:t>
      </w:r>
    </w:p>
    <w:p>
      <w:r>
        <w:rPr>
          <w:b/>
          <w:sz w:val="19"/>
        </w:rPr>
        <w:t xml:space="preserve">Übertragbarkeit: </w:t>
      </w:r>
      <w:r>
        <w:rPr>
          <w:sz w:val="19"/>
        </w:rPr>
        <w:t>Verschiedene Länder, aber Methoden-Abhängigkeit zeigt: direkte Übertragung kostet­eff­ektivitäts­befunde problematisch</w:t>
      </w:r>
    </w:p>
    <w:p>
      <w:r>
        <w:rPr>
          <w:color w:val="5A7D3A"/>
          <w:sz w:val="18"/>
        </w:rPr>
        <w:t>https://pubmed.ncbi.nlm.nih.gov/42873751/</w:t>
      </w:r>
    </w:p>
    <w:p>
      <w:pPr>
        <w:pStyle w:val="Heading2"/>
      </w:pPr>
      <w:r>
        <w:t>RSV-Impfquoten bei älteren US-Amerikanern bleiben niedrig</w:t>
      </w:r>
    </w:p>
    <w:p>
      <w:r>
        <w:rPr>
          <w:i/>
          <w:color w:val="666666"/>
          <w:sz w:val="18"/>
        </w:rPr>
        <w:t>Saundankar V et al.  ·  Hum Vaccin Immunother  ·  14.10.2026  ·  PMID 42872881</w:t>
      </w:r>
    </w:p>
    <w:p>
      <w:r>
        <w:t>Retrospektive Analyse der RSV-Impfquoten bei Medicare-Versicherten ab 65 Jahren in zwei Saisons.</w:t>
      </w:r>
    </w:p>
    <w:p>
      <w:r>
        <w:rPr>
          <w:b/>
        </w:rPr>
        <w:t xml:space="preserve">Ergebnis: </w:t>
      </w:r>
      <w:r>
        <w:t>Insgesamt 21% der ≥65-Jährigen in der Vorsaison 2023/24 geimpft, in Saison 2024/25 sinkend. Höhere Quote bei ≥75-Jährigen. Von 1,7 Mio. Personen, die 2024-Kriterien erfüllten, waren etwa 80% ungeimpft. Impfspitzen im Oktober beider Jahre. Zielgerichtete Strategien zur Erreichung von Hochrisiko-Gruppen erforderlich.</w:t>
      </w:r>
    </w:p>
    <w:p>
      <w:r>
        <w:rPr>
          <w:b/>
          <w:sz w:val="19"/>
        </w:rPr>
        <w:t xml:space="preserve">Übertragbarkeit: </w:t>
      </w:r>
      <w:r>
        <w:rPr>
          <w:sz w:val="19"/>
        </w:rPr>
        <w:t>USA, anderes Versicherungssystem; Befund zur Uptake-Barriere übertragbar, Daten nicht direkt auf Deutschland anwendbar</w:t>
      </w:r>
    </w:p>
    <w:p>
      <w:r>
        <w:rPr>
          <w:color w:val="5A7D3A"/>
          <w:sz w:val="18"/>
        </w:rPr>
        <w:t>https://pubmed.ncbi.nlm.nih.gov/42872881/</w:t>
      </w:r>
    </w:p>
    <w:p>
      <w:pPr>
        <w:pStyle w:val="Heading2"/>
      </w:pPr>
      <w:r>
        <w:t>Kombinimpfstoff gegen Influenza und COVID-19: Potenzial für höhere Impfquoten</w:t>
      </w:r>
    </w:p>
    <w:p>
      <w:r>
        <w:rPr>
          <w:i/>
          <w:color w:val="666666"/>
          <w:sz w:val="18"/>
        </w:rPr>
        <w:t>Schaffner W et al.  ·  Vaccine  ·  14.11.2026  ·  PMID 42790130</w:t>
      </w:r>
    </w:p>
    <w:p>
      <w:r>
        <w:t>Übersichtsarbeit zur Wirkung und Praktikabilität einer kombinierten Influenza-COVID-19-Impfung bei Erwachsenen.</w:t>
      </w:r>
    </w:p>
    <w:p>
      <w:r>
        <w:rPr>
          <w:b/>
        </w:rPr>
        <w:t xml:space="preserve">Ergebnis: </w:t>
      </w:r>
      <w:r>
        <w:t>Kombinimpfstoffe könnten die Akzeptanz durch vereinfachte Dosierung erhöhen und Impfgelegenheiten nicht verpassen. Fachkräfte und Patienten zeigen hohes Interesse; mehrere Kandidaten befinden sich in klinischen Prüfungen. Ein Impfstoff mit optimierter Timing und Virenstamm-Auswahl könnte den Schutz gegen zwei führende respiratorische Erreger stärken.</w:t>
      </w:r>
    </w:p>
    <w:p>
      <w:r>
        <w:rPr>
          <w:b/>
          <w:sz w:val="19"/>
        </w:rPr>
        <w:t xml:space="preserve">Übertragbarkeit: </w:t>
      </w:r>
      <w:r>
        <w:rPr>
          <w:sz w:val="19"/>
        </w:rPr>
        <w:t>Deutschland und andere Länder mit vergleichbarem Zugangsweg; Übertragbarkeit hängt von Empfehlungslogik ab</w:t>
      </w:r>
    </w:p>
    <w:p>
      <w:r>
        <w:rPr>
          <w:color w:val="5A7D3A"/>
          <w:sz w:val="18"/>
        </w:rPr>
        <w:t>https://pubmed.ncbi.nlm.nih.gov/42790130/</w:t>
      </w:r>
    </w:p>
    <w:p>
      <w:pPr>
        <w:pStyle w:val="Heading2"/>
      </w:pPr>
      <w:r>
        <w:t>Impfskepsis bei Haustieren: Vertrauen, Risiko­wahrnehmung und 'natürlicher' Ansatz</w:t>
      </w:r>
    </w:p>
    <w:p>
      <w:r>
        <w:rPr>
          <w:i/>
          <w:color w:val="666666"/>
          <w:sz w:val="18"/>
        </w:rPr>
        <w:t>Bloodworth S et al.  ·  Prev Vet Med  ·  16.09.2026  ·  PMID 42753359</w:t>
      </w:r>
    </w:p>
    <w:p>
      <w:r>
        <w:t>Qualitative Studie mittels Leitfaden­interviews mit 18 Hunde-/Katzen­haltern im UK zu Faktoren, die Impfentscheidungen beeinflussen.</w:t>
      </w:r>
    </w:p>
    <w:p>
      <w:r>
        <w:rPr>
          <w:b/>
        </w:rPr>
        <w:t xml:space="preserve">Ergebnis: </w:t>
      </w:r>
      <w:r>
        <w:t>Drei Kategorien beeinflussen Impfentscheidungen: Vertrauen in tierärztliche Expertise, Wahrnehmung der Impfstoffsicherheit, Gesundheits­verständnis. Halter wägen Impfrisiken gegen Krankheitsrisiken ab, beeinflusst durch persönliche Erfahrung und diverse Informationsquellen. Ein 'natürlicher' Ansatz (Vermeidung synthetischer Stoffe) bei Hundehaltern wirkte sich negativ auf Impfbereitschaft aus. Maßnahmen sollten zielgruppenspezifisch sein.</w:t>
      </w:r>
    </w:p>
    <w:p>
      <w:r>
        <w:rPr>
          <w:b/>
          <w:sz w:val="19"/>
        </w:rPr>
        <w:t xml:space="preserve">Übertragbarkeit: </w:t>
      </w:r>
      <w:r>
        <w:rPr>
          <w:sz w:val="19"/>
        </w:rPr>
        <w:t>Vereinigtes Königreich; Erkenntnisse zu Vaccine Hesitancy-Faktoren übertragbar, aber Kontext Heimtiere unterscheidet sich von Humanmedizin</w:t>
      </w:r>
    </w:p>
    <w:p>
      <w:r>
        <w:rPr>
          <w:color w:val="5A7D3A"/>
          <w:sz w:val="18"/>
        </w:rPr>
        <w:t>https://pubmed.ncbi.nlm.nih.gov/42753359/</w:t>
      </w:r>
    </w:p>
    <w:p>
      <w:pPr>
        <w:pStyle w:val="Heading2"/>
      </w:pPr>
      <w:r>
        <w:t>HPV-Prävalenz sank bei jungen Frauen trotz weiterer Genotypen-Diversität</w:t>
      </w:r>
    </w:p>
    <w:p>
      <w:r>
        <w:rPr>
          <w:i/>
          <w:color w:val="666666"/>
          <w:sz w:val="18"/>
        </w:rPr>
        <w:t>Urbano A et al.  ·  Ann Epidemiol  ·  07.09.2026  ·  PMID 42705395</w:t>
      </w:r>
    </w:p>
    <w:p>
      <w:r>
        <w:t>Querschnittsstudie zur HPV-Infektionshäufigkeit und Genotypverteilung in Spanien nach langjähriger Impfung, vergleichend zwischen Frauen ≤30 Jahren (geimpft) und &gt;30 Jahren (ungeimpft).</w:t>
      </w:r>
    </w:p>
    <w:p>
      <w:r>
        <w:rPr>
          <w:b/>
        </w:rPr>
        <w:t xml:space="preserve">Ergebnis: </w:t>
      </w:r>
      <w:r>
        <w:t>Von 5.885 Frauen: Gesamtprävalenz 39,8%, bei 20–29-Jährigen 57,9%. In der Impfkohorte (≤30J.) war HPV-Prävalenz höher (57,0% vs. 36,8%, p&lt;0,001) als in der Ungeimpften, aber HPV16-Anteil deutlich niedriger mit heterogenerer Genotypverteilung – Vakzine-Effekt auf Zielgenotypen erkennbar.</w:t>
      </w:r>
    </w:p>
    <w:p>
      <w:r>
        <w:rPr>
          <w:b/>
          <w:sz w:val="19"/>
        </w:rPr>
        <w:t xml:space="preserve">Übertragbarkeit: </w:t>
      </w:r>
      <w:r>
        <w:rPr>
          <w:sz w:val="19"/>
        </w:rPr>
        <w:t>Spanien, vergleichbare öffentliche Impfprogramme; Aussage gilt für hochgeimpfte europäische Populationen</w:t>
      </w:r>
    </w:p>
    <w:p>
      <w:r>
        <w:rPr>
          <w:color w:val="5A7D3A"/>
          <w:sz w:val="18"/>
        </w:rPr>
        <w:t>https://pubmed.ncbi.nlm.nih.gov/42705395/</w:t>
      </w:r>
    </w:p>
    <w:p>
      <w:pPr>
        <w:pStyle w:val="Heading2"/>
      </w:pPr>
      <w:r>
        <w:t>Nachverfolgung von Impfnebenwirkungen: Wann lohnt sich der Aufwand?</w:t>
      </w:r>
    </w:p>
    <w:p>
      <w:r>
        <w:rPr>
          <w:i/>
          <w:color w:val="666666"/>
          <w:sz w:val="18"/>
        </w:rPr>
        <w:t>Kara V et al.  ·  Drug Saf  ·  14.08.2026  ·  PMID 42599564</w:t>
      </w:r>
    </w:p>
    <w:p>
      <w:r>
        <w:t>Delphi-Konsensusverfahren mit internationalen Fachleuten zu Szenarien, in denen die Verfolgung von Nebenwirkungsmeldungen die Impfstoffsicherheitsbewertung verbessert.</w:t>
      </w:r>
    </w:p>
    <w:p>
      <w:r>
        <w:rPr>
          <w:b/>
        </w:rPr>
        <w:t xml:space="preserve">Ergebnis: </w:t>
      </w:r>
      <w:r>
        <w:t>Experten identifizierten drei Szenarien mit echtem Mehrwert: Kausalitätsprüfung, Signaldetektion und Risikomanagement. Gering oder kein Nutzen bei bekannten Labelnebenwirkungen, fehlender Kontaktierbarkeit und Fällen, wo zusätzliche Daten das Nutzen-Risiko-Verhältnis nicht ändern würden. Ressourcenschonende, zielgerichtete Verfolgung ersetzt unfokussierte Routine.</w:t>
      </w:r>
    </w:p>
    <w:p>
      <w:r>
        <w:rPr>
          <w:b/>
          <w:sz w:val="19"/>
        </w:rPr>
        <w:t xml:space="preserve">Übertragbarkeit: </w:t>
      </w:r>
      <w:r>
        <w:rPr>
          <w:sz w:val="19"/>
        </w:rPr>
        <w:t>Niederlande, Pharmakovigilanz-System; gilt für alle europäischen Meldewesen</w:t>
      </w:r>
    </w:p>
    <w:p>
      <w:r>
        <w:rPr>
          <w:color w:val="5A7D3A"/>
          <w:sz w:val="18"/>
        </w:rPr>
        <w:t>https://pubmed.ncbi.nlm.nih.gov/42599564/</w:t>
      </w:r>
    </w:p>
    <w:p>
      <w:pPr>
        <w:pStyle w:val="Heading1"/>
      </w:pPr>
      <w:r>
        <w:t>Aufgenommen am 14.10.2026</w:t>
      </w:r>
    </w:p>
    <w:p>
      <w:pPr>
        <w:pStyle w:val="Heading2"/>
      </w:pPr>
      <w:r>
        <w:t>Rabies-Postexpositionsprophylaxe: 86% verzögert, trotz hohem Wissen um Prävention</w:t>
      </w:r>
    </w:p>
    <w:p>
      <w:r>
        <w:rPr>
          <w:i/>
          <w:color w:val="666666"/>
          <w:sz w:val="18"/>
        </w:rPr>
        <w:t>Hailu BK et al.  ·  PLoS Negl Trop Dis  ·  13.10.2026  ·  PMID 42868155</w:t>
      </w:r>
    </w:p>
    <w:p>
      <w:r>
        <w:t>Querschnittsstudie bei 260 Hundebiss-Opfern in Äthiopien zur Zeitverzögerung bei Impfbeginn und assoziierter Faktoren.</w:t>
      </w:r>
    </w:p>
    <w:p>
      <w:r>
        <w:rPr>
          <w:b/>
        </w:rPr>
        <w:t xml:space="preserve">Ergebnis: </w:t>
      </w:r>
      <w:r>
        <w:t>86,1% begannen Impfung nach 48 h (verzögert). Tiefe Bissverletzungen (OR 0,22) und Straßenhunde (OR 0,51) reduzierten Verzögerung. 88,5% kannten Tollwut, 95,4% wussten um Impfnotwendigkeit, 95% hielten Impfung für wirksam; aber fehlte Risikobewusstsein für Verzögerungsfolgen.</w:t>
      </w:r>
    </w:p>
    <w:p>
      <w:r>
        <w:rPr>
          <w:b/>
          <w:sz w:val="19"/>
        </w:rPr>
        <w:t xml:space="preserve">Übertragbarkeit: </w:t>
      </w:r>
      <w:r>
        <w:rPr>
          <w:sz w:val="19"/>
        </w:rPr>
        <w:t>Äthiopien, sehr niedriges Einkommenssetting; Befunde zu Impfverzögerung trotz Wissen zeigen universelles Problem</w:t>
      </w:r>
    </w:p>
    <w:p>
      <w:r>
        <w:rPr>
          <w:color w:val="5A7D3A"/>
          <w:sz w:val="18"/>
        </w:rPr>
        <w:t>https://pubmed.ncbi.nlm.nih.gov/42868155/</w:t>
      </w:r>
    </w:p>
    <w:p>
      <w:pPr>
        <w:pStyle w:val="Heading2"/>
      </w:pPr>
      <w:r>
        <w:t>Masernausbruch Mexiko 2025–2026: Rückkehr trotz früherer Elimination durch Impflücken</w:t>
      </w:r>
    </w:p>
    <w:p>
      <w:r>
        <w:rPr>
          <w:i/>
          <w:color w:val="666666"/>
          <w:sz w:val="18"/>
        </w:rPr>
        <w:t>Mojica-López L et al.  ·  Rev Peru Med Exp Salud Publica  ·  25.08.2026  ·  PMID 42867961</w:t>
      </w:r>
    </w:p>
    <w:p>
      <w:r>
        <w:t>Dokumentarische Analyse zu Masern-Reemergence in Mexiko nach regionaler Elimination 2016: Untersuchung struktureller Faktoren der Ausbruch 2025–2026.</w:t>
      </w:r>
    </w:p>
    <w:p>
      <w:r>
        <w:rPr>
          <w:b/>
        </w:rPr>
        <w:t xml:space="preserve">Ergebnis: </w:t>
      </w:r>
      <w:r>
        <w:t>Endemische Übertragung 1995 unterbrochen, regionale Elimination 2016 erreicht. 2025–2026 Reemergence in Kontexten niedriger Impfquoten, unvollständiger Impfschemata und räumlicher Ungleichheiten im Zugang. Ausbruch konzentrierte sich in Gebieten suboptimaler Abdeckung und höherer sozialer Vulnerabilität.</w:t>
      </w:r>
    </w:p>
    <w:p>
      <w:r>
        <w:rPr>
          <w:b/>
          <w:sz w:val="19"/>
        </w:rPr>
        <w:t xml:space="preserve">Übertragbarkeit: </w:t>
      </w:r>
      <w:r>
        <w:rPr>
          <w:sz w:val="19"/>
        </w:rPr>
        <w:t>Mexiko; zeigt Relevanz für Länder ohne permanentes Impfregister und Überwachungslücken</w:t>
      </w:r>
    </w:p>
    <w:p>
      <w:r>
        <w:rPr>
          <w:color w:val="5A7D3A"/>
          <w:sz w:val="18"/>
        </w:rPr>
        <w:t>https://pubmed.ncbi.nlm.nih.gov/42867961/</w:t>
      </w:r>
    </w:p>
    <w:p>
      <w:pPr>
        <w:pStyle w:val="Heading2"/>
      </w:pPr>
      <w:r>
        <w:t>COVID-19-Impfsicherheit: App-gestützte Pharmakovigilanz mit 732.864 Teilnehmern</w:t>
      </w:r>
    </w:p>
    <w:p>
      <w:r>
        <w:rPr>
          <w:i/>
          <w:color w:val="666666"/>
          <w:sz w:val="18"/>
        </w:rPr>
        <w:t>Kopp L et al.  ·  Vaccine  ·  14.11.2026  ·  PMID 42843285</w:t>
      </w:r>
    </w:p>
    <w:p>
      <w:r>
        <w:t>Prospektive Kohortenstudie zur Erfassung selbstberichteter Nebenwirkungen nach COVID-19-Impfung via Smartphone-App vom Paul-Ehrlich-Institut.</w:t>
      </w:r>
    </w:p>
    <w:p>
      <w:r>
        <w:rPr>
          <w:b/>
        </w:rPr>
        <w:t xml:space="preserve">Ergebnis: </w:t>
      </w:r>
      <w:r>
        <w:t>68% der Impfungen zeigten mindestens eine Nebenwirkung, 88% davon lokale und systemische Reaktogenität. Medizinische Versorgung wurde in 0,36% der Fälle benötigt. Die Ergebnisse bestätigen das bekannte Sicherheitsprofil.</w:t>
      </w:r>
    </w:p>
    <w:p>
      <w:r>
        <w:rPr>
          <w:b/>
          <w:sz w:val="19"/>
        </w:rPr>
        <w:t xml:space="preserve">Übertragbarkeit: </w:t>
      </w:r>
      <w:r>
        <w:rPr>
          <w:sz w:val="19"/>
        </w:rPr>
        <w:t>Deutschland, PEI-Daten, vergleichbar mit nationaler Pharmakovigilanz</w:t>
      </w:r>
    </w:p>
    <w:p>
      <w:r>
        <w:rPr>
          <w:color w:val="5A7D3A"/>
          <w:sz w:val="18"/>
        </w:rPr>
        <w:t>https://pubmed.ncbi.nlm.nih.gov/42843285/</w:t>
      </w:r>
    </w:p>
    <w:p>
      <w:pPr>
        <w:pStyle w:val="Heading2"/>
      </w:pPr>
      <w:r>
        <w:t>MMR-Untererfassung in englischen Hausarztpraxen: 31% der Geimpften nicht elektronisch dokumentiert</w:t>
      </w:r>
    </w:p>
    <w:p>
      <w:r>
        <w:rPr>
          <w:i/>
          <w:color w:val="666666"/>
          <w:sz w:val="18"/>
        </w:rPr>
        <w:t>Sanderson K et al.  ·  Vaccine  ·  14.11.2026  ·  PMID 42810172</w:t>
      </w:r>
    </w:p>
    <w:p>
      <w:r>
        <w:t>Zwei-Stufen-Clusterstudie in England zur Häufigkeit fehlender elektronischer Dokumentation von MMR-Impfungen in digitalen Praxisverwaltungssystemen.</w:t>
      </w:r>
    </w:p>
    <w:p>
      <w:r>
        <w:rPr>
          <w:b/>
        </w:rPr>
        <w:t xml:space="preserve">Ergebnis: </w:t>
      </w:r>
      <w:r>
        <w:t>Bei elektronischer Abfrage erschienen 18,3–31,9% vollgeimpfter Kinder je nach Alter als ungeimpft/teilgeimpft. Selbst nach manueller Aktenprüfung persistierten Impflücken. Die Kodierung war regional unterschiedlich.</w:t>
      </w:r>
    </w:p>
    <w:p>
      <w:r>
        <w:rPr>
          <w:b/>
          <w:sz w:val="19"/>
        </w:rPr>
        <w:t xml:space="preserve">Übertragbarkeit: </w:t>
      </w:r>
      <w:r>
        <w:rPr>
          <w:sz w:val="19"/>
        </w:rPr>
        <w:t>England, digitale Dokumentationssysteme; auf Deutschland übertragbar, da vergleichbare Praxismanagementsysteme</w:t>
      </w:r>
    </w:p>
    <w:p>
      <w:r>
        <w:rPr>
          <w:color w:val="5A7D3A"/>
          <w:sz w:val="18"/>
        </w:rPr>
        <w:t>https://pubmed.ncbi.nlm.nih.gov/42810172/</w:t>
      </w:r>
    </w:p>
    <w:p>
      <w:pPr>
        <w:pStyle w:val="Heading2"/>
      </w:pPr>
      <w:r>
        <w:t>Bildungsniveau und Impfskepsis: Niederländische Metaanalyse zeigt konsistente, aber kleine Unterschiede</w:t>
      </w:r>
    </w:p>
    <w:p>
      <w:r>
        <w:rPr>
          <w:i/>
          <w:color w:val="666666"/>
          <w:sz w:val="18"/>
        </w:rPr>
        <w:t>Boer M et al.  ·  Vaccine  ·  14.11.2026  ·  PMID 42784871</w:t>
      </w:r>
    </w:p>
    <w:p>
      <w:r>
        <w:t>Bayesische Evidenzsynthese von vier niederländischen Studien (n=23.174) zu Zusammenhang zwischen Schulbildung und Impfeinstellungen vor und nach COVID-19-Pandemie.</w:t>
      </w:r>
    </w:p>
    <w:p>
      <w:r>
        <w:rPr>
          <w:b/>
        </w:rPr>
        <w:t xml:space="preserve">Ergebnis: </w:t>
      </w:r>
      <w:r>
        <w:t>Höher Gebildete zeigten konsistent positivere Impfeinstellungen als niedriger Gebildete, aber Unterschiedsmagnitude variierte stark. Longitudinal waren moderate Unterschiede wahrscheinlicher. Einstellungen blieben über die Zeit stabil.</w:t>
      </w:r>
    </w:p>
    <w:p>
      <w:r>
        <w:rPr>
          <w:b/>
          <w:sz w:val="19"/>
        </w:rPr>
        <w:t xml:space="preserve">Übertragbarkeit: </w:t>
      </w:r>
      <w:r>
        <w:rPr>
          <w:sz w:val="19"/>
        </w:rPr>
        <w:t>Niederlande, vergleichbares Versicherungssystem und Dokumentation; hohe Übertragbarkeit auf Deutschland</w:t>
      </w:r>
    </w:p>
    <w:p>
      <w:r>
        <w:rPr>
          <w:color w:val="5A7D3A"/>
          <w:sz w:val="18"/>
        </w:rPr>
        <w:t>https://pubmed.ncbi.nlm.nih.gov/42784871/</w:t>
      </w:r>
    </w:p>
    <w:p>
      <w:pPr>
        <w:pStyle w:val="Heading2"/>
      </w:pPr>
      <w:r>
        <w:t>HPV-Schulimpfung Frankreich: Digitale Nachverfolgung erhöht Einwilligung von 12.023 auf 13.714 (2025)</w:t>
      </w:r>
    </w:p>
    <w:p>
      <w:r>
        <w:rPr>
          <w:i/>
          <w:color w:val="666666"/>
          <w:sz w:val="18"/>
        </w:rPr>
        <w:t>Trin K et al.  ·  Infect Dis Now  ·  18.09.2026  ·  PMID 42759611</w:t>
      </w:r>
    </w:p>
    <w:p>
      <w:r>
        <w:t>Evaluierung von Maßnahmen zur Steigerung elterlicher Zustimmung zur HPV-Impfung von Schülern in Nouvelle-Aquitaine durch Reopening der digitalen Plattform und Echtzeit-Monitoring.</w:t>
      </w:r>
    </w:p>
    <w:p>
      <w:r>
        <w:rPr>
          <w:b/>
        </w:rPr>
        <w:t xml:space="preserve">Ergebnis: </w:t>
      </w:r>
      <w:r>
        <w:t>Septembe 2024: 12.023 Zustimmungen. Nach Reopening der Plattform (Januar–März 2025) mit wöchentlicher Überwachung plus Sozialmarketing-Kampagne: zusätzlich 1.506 Zustimmungen, final 13.714 (10.607 geimpft). Maßnahmen kompensierten Rückgang partiell.</w:t>
      </w:r>
    </w:p>
    <w:p>
      <w:r>
        <w:rPr>
          <w:b/>
          <w:sz w:val="19"/>
        </w:rPr>
        <w:t xml:space="preserve">Übertragbarkeit: </w:t>
      </w:r>
      <w:r>
        <w:rPr>
          <w:sz w:val="19"/>
        </w:rPr>
        <w:t>Frankreich, Schulimpfprogramm; ähnliche Struktur zu deutschen Schulimpfangeboten</w:t>
      </w:r>
    </w:p>
    <w:p>
      <w:r>
        <w:rPr>
          <w:color w:val="5A7D3A"/>
          <w:sz w:val="18"/>
        </w:rPr>
        <w:t>https://pubmed.ncbi.nlm.nih.gov/42759611/</w:t>
      </w:r>
    </w:p>
    <w:p>
      <w:pPr>
        <w:pStyle w:val="Heading1"/>
      </w:pPr>
      <w:r>
        <w:t>Aufgenommen am 13.10.2026</w:t>
      </w:r>
    </w:p>
    <w:p>
      <w:pPr>
        <w:pStyle w:val="Heading2"/>
      </w:pPr>
      <w:r>
        <w:t>Was Ältere in Peking von Grippeimpfung abhält und anzieht</w:t>
      </w:r>
    </w:p>
    <w:p>
      <w:r>
        <w:rPr>
          <w:i/>
          <w:color w:val="666666"/>
          <w:sz w:val="18"/>
        </w:rPr>
        <w:t>Jia M et al.  ·  JAMA Netw Open  ·  01.10.2026  ·  PMID 42862555</w:t>
      </w:r>
    </w:p>
    <w:p>
      <w:r>
        <w:t>Diskrete Wahlexperimente mit 514 Personen über 60 Jahren in zwei Pekinger Bezirken identifizierten Faktoren, die die Bereitschaft zur Grippeimpfung erhöhen oder senken.</w:t>
      </w:r>
    </w:p>
    <w:p>
      <w:r>
        <w:rPr>
          <w:b/>
        </w:rPr>
        <w:t xml:space="preserve">Ergebnis: </w:t>
      </w:r>
      <w:r>
        <w:t>Höhere Impfstoffwirksamkeit (+30,7 Prozentpunkte bei Steigerung von 20 auf 80 Prozent), Telefonerinnerungen und Botschaften zum Schutz von Familienangehörigen erhöhten die Akzeptanz; höhere wahrgenommene Risiken von Nebenwirkungen senkten sie um 20 Prozentpunkte. Nie-Geimpfte zeigten weniger Gewicht auf Wirksamkeit und höhere Sensitivität für Nebenwirkungsrisiken.</w:t>
      </w:r>
    </w:p>
    <w:p>
      <w:r>
        <w:rPr>
          <w:b/>
          <w:sz w:val="19"/>
        </w:rPr>
        <w:t xml:space="preserve">Übertragbarkeit: </w:t>
      </w:r>
      <w:r>
        <w:rPr>
          <w:sz w:val="19"/>
        </w:rPr>
        <w:t>China, Wahlexperiment mit hohem Evidenzlevel, aber andere epidemiologische Ausgangslage und Versorgungsstruktur</w:t>
      </w:r>
    </w:p>
    <w:p>
      <w:r>
        <w:rPr>
          <w:color w:val="5A7D3A"/>
          <w:sz w:val="18"/>
        </w:rPr>
        <w:t>https://pubmed.ncbi.nlm.nih.gov/42862555/</w:t>
      </w:r>
    </w:p>
    <w:p>
      <w:pPr>
        <w:pStyle w:val="Heading2"/>
      </w:pPr>
      <w:r>
        <w:t>Spurenelemente beeinflussen Antikörperantwort auf COVID-19-Impfung bei Rheuma nicht</w:t>
      </w:r>
    </w:p>
    <w:p>
      <w:r>
        <w:rPr>
          <w:i/>
          <w:color w:val="666666"/>
          <w:sz w:val="18"/>
        </w:rPr>
        <w:t>Gadbaan Hama S  ·  J Infect Dev Ctries  ·  30.09.2026  ·  PMID 42858342</w:t>
      </w:r>
    </w:p>
    <w:p>
      <w:r>
        <w:t>Querschnittsstudie mit 79 Rheuma-Patienten und 47 Kontrollen im Irak, die Zink-, Kupfer-, Magnesium- und Ceruloplasmin-Spiegel mit COVID-19-Impfantikörper-Positivität in Beziehung setzte.</w:t>
      </w:r>
    </w:p>
    <w:p>
      <w:r>
        <w:rPr>
          <w:b/>
        </w:rPr>
        <w:t xml:space="preserve">Ergebnis: </w:t>
      </w:r>
      <w:r>
        <w:t>Signifikante Unterschiede in Spurenelementspiegeln zwischen Geimpften und Ungeimpften (p &lt; 0,05), aber keine signifikanten Assoziationen zwischen IgG-Positivität und Spurenelemantkatus in einer Gruppe (p &gt; 0,05). DMARD-Therapie war nicht signifikant mit IgG-Response assoziiert (p = 0,439). Breite humorale Immunität trotz unterschiedlicher Nährstoff- und therapeutischer Profile.</w:t>
      </w:r>
    </w:p>
    <w:p>
      <w:r>
        <w:rPr>
          <w:b/>
          <w:sz w:val="19"/>
        </w:rPr>
        <w:t xml:space="preserve">Übertragbarkeit: </w:t>
      </w:r>
      <w:r>
        <w:rPr>
          <w:sz w:val="19"/>
        </w:rPr>
        <w:t>Irak, einfaches Querschnitt-Design, aber klinisch relevante Frage für Immunsupprimierte</w:t>
      </w:r>
    </w:p>
    <w:p>
      <w:r>
        <w:rPr>
          <w:color w:val="5A7D3A"/>
          <w:sz w:val="18"/>
        </w:rPr>
        <w:t>https://pubmed.ncbi.nlm.nih.gov/42858342/</w:t>
      </w:r>
    </w:p>
    <w:p>
      <w:pPr>
        <w:pStyle w:val="Heading2"/>
      </w:pPr>
      <w:r>
        <w:t>BCG-Impfung könnte Immunschwäche bei Nierenkranken über trainierte Immunität umkehren</w:t>
      </w:r>
    </w:p>
    <w:p>
      <w:r>
        <w:rPr>
          <w:i/>
          <w:color w:val="666666"/>
          <w:sz w:val="18"/>
        </w:rPr>
        <w:t>Sharma R et al.  ·  Indian J Med Res  ·  Aug. 2026  ·  PMID 42851218</w:t>
      </w:r>
    </w:p>
    <w:p>
      <w:r>
        <w:t>Ein Übersichtsartikel beschreibt, wie BCG-Impfung durch epigenetische Umprograierung der angeborenen Immunität (trainierte Immunität) die Impfantwort und Infektionsabwehr bei Patienten mit chronischer Nierenkrankheit möglicherweise verbessern könnte.</w:t>
      </w:r>
    </w:p>
    <w:p>
      <w:r>
        <w:rPr>
          <w:b/>
        </w:rPr>
        <w:t xml:space="preserve">Ergebnis: </w:t>
      </w:r>
      <w:r>
        <w:t>BCG stimuliert NOD2- und Akt/mTOR-Signalwege, erhöht aktivierende Histonmarken (H3K4me3) bei Zytokingenen und stabilisiert repressive Marken (H3K9me3) in nicht-essentiellen Genomabschnitten. Dies erzeugt transkriptionell permissives Chromatin, das Phagozytose und antimikrobielle Aktivität von Monozyten, Makrophagen und Neutrophilen steigert. Der Mechanismus ist hypothetisch; klinische Evidenz fehlt.</w:t>
      </w:r>
    </w:p>
    <w:p>
      <w:r>
        <w:rPr>
          <w:b/>
          <w:sz w:val="19"/>
        </w:rPr>
        <w:t xml:space="preserve">Übertragbarkeit: </w:t>
      </w:r>
      <w:r>
        <w:rPr>
          <w:sz w:val="19"/>
        </w:rPr>
        <w:t>Theoretische Übersicht ohne empirische Daten, spekulativ für vulnerable Population, keine direkten Versorgungsdaten</w:t>
      </w:r>
    </w:p>
    <w:p>
      <w:r>
        <w:rPr>
          <w:color w:val="5A7D3A"/>
          <w:sz w:val="18"/>
        </w:rPr>
        <w:t>https://pubmed.ncbi.nlm.nih.gov/42851218/</w:t>
      </w:r>
    </w:p>
    <w:p>
      <w:pPr>
        <w:pStyle w:val="Heading2"/>
      </w:pPr>
      <w:r>
        <w:t>COVID-19-Impfstoffe verlangsamen nicht die Nierenkrankheit</w:t>
      </w:r>
    </w:p>
    <w:p>
      <w:r>
        <w:rPr>
          <w:i/>
          <w:color w:val="666666"/>
          <w:sz w:val="18"/>
        </w:rPr>
        <w:t>Emre T et al.  ·  Clin Lab  ·  01.10.2026  ·  PMID 42847950</w:t>
      </w:r>
    </w:p>
    <w:p>
      <w:r>
        <w:t>Retrospektive Kohortenstudie mit 140 Nierenpatienten an einem Krankenhaus in der Türkei, die vor, während und 24 Monate nach Impfung die Nierenfunktion verfolgten.</w:t>
      </w:r>
    </w:p>
    <w:p>
      <w:r>
        <w:rPr>
          <w:b/>
        </w:rPr>
        <w:t xml:space="preserve">Ergebnis: </w:t>
      </w:r>
      <w:r>
        <w:t>Alle drei Impfgruppen (nur BioNTech, nur inaktiviert, gemischt) zeigten signifikante Verschlechterungen der eGFR und Kreatinin-Anstiege über 5 Jahre (p &lt; 0,001), aber keine signifikanten Unterschiede zwischen den Impftypen (p &gt; 0,05). Weder mRNA- noch inaktivierte COVID-19-Impfstoffe beschleunigten die Nierenkrankheit.</w:t>
      </w:r>
    </w:p>
    <w:p>
      <w:r>
        <w:rPr>
          <w:b/>
          <w:sz w:val="19"/>
        </w:rPr>
        <w:t xml:space="preserve">Übertragbarkeit: </w:t>
      </w:r>
      <w:r>
        <w:rPr>
          <w:sz w:val="19"/>
        </w:rPr>
        <w:t>Türkei, retrospektiv, kleiner Kreis, aber Sicherheitssignal adressiert häufige Sorge bei vulnerable Population</w:t>
      </w:r>
    </w:p>
    <w:p>
      <w:r>
        <w:rPr>
          <w:color w:val="5A7D3A"/>
          <w:sz w:val="18"/>
        </w:rPr>
        <w:t>https://pubmed.ncbi.nlm.nih.gov/42847950/</w:t>
      </w:r>
    </w:p>
    <w:p>
      <w:pPr>
        <w:pStyle w:val="Heading2"/>
      </w:pPr>
      <w:r>
        <w:t>Tuberkulose-Patienten zeigen abgeschwächte Immunantwort auf COVID-19-Impfung trotz Antikörper</w:t>
      </w:r>
    </w:p>
    <w:p>
      <w:r>
        <w:rPr>
          <w:i/>
          <w:color w:val="666666"/>
          <w:sz w:val="18"/>
        </w:rPr>
        <w:t>Jiang Z et al.  ·  Front Immunol  ·  18.09.2026  ·  PMID 42827549</w:t>
      </w:r>
    </w:p>
    <w:p>
      <w:r>
        <w:t>Eine Substudie einer RCT verglich 38 TB-Patienten unter Therapie mit 38 Gesunden nach COVID-19-Impfung mittels Proteomik, Transkriptomik und Antikörpertest.</w:t>
      </w:r>
    </w:p>
    <w:p>
      <w:r>
        <w:rPr>
          <w:b/>
        </w:rPr>
        <w:t xml:space="preserve">Ergebnis: </w:t>
      </w:r>
      <w:r>
        <w:t>Trotz vergleichbarer Neutralisierungsantikörper-Titer zeigten TB-Patienten minimale Änderungen der Plasma-Proteome und Transkriptome nach Impfung, während Gesunde breit angelegte Umweltungen aufwiesen. TB-Patienten hatten baseline-Deplation von Proteinen in Vesikel-Transport- und Phagozytose-Wegen und verminderte Immunzell-Infiltration nach Vakzination.</w:t>
      </w:r>
    </w:p>
    <w:p>
      <w:r>
        <w:rPr>
          <w:b/>
          <w:sz w:val="19"/>
        </w:rPr>
        <w:t xml:space="preserve">Übertragbarkeit: </w:t>
      </w:r>
      <w:r>
        <w:rPr>
          <w:sz w:val="19"/>
        </w:rPr>
        <w:t>Vietnam/China (Nanjing) aber RCT-Design mit klaren molekularen Metriken, Übertragbar für Immunschwache</w:t>
      </w:r>
    </w:p>
    <w:p>
      <w:r>
        <w:rPr>
          <w:color w:val="5A7D3A"/>
          <w:sz w:val="18"/>
        </w:rPr>
        <w:t>https://pubmed.ncbi.nlm.nih.gov/42827549/</w:t>
      </w:r>
    </w:p>
    <w:p>
      <w:pPr>
        <w:pStyle w:val="Heading1"/>
      </w:pPr>
      <w:r>
        <w:t>Aufgenommen am 12.10.2026</w:t>
      </w:r>
    </w:p>
    <w:p>
      <w:pPr>
        <w:pStyle w:val="Heading2"/>
      </w:pPr>
      <w:r>
        <w:t>COVID-19-Impfung reduziert Risiko für Post-COVID-Herzerkrankungen</w:t>
      </w:r>
    </w:p>
    <w:p>
      <w:r>
        <w:rPr>
          <w:i/>
          <w:color w:val="666666"/>
          <w:sz w:val="18"/>
        </w:rPr>
        <w:t>Maria LFBS et al.  ·  Rev Med Virol  ·  Nov. 2026  ·  PMID 42858449</w:t>
      </w:r>
    </w:p>
    <w:p>
      <w:r>
        <w:t>Systematische Qualitative Synthese der Evidenz nach Bradford Hill-Kriterien und Sufficient Component Cause-Modell zur Frage, ob Impfung vor Post-COVID-Herz-Kreislauf-Komplikationen schützt.</w:t>
      </w:r>
    </w:p>
    <w:p>
      <w:r>
        <w:rPr>
          <w:b/>
        </w:rPr>
        <w:t xml:space="preserve">Ergebnis: </w:t>
      </w:r>
      <w:r>
        <w:t>COVID-19-Impfung erfüllte vier von neun Bradford-Hill-Kriterien als protektiver Faktor gegen Post-COVID-Kardiovaskulärerkrankungen: Assoziationsstärke, Konsistenz, Temporalität und biologischer Gradient. Drei Kriterien (biolog. Plausibilität, Kohärenz, Analogie) waren teilweise erfüllt. Schlussfolgerung: Impfung erwies sich wirksam über die Akutphase hinaus.</w:t>
      </w:r>
    </w:p>
    <w:p>
      <w:r>
        <w:rPr>
          <w:b/>
          <w:sz w:val="19"/>
        </w:rPr>
        <w:t xml:space="preserve">Übertragbarkeit: </w:t>
      </w:r>
      <w:r>
        <w:rPr>
          <w:sz w:val="19"/>
        </w:rPr>
        <w:t>Brasilien/Lateinamerika; Befund zur kardiovaskulären Langzeit-Schutzwirkung international übertragbar</w:t>
      </w:r>
    </w:p>
    <w:p>
      <w:r>
        <w:rPr>
          <w:color w:val="5A7D3A"/>
          <w:sz w:val="18"/>
        </w:rPr>
        <w:t>https://pubmed.ncbi.nlm.nih.gov/42858449/</w:t>
      </w:r>
    </w:p>
    <w:p>
      <w:pPr>
        <w:pStyle w:val="Heading2"/>
      </w:pPr>
      <w:r>
        <w:t>Impffieber wird durch Darmbakterienzusammensetzung geprägt</w:t>
      </w:r>
    </w:p>
    <w:p>
      <w:r>
        <w:rPr>
          <w:i/>
          <w:color w:val="666666"/>
          <w:sz w:val="18"/>
        </w:rPr>
        <w:t>Huus KE et al.  ·  Science  ·  08.10.2026  ·  PMID 42848888</w:t>
      </w:r>
    </w:p>
    <w:p>
      <w:r>
        <w:t>Longitudinale Profilerstellung der Darmflora bei 171 Erwachsenen nach mRNA-Impfung zeigte, dass Fieber mit niedriger intestinaler Entzündung und gesteigerten flagellierten Lachnospiraceae-Bakterien korreliert.</w:t>
      </w:r>
    </w:p>
    <w:p>
      <w:r>
        <w:rPr>
          <w:b/>
        </w:rPr>
        <w:t xml:space="preserve">Ergebnis: </w:t>
      </w:r>
      <w:r>
        <w:t>Fieberhäufigkeit war mit mikrobiellem Entzündungsstatus und Flagellin-Expressionsprofilen assoziiert. Diät und Mikrobiom-Targeting könnten Impfnebenwirkungen reduzieren, ohne dass damit Impfeffektivität gefährdet wäre – nur lokale Immuntoleranz wird moduliert.</w:t>
      </w:r>
    </w:p>
    <w:p>
      <w:r>
        <w:rPr>
          <w:b/>
          <w:sz w:val="19"/>
        </w:rPr>
        <w:t xml:space="preserve">Übertragbarkeit: </w:t>
      </w:r>
      <w:r>
        <w:rPr>
          <w:sz w:val="19"/>
        </w:rPr>
        <w:t>Deutschland mit vergleichbarer Bevölkerungsstruktur; Befund zu Immunmechanismus ist universell übertragbar</w:t>
      </w:r>
    </w:p>
    <w:p>
      <w:r>
        <w:rPr>
          <w:color w:val="5A7D3A"/>
          <w:sz w:val="18"/>
        </w:rPr>
        <w:t>https://pubmed.ncbi.nlm.nih.gov/42848888/</w:t>
      </w:r>
    </w:p>
    <w:p>
      <w:pPr>
        <w:pStyle w:val="Heading2"/>
      </w:pPr>
      <w:r>
        <w:t>HPV-Impfbereitschaft hängt von Risikobewusstsein, Vertrauen und Informationsquellen ab</w:t>
      </w:r>
    </w:p>
    <w:p>
      <w:r>
        <w:rPr>
          <w:i/>
          <w:color w:val="666666"/>
          <w:sz w:val="18"/>
        </w:rPr>
        <w:t>Thomas Gil M et al.  ·  Hum Vaccin Immunother  ·  08.10.2026  ·  PMID 42847160</w:t>
      </w:r>
    </w:p>
    <w:p>
      <w:r>
        <w:t>Querschnittsumfrage unter indischen Studentinnen integrierte Konstrukte aus Health Belief Model, Protection Motivation Theory und 3Cs-Rahmen, um Determinanten der Impfbereitschaft und des Impfverhaltens zu untersuchen.</w:t>
      </w:r>
    </w:p>
    <w:p>
      <w:r>
        <w:rPr>
          <w:b/>
        </w:rPr>
        <w:t xml:space="preserve">Ergebnis: </w:t>
      </w:r>
      <w:r>
        <w:t>Wahrgenommene Schweregrad und Anfälligkeit sowie Impfvertrauen erhöhten Impfbereitschaft (+), Selbstzufriedenheit senkte sie (−). Impfbereitschaft mediierte signifikant die Effekte auf tatsächliches Impfverhalten. HPV-Impfempfehlungen und Informationsquellen hatten begrenzt verstärkende Moderatoren-Effekte.</w:t>
      </w:r>
    </w:p>
    <w:p>
      <w:r>
        <w:rPr>
          <w:b/>
          <w:sz w:val="19"/>
        </w:rPr>
        <w:t xml:space="preserve">Übertragbarkeit: </w:t>
      </w:r>
      <w:r>
        <w:rPr>
          <w:sz w:val="19"/>
        </w:rPr>
        <w:t>Indien; Einflussfaktoren auf Impfverhalten sind kulturübergreifend relevant, aber Interventionsdesign muss an deutsche Kontexte angepasst werden</w:t>
      </w:r>
    </w:p>
    <w:p>
      <w:r>
        <w:rPr>
          <w:color w:val="5A7D3A"/>
          <w:sz w:val="18"/>
        </w:rPr>
        <w:t>https://pubmed.ncbi.nlm.nih.gov/42847160/</w:t>
      </w:r>
    </w:p>
    <w:p>
      <w:pPr>
        <w:pStyle w:val="Heading2"/>
      </w:pPr>
      <w:r>
        <w:t>Impfung senkt COVID-19-Hospitalisierung bei Rheumapatienten deutlich</w:t>
      </w:r>
    </w:p>
    <w:p>
      <w:r>
        <w:rPr>
          <w:i/>
          <w:color w:val="666666"/>
          <w:sz w:val="18"/>
        </w:rPr>
        <w:t>Ak F et al.  ·  Front Public Health  ·  22.09.2026  ·  PMID 42840118</w:t>
      </w:r>
    </w:p>
    <w:p>
      <w:r>
        <w:t>Retrospektive Kohortenstudie von 1.024 Rheumapatienten (März 2020–Januar 2023): Assoziationen zwischen Krankheitssubtyp, Behandlung, Impfstatus und COVID-19-Infektions- sowie Hospitalisierungsrisiko untersucht.</w:t>
      </w:r>
    </w:p>
    <w:p>
      <w:r>
        <w:rPr>
          <w:b/>
        </w:rPr>
        <w:t xml:space="preserve">Ergebnis: </w:t>
      </w:r>
      <w:r>
        <w:t>Von 1.024 Patienten entwickelten 33,9% COVID-19; 92,3% der Nicht-Infizierten waren geimpft vs. 23,9% der Infizierten (p&lt;0,001). Hospitalisiert wurden 11,5% der COVID-19-Positiven; Prädiktoren: höheres Alter, Lungenbeteiligung, längere Krankheitsdauer. BNT162b2-Impfung war mit niedrigerem Hospitalisierungsrisiko assoziiert.</w:t>
      </w:r>
    </w:p>
    <w:p>
      <w:r>
        <w:rPr>
          <w:b/>
          <w:sz w:val="19"/>
        </w:rPr>
        <w:t xml:space="preserve">Übertragbarkeit: </w:t>
      </w:r>
      <w:r>
        <w:rPr>
          <w:sz w:val="19"/>
        </w:rPr>
        <w:t>Türkei mit westlichem Versicherungssystem; Befund zum Schutzeffekt durch Impfung bei Immunsuppression auf deutsche Rheumatologie direkt übertragbar</w:t>
      </w:r>
    </w:p>
    <w:p>
      <w:r>
        <w:rPr>
          <w:color w:val="5A7D3A"/>
          <w:sz w:val="18"/>
        </w:rPr>
        <w:t>https://pubmed.ncbi.nlm.nih.gov/42840118/</w:t>
      </w:r>
    </w:p>
    <w:p>
      <w:pPr>
        <w:pStyle w:val="Heading2"/>
      </w:pPr>
      <w:r>
        <w:t>Neues CAR-T-Zielprotein MPZL1 könnte Spektrum von Tumorarten erweitern</w:t>
      </w:r>
    </w:p>
    <w:p>
      <w:r>
        <w:rPr>
          <w:i/>
          <w:color w:val="666666"/>
          <w:sz w:val="18"/>
        </w:rPr>
        <w:t>Jiménez-Vázquez S et al.  ·  Nat Commun  ·  10.09.2026  ·  PMID 42722692</w:t>
      </w:r>
    </w:p>
    <w:p>
      <w:r>
        <w:t>Entwicklung und präklinische Testung von CAR-T-Zellen gegen MPZL1, ein Oberflächenprotein, das bei bis zu 75% bestimmter Tumortypen amplifiziert ist und kaum auf Normalgewebe vorkommt.</w:t>
      </w:r>
    </w:p>
    <w:p>
      <w:r>
        <w:rPr>
          <w:b/>
        </w:rPr>
        <w:t xml:space="preserve">Ergebnis: </w:t>
      </w:r>
      <w:r>
        <w:t>CAR-T-Zellen gegen MPZL1 zeigten In-vitro-Eliminationsaktivität und Antitumoraktivität in menschlichen Xenograft-, autochthonen Maus- und patientenabgeleiteten Modellen. Die Arbeiten liefern grundsätzlich einen neuen Zielansatz; klinische Überprüfung steht aus.</w:t>
      </w:r>
    </w:p>
    <w:p>
      <w:r>
        <w:rPr>
          <w:b/>
          <w:sz w:val="19"/>
        </w:rPr>
        <w:t xml:space="preserve">Übertragbarkeit: </w:t>
      </w:r>
      <w:r>
        <w:rPr>
          <w:sz w:val="19"/>
        </w:rPr>
        <w:t>Deutschland mit vergleichbarem Zelltherapie-Standard; Befund zu Targetidentifikation prinzipiell universell</w:t>
      </w:r>
    </w:p>
    <w:p>
      <w:r>
        <w:rPr>
          <w:color w:val="5A7D3A"/>
          <w:sz w:val="18"/>
        </w:rPr>
        <w:t>https://pubmed.ncbi.nlm.nih.gov/42722692/</w:t>
      </w:r>
    </w:p>
    <w:p>
      <w:pPr>
        <w:pStyle w:val="Heading2"/>
      </w:pPr>
      <w:r>
        <w:t>Dezentralisierte CAR-T-Herstellung könnte Zugangshürden in Europa senken</w:t>
      </w:r>
    </w:p>
    <w:p>
      <w:r>
        <w:rPr>
          <w:i/>
          <w:color w:val="666666"/>
          <w:sz w:val="18"/>
        </w:rPr>
        <w:t>Griebling D et al.  ·  Cytotherapy  ·  19.06.2026  ·  PMID 42696794</w:t>
      </w:r>
    </w:p>
    <w:p>
      <w:r>
        <w:t>Review des EASYGEN-Konsortiums zu Engpässen bei CAR-T-Therapie in Europa und Optionen für dezentralisierte Point-of-Care-Fertigung mit nichtviralen Gentransfer-Verfahren an mehreren Zentren.</w:t>
      </w:r>
    </w:p>
    <w:p>
      <w:r>
        <w:rPr>
          <w:b/>
        </w:rPr>
        <w:t xml:space="preserve">Ergebnis: </w:t>
      </w:r>
      <w:r>
        <w:t>Dezentralisierte Produktion und nichtvirale Gentransfer versprechen kürzere Vein-to-Vein-Zeiten, niedrigere Kosten und weniger Patienten-Verschlechterung während der Wartezeit. Konsortium schlägt vor: Standardisierung der Datenintegration und regulatorischer Rahmen für europäische Harmonisierung.</w:t>
      </w:r>
    </w:p>
    <w:p>
      <w:r>
        <w:rPr>
          <w:b/>
          <w:sz w:val="19"/>
        </w:rPr>
        <w:t xml:space="preserve">Übertragbarkeit: </w:t>
      </w:r>
      <w:r>
        <w:rPr>
          <w:sz w:val="19"/>
        </w:rPr>
        <w:t>Europäische Versorgungsarchitektur mit direktem Bezug zu Herstellungshürden in Deutschland und Nachbarländern</w:t>
      </w:r>
    </w:p>
    <w:p>
      <w:r>
        <w:rPr>
          <w:color w:val="5A7D3A"/>
          <w:sz w:val="18"/>
        </w:rPr>
        <w:t>https://pubmed.ncbi.nlm.nih.gov/42696794/</w:t>
      </w:r>
    </w:p>
    <w:p>
      <w:pPr>
        <w:pStyle w:val="Heading1"/>
      </w:pPr>
      <w:r>
        <w:t>Aufgenommen am 11.10.2026</w:t>
      </w:r>
    </w:p>
    <w:p>
      <w:pPr>
        <w:pStyle w:val="Heading2"/>
      </w:pPr>
      <w:r>
        <w:t>Impfbereitschaft bei europäischen Gesundheitsstudierenden: nur ein Drittel willig</w:t>
      </w:r>
    </w:p>
    <w:p>
      <w:r>
        <w:rPr>
          <w:i/>
          <w:color w:val="666666"/>
          <w:sz w:val="18"/>
        </w:rPr>
        <w:t>Yiallouris A et al.  ·  JMIR Public Health Surveill  ·  09.10.2026  ·  PMID 42854231</w:t>
      </w:r>
    </w:p>
    <w:p>
      <w:r>
        <w:t>Querschnittsbefragung von 1.192 europäischen Studierenden der Medizin, Zahnmedizin, Pflege, Pharmazie und verwandter Gesundheitsberufe zur Bereitschaft, an zukünftigen Impfstoffstudien teilzunehmen.</w:t>
      </w:r>
    </w:p>
    <w:p>
      <w:r>
        <w:rPr>
          <w:b/>
        </w:rPr>
        <w:t xml:space="preserve">Ergebnis: </w:t>
      </w:r>
      <w:r>
        <w:t>32,9 % zeigten Teilnahmebereitschaft, 38,8 % waren unentschlossen, 28,3 % unwillig. Hauptbarrieren: Angst vor Nebenwirkungen (74,6 %), Bedenken als "Versuchsperson" zu dienen (35,9 %). Motivatoren: transparente Sicherheitskommunikation, Verständnis von Risiken, persönliche Schutzgarantien.</w:t>
      </w:r>
    </w:p>
    <w:p>
      <w:r>
        <w:rPr>
          <w:b/>
          <w:sz w:val="19"/>
        </w:rPr>
        <w:t xml:space="preserve">Übertragbarkeit: </w:t>
      </w:r>
      <w:r>
        <w:rPr>
          <w:sz w:val="19"/>
        </w:rPr>
        <w:t>Europäische Verbundstudie, Transfer auf Rekrutierungsstrategien für Impfstudien in DACH begrenzt.</w:t>
      </w:r>
    </w:p>
    <w:p>
      <w:r>
        <w:rPr>
          <w:color w:val="5A7D3A"/>
          <w:sz w:val="18"/>
        </w:rPr>
        <w:t>https://pubmed.ncbi.nlm.nih.gov/42854231/</w:t>
      </w:r>
    </w:p>
    <w:p>
      <w:pPr>
        <w:pStyle w:val="Heading2"/>
      </w:pPr>
      <w:r>
        <w:t>HPV-Impfquoten in den USA: Schuleingangsanforderungen und Fachkompetenz essentiell</w:t>
      </w:r>
    </w:p>
    <w:p>
      <w:r>
        <w:rPr>
          <w:i/>
          <w:color w:val="666666"/>
          <w:sz w:val="18"/>
        </w:rPr>
        <w:t>Escabí-Wojna E et al.  ·  Front Public Health  ·  24.09.2026  ·  PMID 42851744</w:t>
      </w:r>
    </w:p>
    <w:p>
      <w:r>
        <w:t>Explorative qualitative Studie mit 9 Schlüsselpersonen aus 6 US-Bundesstaaten und -Bezirken zur Förderung der HPV-Impfung nach COVID-19.</w:t>
      </w:r>
    </w:p>
    <w:p>
      <w:r>
        <w:rPr>
          <w:b/>
        </w:rPr>
        <w:t xml:space="preserve">Ergebnis: </w:t>
      </w:r>
      <w:r>
        <w:t>Zentrale Erfolgsfaktoren identifiziert: Aufklärung der Impfanbieter, Schuleingangsanforderungen, Krebsprävention-Messaging, vertrauenswürdige Informanten, kultursensitive Ansprache, Sektorübergreifende Partnerschaften. Barrieren: Impfmissinformation, gestiegene Hesitancy post-COVID, regionale Unterschiede in Regelwerk.</w:t>
      </w:r>
    </w:p>
    <w:p>
      <w:r>
        <w:rPr>
          <w:b/>
          <w:sz w:val="19"/>
        </w:rPr>
        <w:t xml:space="preserve">Übertragbarkeit: </w:t>
      </w:r>
      <w:r>
        <w:rPr>
          <w:sz w:val="19"/>
        </w:rPr>
        <w:t>USA - Regelwerk und Zugangsstrukturen unterscheiden sich; Kommunikationsprinzipien übertragbar.</w:t>
      </w:r>
    </w:p>
    <w:p>
      <w:r>
        <w:rPr>
          <w:color w:val="5A7D3A"/>
          <w:sz w:val="18"/>
        </w:rPr>
        <w:t>https://pubmed.ncbi.nlm.nih.gov/42851744/</w:t>
      </w:r>
    </w:p>
    <w:p>
      <w:pPr>
        <w:pStyle w:val="Heading2"/>
      </w:pPr>
      <w:r>
        <w:t>Immunlücken bei Masern und Röteln: junge Frauen in China gefährdet</w:t>
      </w:r>
    </w:p>
    <w:p>
      <w:r>
        <w:rPr>
          <w:i/>
          <w:color w:val="666666"/>
          <w:sz w:val="18"/>
        </w:rPr>
        <w:t>Sun X et al.  ·  Front Immunol  ·  24.09.2026  ·  PMID 42851700</w:t>
      </w:r>
    </w:p>
    <w:p>
      <w:r>
        <w:t>Querschnittsseroepidemiologische Studie bei 1.196 schwangeren Frauen in der Provinz Jiangsu (China) zur Röteln-Immunität nach Impfung.</w:t>
      </w:r>
    </w:p>
    <w:p>
      <w:r>
        <w:rPr>
          <w:b/>
        </w:rPr>
        <w:t xml:space="preserve">Ergebnis: </w:t>
      </w:r>
      <w:r>
        <w:t>Gesamt-Seroprävalenz Röteln-IgG: 61,45 % (geometrisches Mittel 24,21 IE/mL). Seroprävalenz stieg mit Alter: 37,77 % bei ≤24 Jahren auf ~75 % bei ≥30 Jahren. Jüngere Geburtskohorten zeigten deutlich niedrigere Seroprävalenz und Antikörper, trotz anhaltend hoher RCV-Impfquoten. Maternal age war unabhängig mit Immunität assoziiert.</w:t>
      </w:r>
    </w:p>
    <w:p>
      <w:r>
        <w:rPr>
          <w:b/>
          <w:sz w:val="19"/>
        </w:rPr>
        <w:t xml:space="preserve">Übertragbarkeit: </w:t>
      </w:r>
      <w:r>
        <w:rPr>
          <w:sz w:val="19"/>
        </w:rPr>
        <w:t>China - Daten zeigen, dass auch bei etablierten Impfprogrammen Kohorten-Lücken entstehen; international relevantes Muster.</w:t>
      </w:r>
    </w:p>
    <w:p>
      <w:r>
        <w:rPr>
          <w:color w:val="5A7D3A"/>
          <w:sz w:val="18"/>
        </w:rPr>
        <w:t>https://pubmed.ncbi.nlm.nih.gov/42851700/</w:t>
      </w:r>
    </w:p>
    <w:p>
      <w:pPr>
        <w:pStyle w:val="Heading2"/>
      </w:pPr>
      <w:r>
        <w:t>Impfquoten gegen Atemwegsinfektionen bei Älteren bleiben deutlich unter Ziel</w:t>
      </w:r>
    </w:p>
    <w:p>
      <w:r>
        <w:rPr>
          <w:i/>
          <w:color w:val="666666"/>
          <w:sz w:val="18"/>
        </w:rPr>
        <w:t>Paccalin M et al.  ·  Geriatr Psychol Neuropsychiatr Vieil  ·  01.09.2026  ·  PMID 42842819</w:t>
      </w:r>
    </w:p>
    <w:p>
      <w:r>
        <w:t>Narrativer Review zu Epidemiologie, Effektivität und Empfehlungen für COVID-19-, RSV-, Influenza- und Pneumokokken-Impfungen bei älteren Menschen in Frankreich 2026.</w:t>
      </w:r>
    </w:p>
    <w:p>
      <w:r>
        <w:rPr>
          <w:b/>
        </w:rPr>
        <w:t xml:space="preserve">Ergebnis: </w:t>
      </w:r>
      <w:r>
        <w:t>Sichere und wirksame Impfstoffe für alle vier Infektionen verfügbar, aber Impfquoten bei Älteren und besonders bei Gesundheitspersonal deutlich unter Zielwert; post-COVID-Hesitancy gestiegen. Empfehlung: verbesserte Information und Aufklärung für Öffentlichkeit und Fachpersonal als wirksamste Strategie.</w:t>
      </w:r>
    </w:p>
    <w:p>
      <w:r>
        <w:rPr>
          <w:b/>
          <w:sz w:val="19"/>
        </w:rPr>
        <w:t xml:space="preserve">Übertragbarkeit: </w:t>
      </w:r>
      <w:r>
        <w:rPr>
          <w:sz w:val="19"/>
        </w:rPr>
        <w:t>Frankreich, vergleichbares Sozialversicherungssystem mit Deutschland.</w:t>
      </w:r>
    </w:p>
    <w:p>
      <w:r>
        <w:rPr>
          <w:color w:val="5A7D3A"/>
          <w:sz w:val="18"/>
        </w:rPr>
        <w:t>https://pubmed.ncbi.nlm.nih.gov/42842819/</w:t>
      </w:r>
    </w:p>
    <w:p>
      <w:pPr>
        <w:pStyle w:val="Heading2"/>
      </w:pPr>
      <w:r>
        <w:t>SARS-CoV-2-Impfung nach allogener Stammzelltransplantation: verzögerte Immunantwort, aber gut verträglich</w:t>
      </w:r>
    </w:p>
    <w:p>
      <w:r>
        <w:rPr>
          <w:i/>
          <w:color w:val="666666"/>
          <w:sz w:val="18"/>
        </w:rPr>
        <w:t>Crodel CC et al.  ·  J Cancer Res Clin Oncol  ·  01.10.2026  ·  PMID 42828557</w:t>
      </w:r>
    </w:p>
    <w:p>
      <w:r>
        <w:t>Retrospektive Kohortenstudie von 114 Patienten nach allogener hämatopoetischer Stammzelltransplantation (alloHSCT) zur Immunogenität und Sicherheit der SARS-CoV-2-Impfung.</w:t>
      </w:r>
    </w:p>
    <w:p>
      <w:r>
        <w:rPr>
          <w:b/>
        </w:rPr>
        <w:t xml:space="preserve">Ergebnis: </w:t>
      </w:r>
      <w:r>
        <w:t>89,4 % waren mindestens zweifach geimpft, 66,7 % dreifach. Nach 2. Dosis erreichten 81,8 % anti-Spike-IgG-Seropositivität, nach 3. Dosis 96,1 %. Patienten geimpft &lt;24 Monate nach alloHSCT hatten signifikant niedrigere IgG-Titer (p=0,017). Häufigste Nebenwirkungen: Armschmerz (34 %), Schwellung (14 %), Gliederschmerzen (17 %). Timing der Impfung beeinflusst Immunantwort.</w:t>
      </w:r>
    </w:p>
    <w:p>
      <w:r>
        <w:rPr>
          <w:b/>
          <w:sz w:val="19"/>
        </w:rPr>
        <w:t xml:space="preserve">Übertragbarkeit: </w:t>
      </w:r>
      <w:r>
        <w:rPr>
          <w:sz w:val="19"/>
        </w:rPr>
        <w:t>Deutsche Klinikdaten, Impfung von Hochrisikopatienten in Regeldokumenten häufig.</w:t>
      </w:r>
    </w:p>
    <w:p>
      <w:r>
        <w:rPr>
          <w:color w:val="5A7D3A"/>
          <w:sz w:val="18"/>
        </w:rPr>
        <w:t>https://pubmed.ncbi.nlm.nih.gov/42828557/</w:t>
      </w:r>
    </w:p>
    <w:p>
      <w:pPr>
        <w:pStyle w:val="Heading2"/>
      </w:pPr>
      <w:r>
        <w:t>Abwasser-Antikörper spiegeln Bevölkerungsimmunität gegen SARS-CoV-2 wider</w:t>
      </w:r>
    </w:p>
    <w:p>
      <w:r>
        <w:rPr>
          <w:i/>
          <w:color w:val="666666"/>
          <w:sz w:val="18"/>
        </w:rPr>
        <w:t>Wannigama DL et al.  ·  Water Res  ·  01.11.2026  ·  PMID 42542021</w:t>
      </w:r>
    </w:p>
    <w:p>
      <w:r>
        <w:t>Longitudinale Kohortenstudie über 3 Jahre (2020–2022) in urbanen und ländlichen Communities in Thailand (ca. 18 Mio. Menschen) zur Messung von Infektions- und Impfintensität via Abwasser.</w:t>
      </w:r>
    </w:p>
    <w:p>
      <w:r>
        <w:rPr>
          <w:b/>
        </w:rPr>
        <w:t xml:space="preserve">Ergebnis: </w:t>
      </w:r>
      <w:r>
        <w:t>Viral RNA zeigte schnellen Anstieg und Rückgang nach Symptombeginn; anti-SARS-CoV-2-IgG verzögert (Peak ~50 Tage), Persistenz mehrere Monate. Nach Impfstart und Infektionswellen konvergierten RNA- und Antikörper-Inzidenzschätzungen, besonders in hochgeimpften urbanen Gebieten. Abwasser-Antikörper korrelierten mit Impfquoten (verzögerter zeitlicher Zusammenhang), schwächer mit Mortalität. Modell ermöglicht parallele Erfassung von Infektionslast und Bevölkerungsimmunität.</w:t>
      </w:r>
    </w:p>
    <w:p>
      <w:r>
        <w:rPr>
          <w:b/>
          <w:sz w:val="19"/>
        </w:rPr>
        <w:t xml:space="preserve">Übertragbarkeit: </w:t>
      </w:r>
      <w:r>
        <w:rPr>
          <w:sz w:val="19"/>
        </w:rPr>
        <w:t>Thailand - Methodisch innovativ für Populationsüberwachung; deutsche Gesundheitsämter könnten Abwasser-Surveillance für Impfquoten-Monitoring nutzen.</w:t>
      </w:r>
    </w:p>
    <w:p>
      <w:r>
        <w:rPr>
          <w:color w:val="5A7D3A"/>
          <w:sz w:val="18"/>
        </w:rPr>
        <w:t>https://pubmed.ncbi.nlm.nih.gov/42542021/</w:t>
      </w:r>
    </w:p>
    <w:p>
      <w:pPr>
        <w:pStyle w:val="Heading1"/>
      </w:pPr>
      <w:r>
        <w:t>Aufgenommen am 10.10.2026</w:t>
      </w:r>
    </w:p>
    <w:p>
      <w:pPr>
        <w:pStyle w:val="Heading2"/>
      </w:pPr>
      <w:r>
        <w:t>COVID-19-Impfstoffe zeigen über alle Bevölkerungsgruppen hinweg vergleichbares Sicherheitsprofil</w:t>
      </w:r>
    </w:p>
    <w:p>
      <w:r>
        <w:rPr>
          <w:i/>
          <w:color w:val="666666"/>
          <w:sz w:val="18"/>
        </w:rPr>
        <w:t>Alidema F et al.  ·  Cent Eur J Public Health  ·  Sept. 2026  ·  PMID 42853050</w:t>
      </w:r>
    </w:p>
    <w:p>
      <w:r>
        <w:t>Retrospektive Kohortenstudie an 1.000 Personen im Kosovo (600 mit chronischen Erkrankungen, 400 ohne) zur Verträglichkeit nach drei COVID-19-Impfdosen.</w:t>
      </w:r>
    </w:p>
    <w:p>
      <w:r>
        <w:rPr>
          <w:b/>
        </w:rPr>
        <w:t xml:space="preserve">Ergebnis: </w:t>
      </w:r>
      <w:r>
        <w:t>68,5 % berichteten mindestens eine Nebenwirkung, höher bei chronischen Erkrankungen (74,3 %) vs. ohne (59,7 %; p = 0,01). Häufigste Reaktionen waren leicht und vorübergehend: Injektionsstelle-Schmerz (39,2 %), Fatigue (27,6 %), Kopfschmerz (21,4 %), leichtes Fieber (18,9 %). Schwerwiegende Ereignisse wie allergische oder kardiale Reaktionen waren selten (1,2 %). Keine signifikanten Unterschiede zwischen Impfstofftypen.</w:t>
      </w:r>
    </w:p>
    <w:p>
      <w:r>
        <w:rPr>
          <w:b/>
          <w:sz w:val="19"/>
        </w:rPr>
        <w:t xml:space="preserve">Übertragbarkeit: </w:t>
      </w:r>
      <w:r>
        <w:rPr>
          <w:sz w:val="19"/>
        </w:rPr>
        <w:t>Kosovo, aber Nebenwirkungsprofil international belastbar</w:t>
      </w:r>
    </w:p>
    <w:p>
      <w:r>
        <w:rPr>
          <w:color w:val="5A7D3A"/>
          <w:sz w:val="18"/>
        </w:rPr>
        <w:t>https://pubmed.ncbi.nlm.nih.gov/42853050/</w:t>
      </w:r>
    </w:p>
    <w:p>
      <w:pPr>
        <w:pStyle w:val="Heading2"/>
      </w:pPr>
      <w:r>
        <w:t>Ärztliche Empfehlung erhöht Influenzaimpfung bei Schwangeren um das Zehnfache</w:t>
      </w:r>
    </w:p>
    <w:p>
      <w:r>
        <w:rPr>
          <w:i/>
          <w:color w:val="666666"/>
          <w:sz w:val="18"/>
        </w:rPr>
        <w:t>Uzun A et al.  ·  Cent Eur J Public Health  ·  11.09.2026  ·  PMID 42853049</w:t>
      </w:r>
    </w:p>
    <w:p>
      <w:r>
        <w:t>Prospektive Beobachtungsstudie an 356 schwangeren Frauen in der Türkei zur Frage, ob eine ärztliche Impfempfehlung die Inanspruchnahme von Influenzaimpfstoff beeinflusst.</w:t>
      </w:r>
    </w:p>
    <w:p>
      <w:r>
        <w:rPr>
          <w:b/>
        </w:rPr>
        <w:t xml:space="preserve">Ergebnis: </w:t>
      </w:r>
      <w:r>
        <w:t>Gesamtquote der Influenzaimpfung in der Schwangerschaft 7,6 %. Bei ärztlicher Empfehlung stieg die Quote auf 15,2 % gegenüber 1,5 % ohne Empfehlung (RR 10,0; 95%-KI 3,07–32,69; p &lt; 0,001). In multivariater Analyse blieb die ärztliche Empfehlung unabhängiger Prädiktor (aOR 10,39; 95%-KI 3,00–35,97; p &lt; 0,001). Häufigste Ablehnungsgründe: mangelndes Vertrauen (42,2 %) und wahrgenommene Unnötigkeit (36,2 %).</w:t>
      </w:r>
    </w:p>
    <w:p>
      <w:r>
        <w:rPr>
          <w:b/>
          <w:sz w:val="19"/>
        </w:rPr>
        <w:t xml:space="preserve">Übertragbarkeit: </w:t>
      </w:r>
      <w:r>
        <w:rPr>
          <w:sz w:val="19"/>
        </w:rPr>
        <w:t>Türkei, aber Befund zu Arzt-Patient-Kommunikation international übertragbar</w:t>
      </w:r>
    </w:p>
    <w:p>
      <w:r>
        <w:rPr>
          <w:color w:val="5A7D3A"/>
          <w:sz w:val="18"/>
        </w:rPr>
        <w:t>https://pubmed.ncbi.nlm.nih.gov/42853049/</w:t>
      </w:r>
    </w:p>
    <w:p>
      <w:pPr>
        <w:pStyle w:val="Heading2"/>
      </w:pPr>
      <w:r>
        <w:t>HPV-Impfung ab 27 Jahren: wer profitiert, wann anbieten, wie beraten</w:t>
      </w:r>
    </w:p>
    <w:p>
      <w:r>
        <w:rPr>
          <w:i/>
          <w:color w:val="666666"/>
          <w:sz w:val="18"/>
        </w:rPr>
        <w:t>Broul M et al.  ·  Cent Eur J Public Health  ·  Sept. 2026  ·  PMID 42853048</w:t>
      </w:r>
    </w:p>
    <w:p>
      <w:r>
        <w:t>Narrative Übersichtsarbeit, die internationale Leitlinien der WHO, ECDC und USA zur HPV-Impfung im Alter 27–45 Jahre in praktische Beratungsempfehlungen für Kliniker übersetzen möchte.</w:t>
      </w:r>
    </w:p>
    <w:p>
      <w:r>
        <w:rPr>
          <w:b/>
        </w:rPr>
        <w:t xml:space="preserve">Ergebnis: </w:t>
      </w:r>
      <w:r>
        <w:t>Globale und europäische Leitlinien betonen Nutzen von hoher Abdeckung vor Sexualdebüt und unterstützen keine Routineprogramme für Erwachsene. Im Gegensatz dazu empfehlen USA gemeinsame klinische Entscheidungsfindung für 27–45-Jährige, da manche — insbesondere nicht ausreichend Geimpfte, solche mit neuen Partnerschaften oder in Hochexpositions-Netzwerken (z. B. MSM) oder Immunsupprimierte — persönlichen Nutzen erhalten könnten. Impfwirksamkeit höchst bei Personen ohne vorherige Exposition gegenüber Impfstoff-HPV-Typen. Nach Zervixkonisation Evidenz gemischt.</w:t>
      </w:r>
    </w:p>
    <w:p>
      <w:r>
        <w:rPr>
          <w:b/>
          <w:sz w:val="19"/>
        </w:rPr>
        <w:t xml:space="preserve">Übertragbarkeit: </w:t>
      </w:r>
      <w:r>
        <w:rPr>
          <w:sz w:val="19"/>
        </w:rPr>
        <w:t>ECDC/Europa und USA, Beratungsrahmen auf deutsches System übertragbar</w:t>
      </w:r>
    </w:p>
    <w:p>
      <w:r>
        <w:rPr>
          <w:color w:val="5A7D3A"/>
          <w:sz w:val="18"/>
        </w:rPr>
        <w:t>https://pubmed.ncbi.nlm.nih.gov/42853048/</w:t>
      </w:r>
    </w:p>
    <w:p>
      <w:pPr>
        <w:pStyle w:val="Heading2"/>
      </w:pPr>
      <w:r>
        <w:t>Influenzaimpfstoff-Wirksamkeit 2024/2025 in China: moderate Schutzquote mit Kontaktmuster-Assoziation</w:t>
      </w:r>
    </w:p>
    <w:p>
      <w:r>
        <w:rPr>
          <w:i/>
          <w:color w:val="666666"/>
          <w:sz w:val="18"/>
        </w:rPr>
        <w:t>Chen L et al.  ·  J Glob Health  ·  09.10.2026  ·  PMID 42852605</w:t>
      </w:r>
    </w:p>
    <w:p>
      <w:r>
        <w:t>Test-Negativ-Fall-Kontroll-Studie an 928 ambulanten Patienten mit Infektionszeichen der oberen Atemwege an drei Sentinelkliniken in Xinjiang (Dezember 2024 bis März 2025).</w:t>
      </w:r>
    </w:p>
    <w:p>
      <w:r>
        <w:rPr>
          <w:b/>
        </w:rPr>
        <w:t xml:space="preserve">Ergebnis: </w:t>
      </w:r>
      <w:r>
        <w:t>921 Patienten eingeschlossen (121 influenzapositiv, 786 negativ). Gesamte angepasste Impfeffektivität gegen medizinisch betreute Influenza 42,3 % (95%-GI 11,1–62,5). Kinder (0–10 Jahre) und ältere Erwachsene (≥ 65 Jahre) mit positivem Test berichteten häufigere und längere soziale Kontakte als Negativ-Getestete. Sekvenzbefunde an 6 Proben deuteten auf keine größere Antigendiskrepanz mit Impfstoffstämmen.</w:t>
      </w:r>
    </w:p>
    <w:p>
      <w:r>
        <w:rPr>
          <w:b/>
          <w:sz w:val="19"/>
        </w:rPr>
        <w:t xml:space="preserve">Übertragbarkeit: </w:t>
      </w:r>
      <w:r>
        <w:rPr>
          <w:sz w:val="19"/>
        </w:rPr>
        <w:t>China, aber Wirksamkeitsendpunkt und Kontaktmuster international relevant</w:t>
      </w:r>
    </w:p>
    <w:p>
      <w:r>
        <w:rPr>
          <w:color w:val="5A7D3A"/>
          <w:sz w:val="18"/>
        </w:rPr>
        <w:t>https://pubmed.ncbi.nlm.nih.gov/42852605/</w:t>
      </w:r>
    </w:p>
    <w:p>
      <w:pPr>
        <w:pStyle w:val="Heading2"/>
      </w:pPr>
      <w:r>
        <w:t>COVID-19-Pandemie senkte Kinderimpfquoten in den Niederlanden anhaltend</w:t>
      </w:r>
    </w:p>
    <w:p>
      <w:r>
        <w:rPr>
          <w:i/>
          <w:color w:val="666666"/>
          <w:sz w:val="18"/>
        </w:rPr>
        <w:t>Pijpers J et al.  ·  Euro Surveill  ·  Okt. 2026  ·  PMID 42852520</w:t>
      </w:r>
    </w:p>
    <w:p>
      <w:r>
        <w:t>Niederländische Registeranalyse aller 2016–2024 geborenen Kinder zur Auswirkung von COVID-19 auf die Inanspruchnahme der Erstimpfung gegen Diphtherie, Tetanus, Pertussis und Poliomyelitis (DTaP-IPV) bis zum 6. Lebensmonat.</w:t>
      </w:r>
    </w:p>
    <w:p>
      <w:r>
        <w:rPr>
          <w:b/>
        </w:rPr>
        <w:t xml:space="preserve">Ergebnis: </w:t>
      </w:r>
      <w:r>
        <w:t>Unterbrochene Zeitreihenanalyse zeigte signifikante Abfälle bei Pandemiebeginn und -ende sowie fortlaufenden Rückgang während der Pandemie (OR 0,984; 95%-KI 0,981–0,986). In der Matched-Sibling-Analyse hatten Kinder, die während der Pandemie oder danach geimpft werden konnten, niedrigere Chancen als ihre vor der Pandemie geborenen Geschwister (Pandemie: OR 0,66, 95%-KI 0,55–0,80; nach Pandemie: OR 0,20, 95%-KI 0,17–0,25). Die Impfquoten erholten sich auch nach Ende der Pandemie nicht.</w:t>
      </w:r>
    </w:p>
    <w:p>
      <w:r>
        <w:rPr>
          <w:b/>
          <w:sz w:val="19"/>
        </w:rPr>
        <w:t xml:space="preserve">Übertragbarkeit: </w:t>
      </w:r>
      <w:r>
        <w:rPr>
          <w:sz w:val="19"/>
        </w:rPr>
        <w:t>Niederlande mit Impfregister und vergleichbarem Versicherungssystem</w:t>
      </w:r>
    </w:p>
    <w:p>
      <w:r>
        <w:rPr>
          <w:color w:val="5A7D3A"/>
          <w:sz w:val="18"/>
        </w:rPr>
        <w:t>https://pubmed.ncbi.nlm.nih.gov/42852520/</w:t>
      </w:r>
    </w:p>
    <w:p>
      <w:pPr>
        <w:pStyle w:val="Heading2"/>
      </w:pPr>
      <w:r>
        <w:t>Bildungsstand bestimmt COVID-19-Impfquote bei Schwangeren in Polen</w:t>
      </w:r>
    </w:p>
    <w:p>
      <w:r>
        <w:rPr>
          <w:i/>
          <w:color w:val="666666"/>
          <w:sz w:val="18"/>
        </w:rPr>
        <w:t>Hinca KM et al.  ·  Front Public Health  ·  24.09.2026  ·  PMID 42851628</w:t>
      </w:r>
    </w:p>
    <w:p>
      <w:r>
        <w:t>Querschnittstudie mit 675 schwangeren Frauen, die zwischen November 2021 und Februar 2022 im Kreißsaal aufgenommen wurden, zu Faktoren der COVID-19-Impfbereitschaft in der Gravidität.</w:t>
      </w:r>
    </w:p>
    <w:p>
      <w:r>
        <w:rPr>
          <w:b/>
        </w:rPr>
        <w:t xml:space="preserve">Ergebnis: </w:t>
      </w:r>
      <w:r>
        <w:t>Über 50 % der Befragten waren gegen COVID-19 in der Schwangerschaft geimpft. Niedrigere Schulbildung war konsistent mit niedrigerer Impfwahrscheinlichkeit assoziiert. Höheres Alter und Wohnort in Großstadt waren mit höherer Impfquote verknüpft. Geburtshilfliche Vorgeschichte zeigte keine signifikante Assoziation. Demografische Ungleichheit bei der Impfannahme bildete sich deutlich ab.</w:t>
      </w:r>
    </w:p>
    <w:p>
      <w:r>
        <w:rPr>
          <w:b/>
          <w:sz w:val="19"/>
        </w:rPr>
        <w:t xml:space="preserve">Übertragbarkeit: </w:t>
      </w:r>
      <w:r>
        <w:rPr>
          <w:sz w:val="19"/>
        </w:rPr>
        <w:t>Polen, vergleichbares europäisches Gesundheitssystem</w:t>
      </w:r>
    </w:p>
    <w:p>
      <w:r>
        <w:rPr>
          <w:color w:val="5A7D3A"/>
          <w:sz w:val="18"/>
        </w:rPr>
        <w:t>https://pubmed.ncbi.nlm.nih.gov/42851628/</w:t>
      </w:r>
    </w:p>
    <w:p>
      <w:pPr>
        <w:pStyle w:val="Heading1"/>
      </w:pPr>
      <w:r>
        <w:t>Aufgenommen am 09.10.2026</w:t>
      </w:r>
    </w:p>
    <w:p>
      <w:pPr>
        <w:pStyle w:val="Heading2"/>
      </w:pPr>
      <w:r>
        <w:t>Impfprice und Botschaftsrahmen beeinflussen Impfbereitschaft gegen Influenza in China</w:t>
      </w:r>
    </w:p>
    <w:p>
      <w:r>
        <w:rPr>
          <w:i/>
          <w:color w:val="666666"/>
          <w:sz w:val="18"/>
        </w:rPr>
        <w:t>Chu Y et al.  ·  Hum Vaccin Immunother  ·  31.12.2026  ·  PMID 42850200</w:t>
      </w:r>
    </w:p>
    <w:p>
      <w:r>
        <w:t>Experimentelle Studie mit 1.408 chinesischen Studierenden zur Wirkung von Preis, Nachrichtenframing (Gewinn vs. Verlust) und Werteorientierung (individualistisch vs. kollektivistisch) auf Bereitschaft zur Grippeimpfung.</w:t>
      </w:r>
    </w:p>
    <w:p>
      <w:r>
        <w:rPr>
          <w:b/>
        </w:rPr>
        <w:t xml:space="preserve">Ergebnis: </w:t>
      </w:r>
      <w:r>
        <w:t>Impfbereitschaft sank mit steigendem Preis signifikant. Bei kostenloser Impfung: keine signifikanten Unterschiede zwischen Botschaftstypen. Bei Bezahlung: Verlust-gerahmt und individualistisch-orientiert Botschaften wirksamer; individualistisch-Verlust-Botschaft zeigte stärksten Effekt. Perceived severity und vaccine effectiveness vermittelten den Effekt.</w:t>
      </w:r>
    </w:p>
    <w:p>
      <w:r>
        <w:rPr>
          <w:b/>
          <w:sz w:val="19"/>
        </w:rPr>
        <w:t xml:space="preserve">Übertragbarkeit: </w:t>
      </w:r>
      <w:r>
        <w:rPr>
          <w:sz w:val="19"/>
        </w:rPr>
        <w:t>China – Befragungsstudie; kulturelle Besonderheiten, begrenzte Übertragbarkeit auf Deutschland</w:t>
      </w:r>
    </w:p>
    <w:p>
      <w:r>
        <w:rPr>
          <w:color w:val="5A7D3A"/>
          <w:sz w:val="18"/>
        </w:rPr>
        <w:t>https://pubmed.ncbi.nlm.nih.gov/42850200/</w:t>
      </w:r>
    </w:p>
    <w:p>
      <w:pPr>
        <w:pStyle w:val="Heading2"/>
      </w:pPr>
      <w:r>
        <w:t>Pneumokokkenimpfung in Südafrika: Kosteneffektivität PCV20 vs. PPSV23 bei HIV-Risikogruppen</w:t>
      </w:r>
    </w:p>
    <w:p>
      <w:r>
        <w:rPr>
          <w:i/>
          <w:color w:val="666666"/>
          <w:sz w:val="18"/>
        </w:rPr>
        <w:t>Wang WW et al.  ·  Hum Vaccin Immunother  ·  08.10.2026  ·  PMID 42849061</w:t>
      </w:r>
    </w:p>
    <w:p>
      <w:r>
        <w:t>Statische Entscheidungsbaummodellierung aus Perspektive südafrikanischer Gesundheitskassen zur Kosteneffektivität von PCV20 vs. PPSV23 bei über 65-Jährigen, mit HIV-Stratifizierung.</w:t>
      </w:r>
    </w:p>
    <w:p>
      <w:r>
        <w:rPr>
          <w:b/>
        </w:rPr>
        <w:t xml:space="preserve">Ergebnis: </w:t>
      </w:r>
      <w:r>
        <w:t>Bei Allgemeinbevölkerung ≥65 Jahre: PCV20 mehr Gesundheitsnutzen, aber ICER 17.323 USD/QALY (nicht kosteneffektiv zu aktuellen Preisen). Bei älteren Erwachsenen mit HIV: ICER 2.104 USD/QALY (kosteneffektiv). Kosten Haupttreiber; zielgerichtete Impfung von HIV+ Älteren effizienter als universale Strategie.</w:t>
      </w:r>
    </w:p>
    <w:p>
      <w:r>
        <w:rPr>
          <w:b/>
          <w:sz w:val="19"/>
        </w:rPr>
        <w:t xml:space="preserve">Übertragbarkeit: </w:t>
      </w:r>
      <w:r>
        <w:rPr>
          <w:sz w:val="19"/>
        </w:rPr>
        <w:t>Südafrika – Modellstudie; HIV-Prävalenz und Ressourcenlimitierungen nicht auf Deutschland übertragbar</w:t>
      </w:r>
    </w:p>
    <w:p>
      <w:r>
        <w:rPr>
          <w:color w:val="5A7D3A"/>
          <w:sz w:val="18"/>
        </w:rPr>
        <w:t>https://pubmed.ncbi.nlm.nih.gov/42849061/</w:t>
      </w:r>
    </w:p>
    <w:p>
      <w:pPr>
        <w:pStyle w:val="Heading2"/>
      </w:pPr>
      <w:r>
        <w:t>Interventionen gegen Impfskepsis im Kindes- und Jugendalter 2012–2023: Integrative Übersicht</w:t>
      </w:r>
    </w:p>
    <w:p>
      <w:r>
        <w:rPr>
          <w:i/>
          <w:color w:val="666666"/>
          <w:sz w:val="18"/>
        </w:rPr>
        <w:t>Rocha FMD et al.  ·  Cien Saude Colet  ·  05.10.2026  ·  PMID 42848635</w:t>
      </w:r>
    </w:p>
    <w:p>
      <w:r>
        <w:t>Integrative Literaturübersicht über 45 Interventionsstudien zur Minderung von Vaccine Hesitancy bei Kinder- und Jugendimpfungen über 12 Jahre, systematisiert nach Methodik, Zielgruppe, Impfstoff und Evidenzlevel.</w:t>
      </w:r>
    </w:p>
    <w:p>
      <w:r>
        <w:rPr>
          <w:b/>
        </w:rPr>
        <w:t xml:space="preserve">Ergebnis: </w:t>
      </w:r>
      <w:r>
        <w:t>Mehrheit 2021–2023 veröffentlicht; quantitativ dominierend; Zielgruppe meist Eltern/Betreuer; häufigste Intervention: digitale Bildungsinhalte. Konvergenz mit Cs-Modell (Confidence, Complacency, Convenience). Interventionen können Strategien gegen Vaccine Hesitancy und evidenzgestützte Politiken informieren.</w:t>
      </w:r>
    </w:p>
    <w:p>
      <w:r>
        <w:rPr>
          <w:b/>
          <w:sz w:val="19"/>
        </w:rPr>
        <w:t xml:space="preserve">Übertragbarkeit: </w:t>
      </w:r>
      <w:r>
        <w:rPr>
          <w:sz w:val="19"/>
        </w:rPr>
        <w:t>Brasilien/Portugiesischsprachig – narrative Übersichtsarbeit ohne quantitativ beschriebene Erfolgsraten</w:t>
      </w:r>
    </w:p>
    <w:p>
      <w:r>
        <w:rPr>
          <w:color w:val="5A7D3A"/>
          <w:sz w:val="18"/>
        </w:rPr>
        <w:t>https://pubmed.ncbi.nlm.nih.gov/42848635/</w:t>
      </w:r>
    </w:p>
    <w:p>
      <w:pPr>
        <w:pStyle w:val="Heading2"/>
      </w:pPr>
      <w:r>
        <w:t>HPV-Impfung vor Schwangerschaft senkt Risiken für ungünstige Schwangerschaftsergebnisse</w:t>
      </w:r>
    </w:p>
    <w:p>
      <w:r>
        <w:rPr>
          <w:i/>
          <w:color w:val="666666"/>
          <w:sz w:val="18"/>
        </w:rPr>
        <w:t>Zhang Z et al.  ·  BMJ  ·  07.10.2026  ·  PMID 42843853</w:t>
      </w:r>
    </w:p>
    <w:p>
      <w:r>
        <w:t>Bevölkerungsbasierte Matched-Case-Control-Studie in Schweden zur Assoziation zwischen quadrivalenter HPV-Impfung vor Schwangerschaft und Schwangerschaftskomplikationen bei 624.713 Geburten zwischen 2006 und 2023.</w:t>
      </w:r>
    </w:p>
    <w:p>
      <w:r>
        <w:rPr>
          <w:b/>
        </w:rPr>
        <w:t xml:space="preserve">Ergebnis: </w:t>
      </w:r>
      <w:r>
        <w:t>HPV-Impfung war mit niedrigeren Odds für ungünstige Schwangerschaftsergebnisse assoziiert: Frühgeborene &lt;37 Wochen (aOR 0,95, 95%-KI 0,91–0,99), sehr Frühgeborene 28–31 Wochen (aOR 0,85, 95%-KI 0,75–0,97), schwere Wachstumsretardierung (aOR 0,92, 95%-KI 0,87–0,97). Nutzen größer bei Impfung in jüngerem Alter.</w:t>
      </w:r>
    </w:p>
    <w:p>
      <w:r>
        <w:rPr>
          <w:b/>
          <w:sz w:val="19"/>
        </w:rPr>
        <w:t xml:space="preserve">Übertragbarkeit: </w:t>
      </w:r>
      <w:r>
        <w:rPr>
          <w:sz w:val="19"/>
        </w:rPr>
        <w:t>Schweden – Registerdata, vergleichbares europäisches Gesundheitssystem</w:t>
      </w:r>
    </w:p>
    <w:p>
      <w:r>
        <w:rPr>
          <w:color w:val="5A7D3A"/>
          <w:sz w:val="18"/>
        </w:rPr>
        <w:t>https://pubmed.ncbi.nlm.nih.gov/42843853/</w:t>
      </w:r>
    </w:p>
    <w:p>
      <w:pPr>
        <w:pStyle w:val="Heading2"/>
      </w:pPr>
      <w:r>
        <w:t>Determinanten der Kinderimpfung unterscheiden sich in konfliktbetroffenen und stabilen Regionen Kameruns</w:t>
      </w:r>
    </w:p>
    <w:p>
      <w:r>
        <w:rPr>
          <w:i/>
          <w:color w:val="666666"/>
          <w:sz w:val="18"/>
        </w:rPr>
        <w:t>Rossi R et al.  ·  Front Public Health  ·  21.09.2026  ·  PMID 42835095</w:t>
      </w:r>
    </w:p>
    <w:p>
      <w:r>
        <w:t>Sekundäranalyse der Demographic and Health Survey 2018 Kamerun bei 1.824 Kindern im Alter 12–23 Monaten zur Assoziation zwischen Konfliktregionen und vollständiger Grundimpfung.</w:t>
      </w:r>
    </w:p>
    <w:p>
      <w:r>
        <w:rPr>
          <w:b/>
        </w:rPr>
        <w:t xml:space="preserve">Ergebnis: </w:t>
      </w:r>
      <w:r>
        <w:t>Gesamtimpfquote 53,1%; in Konfliktregionen 45,3% vs. nicht betroffen 56,0%. Nach Anpassung war Konflikt-Status nicht unabhängig assoziiert. Signifikante Prädiktoren überall: höheres Haushaltseinkommen, mütterliche Sekundar-/Hochschulbildung, Antenatal- und Postnatalbetreuung. Unterschiede nur in nicht-konfligierenden Regionen relevant.</w:t>
      </w:r>
    </w:p>
    <w:p>
      <w:r>
        <w:rPr>
          <w:b/>
          <w:sz w:val="19"/>
        </w:rPr>
        <w:t xml:space="preserve">Übertragbarkeit: </w:t>
      </w:r>
      <w:r>
        <w:rPr>
          <w:sz w:val="19"/>
        </w:rPr>
        <w:t>Kamerun – DHS-Daten; Armuts- und Konfliktkontext, begrenzte Übertragbarkeit</w:t>
      </w:r>
    </w:p>
    <w:p>
      <w:r>
        <w:rPr>
          <w:color w:val="5A7D3A"/>
          <w:sz w:val="18"/>
        </w:rPr>
        <w:t>https://pubmed.ncbi.nlm.nih.gov/42835095/</w:t>
      </w:r>
    </w:p>
    <w:p>
      <w:pPr>
        <w:pStyle w:val="Heading2"/>
      </w:pPr>
      <w:r>
        <w:t>Impfempfehlungen für pädiatrische Transplantationsempfänger – Positionspapier des europäischen Referenznetzwerks</w:t>
      </w:r>
    </w:p>
    <w:p>
      <w:r>
        <w:rPr>
          <w:i/>
          <w:color w:val="666666"/>
          <w:sz w:val="18"/>
        </w:rPr>
        <w:t>Casotti V et al.  ·  J Pediatr Gastroenterol Nutr  ·  07.08.2026  ·  PMID 42563542</w:t>
      </w:r>
    </w:p>
    <w:p>
      <w:r>
        <w:t>Systematische Übersichtsarbeit mit evidenzgestützten Empfehlungen zu Impfungen bei Kindern nach Solid-Organ- oder Stammzelltransplantation, basierend auf Literaturanalyse und Konsens von Fachleuten aus 13 europäischen Ländern.</w:t>
      </w:r>
    </w:p>
    <w:p>
      <w:r>
        <w:rPr>
          <w:b/>
        </w:rPr>
        <w:t xml:space="preserve">Ergebnis: </w:t>
      </w:r>
      <w:r>
        <w:t>Bisher niedrige Impfquoten trotz etablierter Richtlinien; Barrieren: unvollständiger Impfstatus vor Transplantation, reduzierte Wirksamkeit durch Immunsuppression, Timing-Unsicherheiten, Vaccine Hesitancy. Empfehlungen: zeitnahe Immunisierung, optimales Timing nach Immunrekonstitution, Catch-up-Impfungen vor Transplantation.</w:t>
      </w:r>
    </w:p>
    <w:p>
      <w:r>
        <w:rPr>
          <w:b/>
          <w:sz w:val="19"/>
        </w:rPr>
        <w:t xml:space="preserve">Übertragbarkeit: </w:t>
      </w:r>
      <w:r>
        <w:rPr>
          <w:sz w:val="19"/>
        </w:rPr>
        <w:t>Europa (13 Länder) – Positionspapier; deutsche Zentren teilweise beteiligt</w:t>
      </w:r>
    </w:p>
    <w:p>
      <w:r>
        <w:rPr>
          <w:color w:val="5A7D3A"/>
          <w:sz w:val="18"/>
        </w:rPr>
        <w:t>https://pubmed.ncbi.nlm.nih.gov/42563542/</w:t>
      </w:r>
    </w:p>
    <w:p>
      <w:pPr>
        <w:pStyle w:val="Heading1"/>
      </w:pPr>
      <w:r>
        <w:t>Aufgenommen am 08.10.2026</w:t>
      </w:r>
    </w:p>
    <w:p>
      <w:pPr>
        <w:pStyle w:val="Heading2"/>
      </w:pPr>
      <w:r>
        <w:t>Impfskepsis gegen COVID-19-Booster clustert in Haushalten und Gemeinden – China</w:t>
      </w:r>
    </w:p>
    <w:p>
      <w:r>
        <w:rPr>
          <w:i/>
          <w:color w:val="666666"/>
          <w:sz w:val="18"/>
        </w:rPr>
        <w:t>Zhang Y et al.  ·  JMIR Public Health Surveill  ·  07.10.2026  ·  PMID 42842944</w:t>
      </w:r>
    </w:p>
    <w:p>
      <w:r>
        <w:t>Haushaltsbasierte Querschnittsbefragung zur Clusterung von Vaccine Hesitancy gegenüber COVID-19-Booster-Impfung nach individuellen, Haushalts- und Gemeinde-Ebenen.</w:t>
      </w:r>
    </w:p>
    <w:p>
      <w:r>
        <w:rPr>
          <w:b/>
        </w:rPr>
        <w:t xml:space="preserve">Ergebnis: </w:t>
      </w:r>
      <w:r>
        <w:t>27,0 % zeigten gleichzeitige Hesitancy bei aktuellen und zukünftigen Booster-Absichten; 77,73 % der Varianz waren auf Haushalts- und Gemeinde-Ebene zurückzuführen; Selbstwirksamkeit und vorherige COVID-19-Impfung waren stärkste Schutzfaktoren gegen Hesitancy.</w:t>
      </w:r>
    </w:p>
    <w:p>
      <w:r>
        <w:rPr>
          <w:b/>
          <w:sz w:val="19"/>
        </w:rPr>
        <w:t xml:space="preserve">Übertragbarkeit: </w:t>
      </w:r>
      <w:r>
        <w:rPr>
          <w:sz w:val="19"/>
        </w:rPr>
        <w:t>China, soziales Clustern; Mechanismen für haushalts- und gemeindebasierte Interventionen gelten international.</w:t>
      </w:r>
    </w:p>
    <w:p>
      <w:r>
        <w:rPr>
          <w:color w:val="5A7D3A"/>
          <w:sz w:val="18"/>
        </w:rPr>
        <w:t>https://pubmed.ncbi.nlm.nih.gov/42842944/</w:t>
      </w:r>
    </w:p>
    <w:p>
      <w:pPr>
        <w:pStyle w:val="Heading2"/>
      </w:pPr>
      <w:r>
        <w:t>Herpes-zoster-Impfung an Zahlungsbarriere gescheitert – Intention-Verhalten-Lücke in Taiwan</w:t>
      </w:r>
    </w:p>
    <w:p>
      <w:r>
        <w:rPr>
          <w:i/>
          <w:color w:val="666666"/>
          <w:sz w:val="18"/>
        </w:rPr>
        <w:t>Liou FY et al.  ·  Hum Vaccin Immunother  ·  07.10.2026  ·  PMID 42842236</w:t>
      </w:r>
    </w:p>
    <w:p>
      <w:r>
        <w:t>Nationale Querschnittsumfrage zu Determinanten der Herpes-zoster-Impfung in einem System ohne universelle Kostenübernahme.</w:t>
      </w:r>
    </w:p>
    <w:p>
      <w:r>
        <w:rPr>
          <w:b/>
        </w:rPr>
        <w:t xml:space="preserve">Ergebnis: </w:t>
      </w:r>
      <w:r>
        <w:t>16,6 % waren geimpft; 80,9 % der Ungeimpften zeigten Impfbereitschaft; Preis war das Haupthindernis – Zahlungsbereitschaft lag unter Marktpreis (USD 32,80 vs. Marktpreis), aber Bewusstsein für Subventionsprogramme verdoppelte Impfodds (OR: 2,30).</w:t>
      </w:r>
    </w:p>
    <w:p>
      <w:r>
        <w:rPr>
          <w:b/>
          <w:sz w:val="19"/>
        </w:rPr>
        <w:t xml:space="preserve">Übertragbarkeit: </w:t>
      </w:r>
      <w:r>
        <w:rPr>
          <w:sz w:val="19"/>
        </w:rPr>
        <w:t>Selbstzahlermodell nicht übertragbar; Befunde zu Affordability-Barrieren bei Erwachsenenimpfungen relevant.</w:t>
      </w:r>
    </w:p>
    <w:p>
      <w:r>
        <w:rPr>
          <w:color w:val="5A7D3A"/>
          <w:sz w:val="18"/>
        </w:rPr>
        <w:t>https://pubmed.ncbi.nlm.nih.gov/42842236/</w:t>
      </w:r>
    </w:p>
    <w:p>
      <w:pPr>
        <w:pStyle w:val="Heading2"/>
      </w:pPr>
      <w:r>
        <w:t>Tetanus-Impfbereitschaft nach Trauma hängt von praktischer Zugänglichkeit ab – China</w:t>
      </w:r>
    </w:p>
    <w:p>
      <w:r>
        <w:rPr>
          <w:i/>
          <w:color w:val="666666"/>
          <w:sz w:val="18"/>
        </w:rPr>
        <w:t>Fang Q et al.  ·  Front Public Health  ·  21.09.2026  ·  PMID 42835057</w:t>
      </w:r>
    </w:p>
    <w:p>
      <w:r>
        <w:t>Querschnittsstudie zur Impfbereitschaft gegen Tetanus nach Traumata mit Verhaltensfaktoren und Zugangshürden (BeSD-Rahmen).</w:t>
      </w:r>
    </w:p>
    <w:p>
      <w:r>
        <w:rPr>
          <w:b/>
        </w:rPr>
        <w:t xml:space="preserve">Ergebnis: </w:t>
      </w:r>
      <w:r>
        <w:t>51,9 % zeigten Impfbereitschaft; praktische Zugänglichkeit zeigte stärkste Assoziation mit Impfintention (strukturelle Gleichungsmodellierung); nur 19,2 % der angezeigten Patienten erhielten dokumentiert Impfung innerhalb von 7 Tagen – obwohl 80,6 % grundsätzlich angezeigt waren.</w:t>
      </w:r>
    </w:p>
    <w:p>
      <w:r>
        <w:rPr>
          <w:b/>
          <w:sz w:val="19"/>
        </w:rPr>
        <w:t xml:space="preserve">Übertragbarkeit: </w:t>
      </w:r>
      <w:r>
        <w:rPr>
          <w:sz w:val="19"/>
        </w:rPr>
        <w:t>China; Befunde zu Zugangsbarrieren beim Post-Expositions-Impfen übertragbar.</w:t>
      </w:r>
    </w:p>
    <w:p>
      <w:r>
        <w:rPr>
          <w:color w:val="5A7D3A"/>
          <w:sz w:val="18"/>
        </w:rPr>
        <w:t>https://pubmed.ncbi.nlm.nih.gov/42835057/</w:t>
      </w:r>
    </w:p>
    <w:p>
      <w:pPr>
        <w:pStyle w:val="Heading2"/>
      </w:pPr>
      <w:r>
        <w:t>COVID-19-Impfung bei südafrikanischen Jugendlichen: Alter, Haushaltskontext und Pandemie-Nähe treiben Quote</w:t>
      </w:r>
    </w:p>
    <w:p>
      <w:r>
        <w:rPr>
          <w:i/>
          <w:color w:val="666666"/>
          <w:sz w:val="18"/>
        </w:rPr>
        <w:t>Dietrich JJ et al.  ·  Glob Health Action  ·  06.10.2026  ·  PMID 42834877</w:t>
      </w:r>
    </w:p>
    <w:p>
      <w:r>
        <w:t>Online-Querschnittsbefragung zu Prädiktoren der COVID-19-Impfung bei Jugendlichen (18–24 Jahre) in eThekwini, Südafrika.</w:t>
      </w:r>
    </w:p>
    <w:p>
      <w:r>
        <w:rPr>
          <w:b/>
        </w:rPr>
        <w:t xml:space="preserve">Ergebnis: </w:t>
      </w:r>
      <w:r>
        <w:t>37,9 % waren geimpft; älteres Alter, Zusammenleben mit Senioren und persönliche Nähe zu schweren COVID-19-Verläufen (Krankenhausaufenthalte/Todesfälle im Umfeld) waren unabhängige Prädiktoren; geschlechtsspezifische Unterschiede bei Ethnizität und Familienstand.</w:t>
      </w:r>
    </w:p>
    <w:p>
      <w:r>
        <w:rPr>
          <w:b/>
          <w:sz w:val="19"/>
        </w:rPr>
        <w:t xml:space="preserve">Übertragbarkeit: </w:t>
      </w:r>
      <w:r>
        <w:rPr>
          <w:sz w:val="19"/>
        </w:rPr>
        <w:t>Südafrika, hohes Einkommensgefälle; Befunde zu sozialen Determinanten und Pandemie-Proximität international relevant.</w:t>
      </w:r>
    </w:p>
    <w:p>
      <w:r>
        <w:rPr>
          <w:color w:val="5A7D3A"/>
          <w:sz w:val="18"/>
        </w:rPr>
        <w:t>https://pubmed.ncbi.nlm.nih.gov/42834877/</w:t>
      </w:r>
    </w:p>
    <w:p>
      <w:pPr>
        <w:pStyle w:val="Heading2"/>
      </w:pPr>
      <w:r>
        <w:t>HPV-Impfung bei Erwachsenen (27–45 Jahre) bleibt selten – USA</w:t>
      </w:r>
    </w:p>
    <w:p>
      <w:r>
        <w:rPr>
          <w:i/>
          <w:color w:val="666666"/>
          <w:sz w:val="18"/>
        </w:rPr>
        <w:t>Jiang R et al.  ·  Hum Vaccin Immunother  ·  05.10.2026  ·  PMID 42834027</w:t>
      </w:r>
    </w:p>
    <w:p>
      <w:r>
        <w:t>Nationale Querschnittserhebung zur HPV-Impfquote bei Erwachsenen vor und nach COVID-19 anhand von NHIS-Daten.</w:t>
      </w:r>
    </w:p>
    <w:p>
      <w:r>
        <w:rPr>
          <w:b/>
        </w:rPr>
        <w:t xml:space="preserve">Ergebnis: </w:t>
      </w:r>
      <w:r>
        <w:t>Quote stieg von 15,1 % (2019) auf 20,7 % (2022); nur 1,43 % initiierten Impfung zwischen 27 und 45 Jahren; Alter, männliches Geschlecht, niedrigere Bildung und fehlende regelmäßige Versorgungsstelle waren mit niedrigerer Quote assoziiert.</w:t>
      </w:r>
    </w:p>
    <w:p>
      <w:r>
        <w:rPr>
          <w:b/>
          <w:sz w:val="19"/>
        </w:rPr>
        <w:t xml:space="preserve">Übertragbarkeit: </w:t>
      </w:r>
      <w:r>
        <w:rPr>
          <w:sz w:val="19"/>
        </w:rPr>
        <w:t>USA; Befunde zu Barrieren bei Catch-up-Impfung Erwachsener, nicht zu Kindheit relevant.</w:t>
      </w:r>
    </w:p>
    <w:p>
      <w:r>
        <w:rPr>
          <w:color w:val="5A7D3A"/>
          <w:sz w:val="18"/>
        </w:rPr>
        <w:t>https://pubmed.ncbi.nlm.nih.gov/42834027/</w:t>
      </w:r>
    </w:p>
    <w:p>
      <w:pPr>
        <w:pStyle w:val="Heading2"/>
      </w:pPr>
      <w:r>
        <w:t>Schottische Impfquoten blieben in der Pandemie stabil – Ungleichheiten bestehen fort</w:t>
      </w:r>
    </w:p>
    <w:p>
      <w:r>
        <w:rPr>
          <w:i/>
          <w:color w:val="666666"/>
          <w:sz w:val="18"/>
        </w:rPr>
        <w:t>Smith CD et al.  ·  Public Health  ·  13.08.2026  ·  PMID 42594547</w:t>
      </w:r>
    </w:p>
    <w:p>
      <w:r>
        <w:t>Bevölkerungsbasierte Kohortenstudie zu Routineimpfungen bei Kleinkindern in Schottland vor und während COVID-19.</w:t>
      </w:r>
    </w:p>
    <w:p>
      <w:r>
        <w:rPr>
          <w:b/>
        </w:rPr>
        <w:t xml:space="preserve">Ergebnis: </w:t>
      </w:r>
      <w:r>
        <w:t>Impfquoten für fünf von sechs Vakzinen blieben stabil oder stiegen während der Pandemie; Unterschiede nach Deprivation und ethnischer Herkunft verschärften sich nicht, aber bestandene Ungleichheiten persistierten.</w:t>
      </w:r>
    </w:p>
    <w:p>
      <w:r>
        <w:rPr>
          <w:b/>
          <w:sz w:val="19"/>
        </w:rPr>
        <w:t xml:space="preserve">Übertragbarkeit: </w:t>
      </w:r>
      <w:r>
        <w:rPr>
          <w:sz w:val="19"/>
        </w:rPr>
        <w:t>Schottisches Impfregister, vergleichbares Sozialsystem mit Deutschland.</w:t>
      </w:r>
    </w:p>
    <w:p>
      <w:r>
        <w:rPr>
          <w:color w:val="5A7D3A"/>
          <w:sz w:val="18"/>
        </w:rPr>
        <w:t>https://pubmed.ncbi.nlm.nih.gov/42594547/</w:t>
      </w:r>
    </w:p>
    <w:p>
      <w:pPr>
        <w:pStyle w:val="Heading1"/>
      </w:pPr>
      <w:r>
        <w:t>Aufgenommen am 07.10.2026</w:t>
      </w:r>
    </w:p>
    <w:p>
      <w:pPr>
        <w:pStyle w:val="Heading2"/>
      </w:pPr>
      <w:r>
        <w:t>Impfquoten bei Zero-Dose-Kindern: digitale Mikro-Planung erreichte unterversorgte Gemeinden in Niger</w:t>
      </w:r>
    </w:p>
    <w:p>
      <w:r>
        <w:rPr>
          <w:i/>
          <w:color w:val="666666"/>
          <w:sz w:val="18"/>
        </w:rPr>
        <w:t>Jimoh A et al.  ·  BMJ Glob Health  ·  06.10.2026  ·  PMID 42838605</w:t>
      </w:r>
    </w:p>
    <w:p>
      <w:r>
        <w:t>Die STRICAN-Initiative kombinierte Haushaltserfassung, digitale Mikroplanung und gemeindegestützte Mobilisierung, um zuvor unerreichbare Kinder in 10 Bezirken des Niger-Staates zu identifizieren und zu impfen.</w:t>
      </w:r>
    </w:p>
    <w:p>
      <w:r>
        <w:rPr>
          <w:b/>
        </w:rPr>
        <w:t xml:space="preserve">Ergebnis: </w:t>
      </w:r>
      <w:r>
        <w:t>Das Modell zeigte, dass datengesteuerte Mikro-Planung mit vertrauenswürdigen Gemeinschaftsstrukturen funktioniert. Zentrale Erkenntnisse: flexible Lieferstrategien in fragilen Einstellungen, starke Partnerschaften zwischen Regierung und Umsetzungsakteuren sowie die Integration digitaler Tools mit bestehenden Gemeinschaftssystemen verbesserten Identifikation und Service-Bereitstellung für Zero-Dose-Populationen.</w:t>
      </w:r>
    </w:p>
    <w:p>
      <w:r>
        <w:rPr>
          <w:b/>
          <w:sz w:val="19"/>
        </w:rPr>
        <w:t xml:space="preserve">Übertragbarkeit: </w:t>
      </w:r>
      <w:r>
        <w:rPr>
          <w:sz w:val="19"/>
        </w:rPr>
        <w:t>Nigeria, aber Modell übertragbar auf ähnliche Kontexte mit schwachen Registersystemen und fragmentierten Bevölkerungen.</w:t>
      </w:r>
    </w:p>
    <w:p>
      <w:r>
        <w:rPr>
          <w:color w:val="5A7D3A"/>
          <w:sz w:val="18"/>
        </w:rPr>
        <w:t>https://pubmed.ncbi.nlm.nih.gov/42838605/</w:t>
      </w:r>
    </w:p>
    <w:p>
      <w:pPr>
        <w:pStyle w:val="Heading2"/>
      </w:pPr>
      <w:r>
        <w:t>COVID-19-Impfbereitschaft bei chinesischen Fachpersonen: 59,9% für zukünftige Auffrischungen trotz 97% Vorbeugeimpfung</w:t>
      </w:r>
    </w:p>
    <w:p>
      <w:r>
        <w:rPr>
          <w:i/>
          <w:color w:val="666666"/>
          <w:sz w:val="18"/>
        </w:rPr>
        <w:t>Mu Y et al.  ·  JMIR Public Health Surveill  ·  06.10.2026  ·  PMID 42837522</w:t>
      </w:r>
    </w:p>
    <w:p>
      <w:r>
        <w:t>Nationale Mehrzentrums-Querschnittsbefragung von 2.877 Ärzten und 292 Medizinstudierenden in China Februar–April 2023 zur Bereitschaft für künftige jährliche COVID-19-Impfungen.</w:t>
      </w:r>
    </w:p>
    <w:p>
      <w:r>
        <w:rPr>
          <w:b/>
        </w:rPr>
        <w:t xml:space="preserve">Ergebnis: </w:t>
      </w:r>
      <w:r>
        <w:t>Insgesamt 59,9% (n=1.899) willens, zukünftige jährliche COVID-19-Impfung zu erhalten; 97% hatten mind. 1 Dosis erhalten; 93,1% hatten inaktivierte Impfstoffe. 90,2% unterstützen Ältere-Impfung, 73,2% Kleinkinderimpfung. Mangelnde Influenzaimpfbereitschaft stark assoziiert mit COVID-19-Hesitanz (aPR 4,11, 95%-KI 3,71–4,55). Häufigste Bedenken: Impfwirksamkeit (53,1%), Sicherheit (33,4%), unzureichende Studiendatenoffenlegung (29%).</w:t>
      </w:r>
    </w:p>
    <w:p>
      <w:r>
        <w:rPr>
          <w:b/>
          <w:sz w:val="19"/>
        </w:rPr>
        <w:t xml:space="preserve">Übertragbarkeit: </w:t>
      </w:r>
      <w:r>
        <w:rPr>
          <w:sz w:val="19"/>
        </w:rPr>
        <w:t>China, aber Befunde zu Kommunikationsbedarf und Vertrauensaufbau bei Fachpersonen auf deutsches Vertrauen-in-Institutionen-Problem übertragbar.</w:t>
      </w:r>
    </w:p>
    <w:p>
      <w:r>
        <w:rPr>
          <w:color w:val="5A7D3A"/>
          <w:sz w:val="18"/>
        </w:rPr>
        <w:t>https://pubmed.ncbi.nlm.nih.gov/42837522/</w:t>
      </w:r>
    </w:p>
    <w:p>
      <w:pPr>
        <w:pStyle w:val="Heading2"/>
      </w:pPr>
      <w:r>
        <w:t>RSV-Impfung bei älteren Herzinsuffizienzpatienten: Sterblichkeit sinkt um 49%, ICU-Aufnahmen um 54%</w:t>
      </w:r>
    </w:p>
    <w:p>
      <w:r>
        <w:rPr>
          <w:i/>
          <w:color w:val="666666"/>
          <w:sz w:val="18"/>
        </w:rPr>
        <w:t>Khan A et al.  ·  Clin Cardiol  ·  Okt. 2026  ·  PMID 42836598</w:t>
      </w:r>
    </w:p>
    <w:p>
      <w:r>
        <w:t>Retrospektive Kohorte mit Propensity-Score-Matching verglich RSV-Geimpfte und Ungeimpfte ≥60 Jahre mit Herzinsuffizienz, n=777 pro Gruppe, Nachbeobachtung Mai 2023–Januar 2026.</w:t>
      </w:r>
    </w:p>
    <w:p>
      <w:r>
        <w:rPr>
          <w:b/>
        </w:rPr>
        <w:t xml:space="preserve">Ergebnis: </w:t>
      </w:r>
      <w:r>
        <w:t>Geimpfte hatten signifikant niedrigere Gesamtsterblichkeit (HR 0,51, 95%-KI 0,33–0,79) und weniger ICU-Aufnahmen (2,7% vs. 5,8%, HR 0,46, 95%-KI 0,25–0,86). Kein Unterschied bei Atemwegsversagen (7,3% vs. 9,4%), stationären/Notfallbesuchen oder HI-Verschärfung. Höhere Gesamt-Gesundheitsnutzung in Geimpften (HR 1,85, 95%-KI 1,65–2,08) – hypothesengenerierend für Vermeidung schwerer Atemwegserkrankung.</w:t>
      </w:r>
    </w:p>
    <w:p>
      <w:r>
        <w:rPr>
          <w:b/>
          <w:sz w:val="19"/>
        </w:rPr>
        <w:t xml:space="preserve">Übertragbarkeit: </w:t>
      </w:r>
      <w:r>
        <w:rPr>
          <w:sz w:val="19"/>
        </w:rPr>
        <w:t>USA-Daten (TriNetX), aber Sicherheitsbefund und Mortalitätsvorteil übertragbar.</w:t>
      </w:r>
    </w:p>
    <w:p>
      <w:r>
        <w:rPr>
          <w:color w:val="5A7D3A"/>
          <w:sz w:val="18"/>
        </w:rPr>
        <w:t>https://pubmed.ncbi.nlm.nih.gov/42836598/</w:t>
      </w:r>
    </w:p>
    <w:p>
      <w:pPr>
        <w:pStyle w:val="Heading2"/>
      </w:pPr>
      <w:r>
        <w:t>Impfungen in der Schwangerschaft: Griechische Studie identifiziert Barrieren und Angehörigenedukatoren</w:t>
      </w:r>
    </w:p>
    <w:p>
      <w:r>
        <w:rPr>
          <w:i/>
          <w:color w:val="666666"/>
          <w:sz w:val="18"/>
        </w:rPr>
        <w:t>Psarris A et al.  ·  J Pregnancy  ·  2026  ·  PMID 42836283</w:t>
      </w:r>
    </w:p>
    <w:p>
      <w:r>
        <w:t>Querschnittsstudie zur Impfbereitschaft bei 725 Wöchnerinnen in zwei Athener Kliniken mit Fokus auf COVID-19, Tdap, Influenza und RSV.</w:t>
      </w:r>
    </w:p>
    <w:p>
      <w:r>
        <w:rPr>
          <w:b/>
        </w:rPr>
        <w:t xml:space="preserve">Ergebnis: </w:t>
      </w:r>
      <w:r>
        <w:t>Insgesamt 51,2% erhielten mindestens eine Impfung in der Schwangerschaft: Tdap 42,5%, Influenza 19,6%, COVID-19 3,6%, RSV &lt;1%. Nur 14,62% erhielten mehrere Impfungen. Hauptbarrieren: mangelnde ärztliche Beratung (Site 1: 29,0%, Site 2: 18,6%), persönliche Wahl und Sicherheitsbedenken (Site 2 höher). Höhere Schulbildung und städtischer Wohnort waren unabhängig mit höherer Impfbereitschaft assoziiert.</w:t>
      </w:r>
    </w:p>
    <w:p>
      <w:r>
        <w:rPr>
          <w:b/>
          <w:sz w:val="19"/>
        </w:rPr>
        <w:t xml:space="preserve">Übertragbarkeit: </w:t>
      </w:r>
      <w:r>
        <w:rPr>
          <w:sz w:val="19"/>
        </w:rPr>
        <w:t>Griechenland – deutschsprachiger Raum, vergleichbare Sozialversicherung, aber Mutterschaftsimpfquoten deutlich unter deutschen Empfehlungen.</w:t>
      </w:r>
    </w:p>
    <w:p>
      <w:r>
        <w:rPr>
          <w:color w:val="5A7D3A"/>
          <w:sz w:val="18"/>
        </w:rPr>
        <w:t>https://pubmed.ncbi.nlm.nih.gov/42836283/</w:t>
      </w:r>
    </w:p>
    <w:p>
      <w:pPr>
        <w:pStyle w:val="Heading2"/>
      </w:pPr>
      <w:r>
        <w:t>Grippeimpfung bei Gesundheitsfachpersonen in China: Metaanalyse zeigt 27%-Quote und wirksame Interventionen</w:t>
      </w:r>
    </w:p>
    <w:p>
      <w:r>
        <w:rPr>
          <w:i/>
          <w:color w:val="666666"/>
          <w:sz w:val="18"/>
        </w:rPr>
        <w:t>Xiong L et al.  ·  Front Public Health  ·  21.09.2026  ·  PMID 42835288</w:t>
      </w:r>
    </w:p>
    <w:p>
      <w:r>
        <w:t>Systematische Übersicht mit Metaanalyse von 49 Querschnittsstudien mit 111.544 chinesischen Gesundheitsfachpersonen zur Influenzaimpfquote und beeinflussenden Faktoren.</w:t>
      </w:r>
    </w:p>
    <w:p>
      <w:r>
        <w:rPr>
          <w:b/>
        </w:rPr>
        <w:t xml:space="preserve">Ergebnis: </w:t>
      </w:r>
      <w:r>
        <w:t>Gesamtimpfquote 27% (95%-KI 21–34%). Positiv assoziiert: Alter 40–49 Jahre, weiblich, Einkommen &gt;3.000 RMB, beruflicher Titel, frühere Impfhistorie, institutionelle Ermutigung/Verpflichtung, kostenlose Impfung, Kenntnis des optimalen Zeitpunkts, Impfbereitschaft. Strukturelle Interventionen (kostenlos, Ermutigung, Vor-Ort-Dienste) plus zielgerichtete Strategien für jüngere, männliche, einkommensschwache und impfnaive Personen empfohlen.</w:t>
      </w:r>
    </w:p>
    <w:p>
      <w:r>
        <w:rPr>
          <w:b/>
          <w:sz w:val="19"/>
        </w:rPr>
        <w:t xml:space="preserve">Übertragbarkeit: </w:t>
      </w:r>
      <w:r>
        <w:rPr>
          <w:sz w:val="19"/>
        </w:rPr>
        <w:t>China – Bevölkerungsdaten, aber Erkenntnisse zu Anreizstrukturen und Zugangsbarrieren auf deutsche HCW-Programme übertragbar.</w:t>
      </w:r>
    </w:p>
    <w:p>
      <w:r>
        <w:rPr>
          <w:color w:val="5A7D3A"/>
          <w:sz w:val="18"/>
        </w:rPr>
        <w:t>https://pubmed.ncbi.nlm.nih.gov/42835288/</w:t>
      </w:r>
    </w:p>
    <w:p>
      <w:pPr>
        <w:pStyle w:val="Heading2"/>
      </w:pPr>
      <w:r>
        <w:t>PCV21 versus PCV20 in Deutschland: Pneumokokkenimpfung zeigt Kosteneinsparungen</w:t>
      </w:r>
    </w:p>
    <w:p>
      <w:r>
        <w:rPr>
          <w:i/>
          <w:color w:val="666666"/>
          <w:sz w:val="18"/>
        </w:rPr>
        <w:t>Simuzingili M et al.  ·  Expert Rev Vaccines  ·  05.10.2026  ·  PMID 42834615</w:t>
      </w:r>
    </w:p>
    <w:p>
      <w:r>
        <w:t>Kosten-Effektivitätsanalyse mit angepasstem Markov-Modell verglich PCV21 und PCV20 bei ungeimpften Erwachsenen ≥60 Jahren in Deutschland.</w:t>
      </w:r>
    </w:p>
    <w:p>
      <w:r>
        <w:rPr>
          <w:b/>
        </w:rPr>
        <w:t xml:space="preserve">Ergebnis: </w:t>
      </w:r>
      <w:r>
        <w:t>PCV21 reduzierte gegenüber PCV20 Krankheitsfälle, Todesfälle und direkte Kosten. Aus Kostenträger- und Gesellschaftsperspektive war PCV21 kosteneinsparend. In Sensitivitätsanalysen blieb PCV21 kostenrettend über alle Parametervariationen. PCV21 wurde dominiert nur bei Reduktion des Unterschieds in der NBPP-Erkrankungsabdeckung auf 0,5%.</w:t>
      </w:r>
    </w:p>
    <w:p>
      <w:r>
        <w:rPr>
          <w:b/>
          <w:sz w:val="19"/>
        </w:rPr>
        <w:t xml:space="preserve">Übertragbarkeit: </w:t>
      </w:r>
      <w:r>
        <w:rPr>
          <w:sz w:val="19"/>
        </w:rPr>
        <w:t>Deutschland – Modell auf deutschen Kostendaten, deutsches Gesundheitssystem und Impfkalender.</w:t>
      </w:r>
    </w:p>
    <w:p>
      <w:r>
        <w:rPr>
          <w:color w:val="5A7D3A"/>
          <w:sz w:val="18"/>
        </w:rPr>
        <w:t>https://pubmed.ncbi.nlm.nih.gov/42834615/</w:t>
      </w:r>
    </w:p>
    <w:p>
      <w:pPr>
        <w:pStyle w:val="Heading1"/>
      </w:pPr>
      <w:r>
        <w:t>Aufgenommen am 06.10.2026</w:t>
      </w:r>
    </w:p>
    <w:p>
      <w:pPr>
        <w:pStyle w:val="Heading2"/>
      </w:pPr>
      <w:r>
        <w:t>Massenimpfkampagne gegen Tollwut: 70-Prozent-Abdeckung in Ghana erreicht</w:t>
      </w:r>
    </w:p>
    <w:p>
      <w:r>
        <w:rPr>
          <w:i/>
          <w:color w:val="666666"/>
          <w:sz w:val="18"/>
        </w:rPr>
        <w:t>Dwaah PK et al.  ·  PLoS Negl Trop Dis  ·  05.10.2026  ·  PMID 42832606</w:t>
      </w:r>
    </w:p>
    <w:p>
      <w:r>
        <w:t>Evaluationen einer Eintagskampagne zur Hundeimpfung gegen Tollwut im September 2024 in Techiman Metropolis, Ghana, mit gemischten Methoden.</w:t>
      </w:r>
    </w:p>
    <w:p>
      <w:r>
        <w:rPr>
          <w:b/>
        </w:rPr>
        <w:t xml:space="preserve">Ergebnis: </w:t>
      </w:r>
      <w:r>
        <w:t>Administrative Abdeckung: ca. 70 % (5.600 Hunde), basierend auf Bevölkerungsschätzungen. Bewusstsein für Tollwut (tödlich) stieg von 45 % auf 75 %, für Prävention von 40 % auf 70 %. Barrieren: Impfstoffversorgungsverzögerungen, unzureichende Kühlkette, limitierter Zugang für periurbane Gebiete, keine Strategien für freilebende Hunde.</w:t>
      </w:r>
    </w:p>
    <w:p>
      <w:r>
        <w:rPr>
          <w:b/>
          <w:sz w:val="19"/>
        </w:rPr>
        <w:t xml:space="preserve">Übertragbarkeit: </w:t>
      </w:r>
      <w:r>
        <w:rPr>
          <w:sz w:val="19"/>
        </w:rPr>
        <w:t>Sub-Sahara-Afrika-Kontext; Erkenntnisse zu Logistik, Mehrsektor-Koordination und Monitoring übertragbar auf Impfkampagnen in Ländern mit begrenzter Infrastruktur.</w:t>
      </w:r>
    </w:p>
    <w:p>
      <w:r>
        <w:rPr>
          <w:color w:val="5A7D3A"/>
          <w:sz w:val="18"/>
        </w:rPr>
        <w:t>https://pubmed.ncbi.nlm.nih.gov/42832606/</w:t>
      </w:r>
    </w:p>
    <w:p>
      <w:pPr>
        <w:pStyle w:val="Heading2"/>
      </w:pPr>
      <w:r>
        <w:t>Impfkoordinator*innen: Erinnerungssysteme und flexible Termine erhöhen HPV-Quoten</w:t>
      </w:r>
    </w:p>
    <w:p>
      <w:r>
        <w:rPr>
          <w:i/>
          <w:color w:val="666666"/>
          <w:sz w:val="18"/>
        </w:rPr>
        <w:t>Khatri RA et al.  ·  Hum Vaccin Immunother  ·  05.10.2026  ·  PMID 42832184</w:t>
      </w:r>
    </w:p>
    <w:p>
      <w:r>
        <w:t>Qualitative Studie mit 24 Impfverantwortlichen aus Gesundheitsämtern in Indiana zu Barrieren und Förderern für HPV-Impfquoten bei Jugendlichen.</w:t>
      </w:r>
    </w:p>
    <w:p>
      <w:r>
        <w:rPr>
          <w:b/>
        </w:rPr>
        <w:t xml:space="preserve">Ergebnis: </w:t>
      </w:r>
      <w:r>
        <w:t>Hauptbarrieren für Abschluss der Serie: fehlende Information und Zeitmangel bei Eltern und Jugendlichen. Hauptförderung: automatische Erinnerungssysteme (Terminerinnerungen) und flexible Impfzeiten. Schulpolitik (HPV nicht Pflichtimpfung) wirkte als strukturelle Barriere.</w:t>
      </w:r>
    </w:p>
    <w:p>
      <w:r>
        <w:rPr>
          <w:b/>
          <w:sz w:val="19"/>
        </w:rPr>
        <w:t xml:space="preserve">Übertragbarkeit: </w:t>
      </w:r>
      <w:r>
        <w:rPr>
          <w:sz w:val="19"/>
        </w:rPr>
        <w:t>USA-Studie, aber Erkenntnisse zu Terminmanagement und Erinnerungswesen sind auf deutsches System mit QM-Anforderungen übertragbar.</w:t>
      </w:r>
    </w:p>
    <w:p>
      <w:r>
        <w:rPr>
          <w:color w:val="5A7D3A"/>
          <w:sz w:val="18"/>
        </w:rPr>
        <w:t>https://pubmed.ncbi.nlm.nih.gov/42832184/</w:t>
      </w:r>
    </w:p>
    <w:p>
      <w:pPr>
        <w:pStyle w:val="Heading2"/>
      </w:pPr>
      <w:r>
        <w:t>Hepatitis-B-Impfung in Kyrgyzstan: 3-%-Quote bei Erwachsenen, Barrieren identifiziert</w:t>
      </w:r>
    </w:p>
    <w:p>
      <w:r>
        <w:rPr>
          <w:i/>
          <w:color w:val="666666"/>
          <w:sz w:val="18"/>
        </w:rPr>
        <w:t>Zholdoshev S et al.  ·  Prague Med Rep  ·  2026  ·  PMID 42831606</w:t>
      </w:r>
    </w:p>
    <w:p>
      <w:r>
        <w:t>Screening-Studie in Jalal-Abad (Kirgisistan) zur Hepatitis-B-Impfquote Erwachsener und Barrieren für Immunisierungsprogramme.</w:t>
      </w:r>
    </w:p>
    <w:p>
      <w:r>
        <w:rPr>
          <w:b/>
        </w:rPr>
        <w:t xml:space="preserve">Ergebnis: </w:t>
      </w:r>
      <w:r>
        <w:t>Impfquote nur 3 % (Screening von 2.126 von 71.307 Erwachsenen); HBsAg-Prävalenz 3,3 %. Nach Kampagne 2.483 Personen geimpft, überwiegend Frauen (68,1 %) und Altersgruppe 50–59 Jahre. Barrieren: begrenzte Gesundheitsversorgung, mangelndes Bewusstsein, logistische Hürden. Interventionen: mobile Impfteams, integrierte öffentliche Dienste, kulturangepasste Kampagnen.</w:t>
      </w:r>
    </w:p>
    <w:p>
      <w:r>
        <w:rPr>
          <w:b/>
          <w:sz w:val="19"/>
        </w:rPr>
        <w:t xml:space="preserve">Übertragbarkeit: </w:t>
      </w:r>
      <w:r>
        <w:rPr>
          <w:sz w:val="19"/>
        </w:rPr>
        <w:t>Zentralasien, begrenzte Ressourcen; Erkenntnisse zu Zugangsbarrieren und Geschlechterdisparitäten zeigen Ungleichheitsaspekte.</w:t>
      </w:r>
    </w:p>
    <w:p>
      <w:r>
        <w:rPr>
          <w:color w:val="5A7D3A"/>
          <w:sz w:val="18"/>
        </w:rPr>
        <w:t>https://pubmed.ncbi.nlm.nih.gov/42831606/</w:t>
      </w:r>
    </w:p>
    <w:p>
      <w:pPr>
        <w:pStyle w:val="Heading2"/>
      </w:pPr>
      <w:r>
        <w:t>Grippeimpfung bei Kindern: individuelle statt routinemäßige Entscheidung empfohlen</w:t>
      </w:r>
    </w:p>
    <w:p>
      <w:r>
        <w:rPr>
          <w:i/>
          <w:color w:val="666666"/>
          <w:sz w:val="18"/>
        </w:rPr>
        <w:t>Beneš J  ·  Cas Lek Cesk  ·  2026  ·  PMID 42829827</w:t>
      </w:r>
    </w:p>
    <w:p>
      <w:r>
        <w:t>Narrative Übersichtsarbeit zur Influenzaimpfung bei Kindern mit Analyse von Evidenz zu Effektivität und Indikationen.</w:t>
      </w:r>
    </w:p>
    <w:p>
      <w:r>
        <w:rPr>
          <w:b/>
        </w:rPr>
        <w:t xml:space="preserve">Ergebnis: </w:t>
      </w:r>
      <w:r>
        <w:t>Grippeimpfung reduziert Häufigkeit und Schweregrad, aber Effektivität variiert je nach Situation. Meta-analysen zeigen unzureichende Evidenz für routinemäßige Impfung gesunder Kinder. Impfung sinnvoll bei schweren Immundefekten oder Komorbiditäten. Routine-Schuleingangsimpfung bleibt umstritten.</w:t>
      </w:r>
    </w:p>
    <w:p>
      <w:r>
        <w:rPr>
          <w:b/>
          <w:sz w:val="19"/>
        </w:rPr>
        <w:t xml:space="preserve">Übertragbarkeit: </w:t>
      </w:r>
      <w:r>
        <w:rPr>
          <w:sz w:val="19"/>
        </w:rPr>
        <w:t>Tschechien, vergleichbare europäische Impfkalender-Diskussionen; Befund zur fehlenden Routine-Evidenz bei Gesunden relevant für deutsches STIKO-Abwägen.</w:t>
      </w:r>
    </w:p>
    <w:p>
      <w:r>
        <w:rPr>
          <w:color w:val="5A7D3A"/>
          <w:sz w:val="18"/>
        </w:rPr>
        <w:t>https://pubmed.ncbi.nlm.nih.gov/42829827/</w:t>
      </w:r>
    </w:p>
    <w:p>
      <w:pPr>
        <w:pStyle w:val="Heading2"/>
      </w:pPr>
      <w:r>
        <w:t>Intranasale Interferon-α lenkt Impf-T-Zellen in obere Atemwege</w:t>
      </w:r>
    </w:p>
    <w:p>
      <w:r>
        <w:rPr>
          <w:i/>
          <w:color w:val="666666"/>
          <w:sz w:val="18"/>
        </w:rPr>
        <w:t>Fraser R et al.  ·  Front Immunol  ·  18.09.2026  ·  PMID 42827561</w:t>
      </w:r>
    </w:p>
    <w:p>
      <w:r>
        <w:t>Experimentelle Studie mit SARS-CoV-2-Vakzination als Testfall: intranasales exogenes IFN-α als Adjuvans zu systemischer Impfung.</w:t>
      </w:r>
    </w:p>
    <w:p>
      <w:r>
        <w:rPr>
          <w:b/>
        </w:rPr>
        <w:t xml:space="preserve">Ergebnis: </w:t>
      </w:r>
      <w:r>
        <w:t>Intranasale Gabe von IFN-α (ohne intranasales Antigen) lenkt impfspezifische T-Zell-Reaktionen in die oberen Atemwege, ohne auf intranasale Antigen-Delivery angewiesen zu sein. Neuartiger Weg, um lokale Immunität an Infektionsort zu generieren und Transmission zu unterbrechen.</w:t>
      </w:r>
    </w:p>
    <w:p>
      <w:r>
        <w:rPr>
          <w:b/>
          <w:sz w:val="19"/>
        </w:rPr>
        <w:t xml:space="preserve">Übertragbarkeit: </w:t>
      </w:r>
      <w:r>
        <w:rPr>
          <w:sz w:val="19"/>
        </w:rPr>
        <w:t>UK-Studie, Konzept-proof; übertragbar auf respiratorische Impfprogramme für Influenza, RSV, andere Atemwegsinfekte mit lokalem Fokus.</w:t>
      </w:r>
    </w:p>
    <w:p>
      <w:r>
        <w:rPr>
          <w:color w:val="5A7D3A"/>
          <w:sz w:val="18"/>
        </w:rPr>
        <w:t>https://pubmed.ncbi.nlm.nih.gov/42827561/</w:t>
      </w:r>
    </w:p>
    <w:p>
      <w:pPr>
        <w:pStyle w:val="Heading2"/>
      </w:pPr>
      <w:r>
        <w:t>NK-Zell-Therapien: Europa betont klinische Translation und Sicherheit</w:t>
      </w:r>
    </w:p>
    <w:p>
      <w:r>
        <w:rPr>
          <w:i/>
          <w:color w:val="666666"/>
          <w:sz w:val="18"/>
        </w:rPr>
        <w:t>Knapp LR et al.  ·  Hum Gene Ther  ·  03.08.2026  ·  PMID 42544553</w:t>
      </w:r>
    </w:p>
    <w:p>
      <w:r>
        <w:t>Opinion Paper aus Europäischer Perspektive zur klinischen Translation von Natural-Killer-Zell-Therapien, Ergebnisse eines Workshops März 2026 in Deutschland.</w:t>
      </w:r>
    </w:p>
    <w:p>
      <w:r>
        <w:rPr>
          <w:b/>
        </w:rPr>
        <w:t xml:space="preserve">Ergebnis: </w:t>
      </w:r>
      <w:r>
        <w:t>Sieben CAR-T-Produkte in Europa zugelassen für B-Zell-Malignome. NK-Zellen und γδ T-Zellen zeigen starke intrinsische Zytotoxizität und günstiges Sicherheitsprofil, aber Implementierungshürden bleiben: Manufacturing-Constraints, Kostenbarrieren, begrenzte klinische Daten. Empfehlung: koordinierte internationale Arbeit zu Validierung und Regulatory Harmonisierung.</w:t>
      </w:r>
    </w:p>
    <w:p>
      <w:r>
        <w:rPr>
          <w:b/>
          <w:sz w:val="19"/>
        </w:rPr>
        <w:t xml:space="preserve">Übertragbarkeit: </w:t>
      </w:r>
      <w:r>
        <w:rPr>
          <w:sz w:val="19"/>
        </w:rPr>
        <w:t>Deutsche und europäische Kliniken, vergleichbare Regulierung; direkt anwendbar auf Implementierungsplanung.</w:t>
      </w:r>
    </w:p>
    <w:p>
      <w:r>
        <w:rPr>
          <w:color w:val="5A7D3A"/>
          <w:sz w:val="18"/>
        </w:rPr>
        <w:t>https://pubmed.ncbi.nlm.nih.gov/42544553/</w:t>
      </w:r>
    </w:p>
    <w:p>
      <w:pPr>
        <w:pStyle w:val="Heading1"/>
      </w:pPr>
      <w:r>
        <w:t>Aufgenommen am 05.10.2026</w:t>
      </w:r>
    </w:p>
    <w:p>
      <w:pPr>
        <w:pStyle w:val="Heading2"/>
      </w:pPr>
      <w:r>
        <w:t>Torque-Teno-Virus-Viruslast verbessert Vorhersage der SARS-CoV-2-Serokonversion bei Nierentransplantation</w:t>
      </w:r>
    </w:p>
    <w:p>
      <w:r>
        <w:rPr>
          <w:i/>
          <w:color w:val="666666"/>
          <w:sz w:val="18"/>
        </w:rPr>
        <w:t>Hermida E et al.  ·  Clin Transplant  ·  Okt. 2026  ·  PMID 42829947</w:t>
      </w:r>
    </w:p>
    <w:p>
      <w:r>
        <w:t>Prospektive Kohortenstudie in argentinischen Nierentransplantierten (KTPs) zur Vorhersage der Serokonversion nach COVID-19-Impfung mittels TTV-Viruslast und klinischer Variablen.</w:t>
      </w:r>
    </w:p>
    <w:p>
      <w:r>
        <w:rPr>
          <w:b/>
        </w:rPr>
        <w:t xml:space="preserve">Ergebnis: </w:t>
      </w:r>
      <w:r>
        <w:t>Serokonversionsraten: 16,9% nach vollständiger Impfung, 21,9% nach einer Auffrischung, 55,5% nach zwei Auffrischungen. TTV-Viruslast allein zeigte bescheidene Vorhersagekraft (AUC 0,634). Ein erweitertes Modell mit TTV + klinischen/Impfvariablen verbesserte die Vorhersage erheblich (AUC 0,814) mit NPV 90,0%. Multifaktorielle Ansätze können Impfstrategien bei immungeschwächten Patienten optimieren.</w:t>
      </w:r>
    </w:p>
    <w:p>
      <w:r>
        <w:rPr>
          <w:b/>
          <w:sz w:val="19"/>
        </w:rPr>
        <w:t xml:space="preserve">Übertragbarkeit: </w:t>
      </w:r>
      <w:r>
        <w:rPr>
          <w:sz w:val="19"/>
        </w:rPr>
        <w:t>Argentinien, Transplantationsmedizin, Modellansatz auf deutsche Zentren übertragbar</w:t>
      </w:r>
    </w:p>
    <w:p>
      <w:r>
        <w:rPr>
          <w:color w:val="5A7D3A"/>
          <w:sz w:val="18"/>
        </w:rPr>
        <w:t>https://pubmed.ncbi.nlm.nih.gov/42829947/</w:t>
      </w:r>
    </w:p>
    <w:p>
      <w:pPr>
        <w:pStyle w:val="Heading2"/>
      </w:pPr>
      <w:r>
        <w:t>WHO-Fragebogen zu Verhaltensfaktoren bei Grippeimpfung validiert in Australien</w:t>
      </w:r>
    </w:p>
    <w:p>
      <w:r>
        <w:rPr>
          <w:i/>
          <w:color w:val="666666"/>
          <w:sz w:val="18"/>
        </w:rPr>
        <w:t>Sabahelzain MM et al.  ·  Hum Vaccin Immunother  ·  04.10.2026  ·  PMID 42829802</w:t>
      </w:r>
    </w:p>
    <w:p>
      <w:r>
        <w:t>Validierungsstudie des WHO-BeSD-Fragebogens zu sozialen und verhaltensbezogenen Treibern der Grippeimpfung in Australien mit kognitiven Interviews und psychometrischer Analyse.</w:t>
      </w:r>
    </w:p>
    <w:p>
      <w:r>
        <w:rPr>
          <w:b/>
        </w:rPr>
        <w:t xml:space="preserve">Ergebnis: </w:t>
      </w:r>
      <w:r>
        <w:t>Nach kognitiven Interviews mit 16 Erwachsenen wurden 9 von 31 Items überarbeitet. Psychometrische Auswertung von 2055 Respondenten identifizierte 5 Faktoren (Denken/Fühlen, soziale Prozesse, Motivation, praktische Fragen). Jedes Item korrelierte mit Impfintention, besonders Items zu wahrgenommener Impfwichtigkeit und sozialer Verantwortung. Fragebogen validiert, weitere Tests in verschiedenen Kontexten empfohlen.</w:t>
      </w:r>
    </w:p>
    <w:p>
      <w:r>
        <w:rPr>
          <w:b/>
          <w:sz w:val="19"/>
        </w:rPr>
        <w:t xml:space="preserve">Übertragbarkeit: </w:t>
      </w:r>
      <w:r>
        <w:rPr>
          <w:sz w:val="19"/>
        </w:rPr>
        <w:t>Australien, ähnlicher Versorgungskontext, Fragebogen-Tool transferierbar</w:t>
      </w:r>
    </w:p>
    <w:p>
      <w:r>
        <w:rPr>
          <w:color w:val="5A7D3A"/>
          <w:sz w:val="18"/>
        </w:rPr>
        <w:t>https://pubmed.ncbi.nlm.nih.gov/42829802/</w:t>
      </w:r>
    </w:p>
    <w:p>
      <w:pPr>
        <w:pStyle w:val="Heading2"/>
      </w:pPr>
      <w:r>
        <w:t>Türkische Eltern in den USA berichten Barrieren in der Impfaufklärung und Vertrauenslücken</w:t>
      </w:r>
    </w:p>
    <w:p>
      <w:r>
        <w:rPr>
          <w:i/>
          <w:color w:val="666666"/>
          <w:sz w:val="18"/>
        </w:rPr>
        <w:t>Çelik E et al.  ·  Front Public Health  ·  18.09.2026  ·  PMID 42827996</w:t>
      </w:r>
    </w:p>
    <w:p>
      <w:r>
        <w:t>Qualitative Interviewstudie mit 13 türkischen Migranteneltern in den USA zur Aufklärung und informed consent für Kinderimpfungen bei verpflichtender Schuleinschulung.</w:t>
      </w:r>
    </w:p>
    <w:p>
      <w:r>
        <w:rPr>
          <w:b/>
        </w:rPr>
        <w:t xml:space="preserve">Ergebnis: </w:t>
      </w:r>
      <w:r>
        <w:t>Vier Hauptthemen: (1) technische Sprache und Verständnisschwierigkeiten; (2) fehlende ethische Kompetenz in der klinischen Kommunikation; (3) Impfmandate verschieben Aufklärung zu bloßer Compliance; (4) Eltern suchen eigenständig religiöse und Zutat-Informationen, da klinische Beratung diese nicht abdeckt. Formale religiöse Leitlinien in USA wenig bekannt, anders als in muslimischen Ländern mit koordinierter Anleitung.</w:t>
      </w:r>
    </w:p>
    <w:p>
      <w:r>
        <w:rPr>
          <w:b/>
          <w:sz w:val="19"/>
        </w:rPr>
        <w:t xml:space="preserve">Übertragbarkeit: </w:t>
      </w:r>
      <w:r>
        <w:rPr>
          <w:sz w:val="19"/>
        </w:rPr>
        <w:t>USA-Kontext, aber Befunde zu Informationsgap und Sprachbarrieren für Deutschland relevant</w:t>
      </w:r>
    </w:p>
    <w:p>
      <w:r>
        <w:rPr>
          <w:color w:val="5A7D3A"/>
          <w:sz w:val="18"/>
        </w:rPr>
        <w:t>https://pubmed.ncbi.nlm.nih.gov/42827996/</w:t>
      </w:r>
    </w:p>
    <w:p>
      <w:pPr>
        <w:pStyle w:val="Heading2"/>
      </w:pPr>
      <w:r>
        <w:t>Impfquoten und Impfeinstellungen unterscheiden sich stark zwischen Stadt und Land in Polen</w:t>
      </w:r>
    </w:p>
    <w:p>
      <w:r>
        <w:rPr>
          <w:i/>
          <w:color w:val="666666"/>
          <w:sz w:val="18"/>
        </w:rPr>
        <w:t>Stefanicka-Wojtas D et al.  ·  Front Public Health  ·  18.09.2026  ·  PMID 42827868</w:t>
      </w:r>
    </w:p>
    <w:p>
      <w:r>
        <w:t>Querschnittsstudie in drei polnischen Hausarztpraxen (Großstadt, Kleinstadt, ländlich) zur Impfbereitschaft, selbstberichteten Nebenwirkungen und Determinanten der Grippeimpfung.</w:t>
      </w:r>
    </w:p>
    <w:p>
      <w:r>
        <w:rPr>
          <w:b/>
        </w:rPr>
        <w:t xml:space="preserve">Ergebnis: </w:t>
      </w:r>
      <w:r>
        <w:t>Impfquoten unterschieden sich deutlich nach Wohnort (p&lt;0,001): 100% im ländlichen Zentrum vs. 73–76% in städtischen Zentren. Selbstberichtete Nebenwirkungen waren selten auf dem Land (7,1%), am häufigsten in der Großstadt (20,0%, p&lt;0,001). In adjustierten Modellen: frühere Infektionserfahrung und respiratorische Komorbiditäten hingen mit höheren Odds für Grippe- (OR 11,0; 3,9) und COVID-19-Impfung (OR 3,6; 2,8) zusammen. Dies zeigt, dass Vertrauen in Gesundheitssystem und Informationsverfügbarkeit stark variieren und lokale Kommunikationsstrategien nötig sind.</w:t>
      </w:r>
    </w:p>
    <w:p>
      <w:r>
        <w:rPr>
          <w:b/>
          <w:sz w:val="19"/>
        </w:rPr>
        <w:t xml:space="preserve">Übertragbarkeit: </w:t>
      </w:r>
      <w:r>
        <w:rPr>
          <w:sz w:val="19"/>
        </w:rPr>
        <w:t>Polen, europäisches Primärversorgungssystem, direkt vergleichbar mit Deutschland</w:t>
      </w:r>
    </w:p>
    <w:p>
      <w:r>
        <w:rPr>
          <w:color w:val="5A7D3A"/>
          <w:sz w:val="18"/>
        </w:rPr>
        <w:t>https://pubmed.ncbi.nlm.nih.gov/42827868/</w:t>
      </w:r>
    </w:p>
    <w:p>
      <w:pPr>
        <w:pStyle w:val="Heading2"/>
      </w:pPr>
      <w:r>
        <w:t>Mütterliche RSV-Impfung schützt Säuglinge vor schweren Atemwegsinfektionen – Metaanalyse</w:t>
      </w:r>
    </w:p>
    <w:p>
      <w:r>
        <w:rPr>
          <w:i/>
          <w:color w:val="666666"/>
          <w:sz w:val="18"/>
        </w:rPr>
        <w:t>Kucukbas Ozonder GN et al.  ·  Front Public Health  ·  18.09.2026  ·  PMID 42827513</w:t>
      </w:r>
    </w:p>
    <w:p>
      <w:r>
        <w:t>Systematische Übersicht und Metaanalyse von 24 Studien (9 RCTs, 15 Beobachtungsstudien) zur Wirksamkeit maternaler RSV-Impfung gegen Säuglings-Bronchiolitis.</w:t>
      </w:r>
    </w:p>
    <w:p>
      <w:r>
        <w:rPr>
          <w:b/>
        </w:rPr>
        <w:t xml:space="preserve">Ergebnis: </w:t>
      </w:r>
      <w:r>
        <w:t>Gepoolte Impfeffektivität gegen RSV-assoziierte Krankenhauseinweisung 79,7% (95% KI 73,9–84,2) in den ersten 3 Monaten, 68,1% (57,1–76,3) bis 6 Monate. Randomisierte Effizienz gegen schwere RSV-LRTI 70%, gegen ärztlich behandelte RSV-LRTI 51,5% (36,3–63,1). Preterm-Geburten modest erhöht in RCTs (RR 1,17), aber Signal nicht robust. Evidenzsicherheit moderat.</w:t>
      </w:r>
    </w:p>
    <w:p>
      <w:r>
        <w:rPr>
          <w:b/>
          <w:sz w:val="19"/>
        </w:rPr>
        <w:t xml:space="preserve">Übertragbarkeit: </w:t>
      </w:r>
      <w:r>
        <w:rPr>
          <w:sz w:val="19"/>
        </w:rPr>
        <w:t>Randomisierte und reale Daten zeigen Übereinstimmung, international übertragbar</w:t>
      </w:r>
    </w:p>
    <w:p>
      <w:r>
        <w:rPr>
          <w:color w:val="5A7D3A"/>
          <w:sz w:val="18"/>
        </w:rPr>
        <w:t>https://pubmed.ncbi.nlm.nih.gov/42827513/</w:t>
      </w:r>
    </w:p>
    <w:p>
      <w:pPr>
        <w:pStyle w:val="Heading2"/>
      </w:pPr>
      <w:r>
        <w:t>Psychologische Faktoren bei Impfskepsis: Neuer Fragebogen zur Messung (PF-HBQ)</w:t>
      </w:r>
    </w:p>
    <w:p>
      <w:r>
        <w:rPr>
          <w:i/>
          <w:color w:val="666666"/>
          <w:sz w:val="18"/>
        </w:rPr>
        <w:t>De Biase R et al.  ·  Front Public Health  ·  18.09.2026  ·  PMID 42827459</w:t>
      </w:r>
    </w:p>
    <w:p>
      <w:r>
        <w:t>Psychometrische Entwicklung und Validierung des Psychological Factors in Healthcare Behavior Questionnaire (PF-HBQ) zur Erfassung psychologischer Einflussfaktoren auf Impfentscheidungen.</w:t>
      </w:r>
    </w:p>
    <w:p>
      <w:r>
        <w:rPr>
          <w:b/>
        </w:rPr>
        <w:t xml:space="preserve">Ergebnis: </w:t>
      </w:r>
      <w:r>
        <w:t>Zwei Studien: Study 1 (N=472) bestätigte 9 psychologische Faktoren (Misstrauen, Distress, Extraversion, Offenheit, Prokrastination, depressive Symptome, posttraumatische Symptome, zwanghafte Züge, emotionale Stabilität) mit guter Reliabilität. Study 2 (N=192) zeigte signifikante Unterschiede zwischen Impfskeptikern und Nicht-Skeptikern. PF-HBQ ist zuverlässiges Werkzeug zur Charakterisierung psychologischer Profile bei Impfentscheidungen.</w:t>
      </w:r>
    </w:p>
    <w:p>
      <w:r>
        <w:rPr>
          <w:b/>
          <w:sz w:val="19"/>
        </w:rPr>
        <w:t xml:space="preserve">Übertragbarkeit: </w:t>
      </w:r>
      <w:r>
        <w:rPr>
          <w:sz w:val="19"/>
        </w:rPr>
        <w:t>Italien, psychometrisches Instrument, kulturübergreifend adaptierbar</w:t>
      </w:r>
    </w:p>
    <w:p>
      <w:r>
        <w:rPr>
          <w:color w:val="5A7D3A"/>
          <w:sz w:val="18"/>
        </w:rPr>
        <w:t>https://pubmed.ncbi.nlm.nih.gov/42827459/</w:t>
      </w:r>
    </w:p>
    <w:p>
      <w:pPr>
        <w:pStyle w:val="Heading1"/>
      </w:pPr>
      <w:r>
        <w:t>Aufgenommen am 04.10.2026</w:t>
      </w:r>
    </w:p>
    <w:p>
      <w:pPr>
        <w:pStyle w:val="Heading2"/>
      </w:pPr>
      <w:r>
        <w:t>Impfverantwortung in Familie und System: Wie russische Mütter Impfentscheidungen treffen</w:t>
      </w:r>
    </w:p>
    <w:p>
      <w:r>
        <w:rPr>
          <w:i/>
          <w:color w:val="666666"/>
          <w:sz w:val="18"/>
        </w:rPr>
        <w:t>Borozdina E  ·  Sociol Health Illn  ·  Nov. 2026  ·  PMID 42823783</w:t>
      </w:r>
    </w:p>
    <w:p>
      <w:r>
        <w:t>Qualitative Interviews mit impfskeptischen russischen Müttern zeigten, dass Impfentscheidungen nicht individuell getroffen werden, sondern eingebettet sind in Familiennetzwerke und durch unzureichende institutionelle Unterstützung bei hoher Eigenverantwortung geprägt sind.</w:t>
      </w:r>
    </w:p>
    <w:p>
      <w:r>
        <w:rPr>
          <w:b/>
        </w:rPr>
        <w:t xml:space="preserve">Ergebnis: </w:t>
      </w:r>
      <w:r>
        <w:t>Impfskepsis entsteht nicht primär aus individualistischer Haltung, sondern aus dem Misstrauen gegenüber Institutionen, die Eigenverantwortung verlangen ohne sie zu unterstützen; familiäre Netzwerke sind zentral für Entscheidungsfindung.</w:t>
      </w:r>
    </w:p>
    <w:p>
      <w:r>
        <w:rPr>
          <w:b/>
          <w:sz w:val="19"/>
        </w:rPr>
        <w:t xml:space="preserve">Übertragbarkeit: </w:t>
      </w:r>
      <w:r>
        <w:rPr>
          <w:sz w:val="19"/>
        </w:rPr>
        <w:t>Russland – System mit neoliberalen Tendenzen und Staatskontrolle, teilweise vergleichbar zu osteuropäischen Transformationsgesellschaften</w:t>
      </w:r>
    </w:p>
    <w:p>
      <w:r>
        <w:rPr>
          <w:color w:val="5A7D3A"/>
          <w:sz w:val="18"/>
        </w:rPr>
        <w:t>https://pubmed.ncbi.nlm.nih.gov/42823783/</w:t>
      </w:r>
    </w:p>
    <w:p>
      <w:pPr>
        <w:pStyle w:val="Heading2"/>
      </w:pPr>
      <w:r>
        <w:t>Guillain-Barré-Syndrom nach RSV-Vakzinierung: Fallbericht und diagnostische Lektionen</w:t>
      </w:r>
    </w:p>
    <w:p>
      <w:r>
        <w:rPr>
          <w:i/>
          <w:color w:val="666666"/>
          <w:sz w:val="18"/>
        </w:rPr>
        <w:t>Hreiz S et al.  ·  BMJ Case Rep  ·  01.10.2026  ·  PMID 42823139</w:t>
      </w:r>
    </w:p>
    <w:p>
      <w:r>
        <w:t>Fallbericht einer älteren Patientin mit Guillain-Barré-Syndrom zwei Wochen nach RSV-Impfung, die zunächst fehldiagnostiziert wurde, intensive Behandlung mit IVIG erforderte und sich nur partiell erholte.</w:t>
      </w:r>
    </w:p>
    <w:p>
      <w:r>
        <w:rPr>
          <w:b/>
        </w:rPr>
        <w:t xml:space="preserve">Ergebnis: </w:t>
      </w:r>
      <w:r>
        <w:t>Ein dokumentierter Fall eines Guillain-Barré-Syndroms mit zeitlichem Zusammenhang zur RSV-Vakzinierung; seltene, aber wichtige Nebenwirkung, die Notwendigkeit serieller klinischer Beurteilung und früher Eskalation unterstreicht.</w:t>
      </w:r>
    </w:p>
    <w:p>
      <w:r>
        <w:rPr>
          <w:b/>
          <w:sz w:val="19"/>
        </w:rPr>
        <w:t xml:space="preserve">Übertragbarkeit: </w:t>
      </w:r>
      <w:r>
        <w:rPr>
          <w:sz w:val="19"/>
        </w:rPr>
        <w:t>Großbritannien – vergleichbares Gesundheitssystem, Vigilanzmeldung in europäischer Sicherheitsüberwachung relevant</w:t>
      </w:r>
    </w:p>
    <w:p>
      <w:r>
        <w:rPr>
          <w:color w:val="5A7D3A"/>
          <w:sz w:val="18"/>
        </w:rPr>
        <w:t>https://pubmed.ncbi.nlm.nih.gov/42823139/</w:t>
      </w:r>
    </w:p>
    <w:p>
      <w:pPr>
        <w:pStyle w:val="Heading2"/>
      </w:pPr>
      <w:r>
        <w:t>Hepatitis-B-Impfantwortraten bei Hämodialysepatienten: Prädiktoren und Responderraten</w:t>
      </w:r>
    </w:p>
    <w:p>
      <w:r>
        <w:rPr>
          <w:i/>
          <w:color w:val="666666"/>
          <w:sz w:val="18"/>
        </w:rPr>
        <w:t>Gupta RD et al.  ·  Mymensingh Med J  ·  Okt. 2026  ·  PMID 42811835</w:t>
      </w:r>
    </w:p>
    <w:p>
      <w:r>
        <w:t>Querschnittstudie mit 50 Hämodialysepatienten in Bangladesch zur Messung von Anti-HBs-Titern nach Hepatitis-B-Impfung und Identifikation von Prädiktoren der Impfantwort.</w:t>
      </w:r>
    </w:p>
    <w:p>
      <w:r>
        <w:rPr>
          <w:b/>
        </w:rPr>
        <w:t xml:space="preserve">Ergebnis: </w:t>
      </w:r>
      <w:r>
        <w:t>Gesamtansprechquote 64%: 38% Hochresponder (Anti-HBs ≥100 mIU/ml), 26% schwache Responder (≥10 bis &lt;100 mIU/ml), 36% Nicht-Responder (&lt;10 mIU/ml); Alter &gt;50 Jahre, Diabetes und niedriges Serumalbmin waren signifikante Prädiktoren für schwache/keine Antwort (p&lt;0,05).</w:t>
      </w:r>
    </w:p>
    <w:p>
      <w:r>
        <w:rPr>
          <w:b/>
          <w:sz w:val="19"/>
        </w:rPr>
        <w:t xml:space="preserve">Übertragbarkeit: </w:t>
      </w:r>
      <w:r>
        <w:rPr>
          <w:sz w:val="19"/>
        </w:rPr>
        <w:t>Bangladesch – ähnliche Dialysepopulation, generalisierbar auf Hochrisikogruppen mit Malnutrition</w:t>
      </w:r>
    </w:p>
    <w:p>
      <w:r>
        <w:rPr>
          <w:color w:val="5A7D3A"/>
          <w:sz w:val="18"/>
        </w:rPr>
        <w:t>https://pubmed.ncbi.nlm.nih.gov/42811835/</w:t>
      </w:r>
    </w:p>
    <w:p>
      <w:pPr>
        <w:pStyle w:val="Heading2"/>
      </w:pPr>
      <w:r>
        <w:t>COVID-19-Impfeffektivität unter Alltagsbedingungen: Direkte und indirekte Effekte in Victoria, Australien</w:t>
      </w:r>
    </w:p>
    <w:p>
      <w:r>
        <w:rPr>
          <w:i/>
          <w:color w:val="666666"/>
          <w:sz w:val="18"/>
        </w:rPr>
        <w:t>Lin L et al.  ·  J R Soc Interface  ·  30.09.2026  ·  PMID 42811612</w:t>
      </w:r>
    </w:p>
    <w:p>
      <w:r>
        <w:t>Bevölkerungsbasierte Modellstudie mit 6,44 Millionen Einwohnern Victorias zur Quantifizierung der direkten und indirekten (Herden-)Schutzeffekte von COVID-19-Impfung während der Delta-Welle 2021.</w:t>
      </w:r>
    </w:p>
    <w:p>
      <w:r>
        <w:rPr>
          <w:b/>
        </w:rPr>
        <w:t xml:space="preserve">Ergebnis: </w:t>
      </w:r>
      <w:r>
        <w:t>Konservativ geschätzt: 315.000 Infektionen (95% BCI: 231k–406k), 33.400 Hospitalisierungen (95% BCI: 22k–46k) und 4.900 Todesfälle (95% BCI: 2,8k–7,2k) vermieden; diese Zahlen sind 4,0–, 7,5– und 8,0-fach höher als die beobachtete Fallzahl. Etwa die Hälfte der vermiedenen Infektionen und ein Viertel der Hospitalisierungen/Todesfälle gingen auf indirekten Schutz zurück.</w:t>
      </w:r>
    </w:p>
    <w:p>
      <w:r>
        <w:rPr>
          <w:b/>
          <w:sz w:val="19"/>
        </w:rPr>
        <w:t xml:space="preserve">Übertragbarkeit: </w:t>
      </w:r>
      <w:r>
        <w:rPr>
          <w:sz w:val="19"/>
        </w:rPr>
        <w:t>Australien – ähnliche Impfinfrastruktur wie Westeuropa, Bevölkerungsdaten robust</w:t>
      </w:r>
    </w:p>
    <w:p>
      <w:r>
        <w:rPr>
          <w:color w:val="5A7D3A"/>
          <w:sz w:val="18"/>
        </w:rPr>
        <w:t>https://pubmed.ncbi.nlm.nih.gov/42811612/</w:t>
      </w:r>
    </w:p>
    <w:p>
      <w:pPr>
        <w:pStyle w:val="Heading2"/>
      </w:pPr>
      <w:r>
        <w:t>HPV-Impfwissen und -akzeptanz bei Studierenden in Malaysia: Lücken trotz positiver Einstellung</w:t>
      </w:r>
    </w:p>
    <w:p>
      <w:r>
        <w:rPr>
          <w:i/>
          <w:color w:val="666666"/>
          <w:sz w:val="18"/>
        </w:rPr>
        <w:t>Lim MSH et al.  ·  Asian Pac J Cancer Prev  ·  01.09.2026  ·  PMID 42808405</w:t>
      </w:r>
    </w:p>
    <w:p>
      <w:r>
        <w:t>Querschnittstudie mit 382 Undergraduate-Studierenden in Sarawak zur Erhebung von HPV-Wissen, Einstellungen und Impfquoten; 55% waren ungeimpft.</w:t>
      </w:r>
    </w:p>
    <w:p>
      <w:r>
        <w:rPr>
          <w:b/>
        </w:rPr>
        <w:t xml:space="preserve">Ergebnis: </w:t>
      </w:r>
      <w:r>
        <w:t>HPV-Wissen moderat: Studierende aus Gesundheitsfachrichtungen zeigten höheres Wissen (aOR 2,0, 95% CI 1,1–3,5); Geimpfte hatten signifikant höheres Wissen (aOR 1,9, 95% CI 1,2–3,0). Einstellungen überwiegend positiv, aber Bedenken bezüglich Kosten, Sicherheit und sozialer Stigmatisierung blieben bestehen.</w:t>
      </w:r>
    </w:p>
    <w:p>
      <w:r>
        <w:rPr>
          <w:b/>
          <w:sz w:val="19"/>
        </w:rPr>
        <w:t xml:space="preserve">Übertragbarkeit: </w:t>
      </w:r>
      <w:r>
        <w:rPr>
          <w:sz w:val="19"/>
        </w:rPr>
        <w:t>Malaysia – mittleres Einkommen, nationales HPV-Programm, ähnliche schulische Erreichbarkeit wie Schwellenländer</w:t>
      </w:r>
    </w:p>
    <w:p>
      <w:r>
        <w:rPr>
          <w:color w:val="5A7D3A"/>
          <w:sz w:val="18"/>
        </w:rPr>
        <w:t>https://pubmed.ncbi.nlm.nih.gov/42808405/</w:t>
      </w:r>
    </w:p>
    <w:p>
      <w:pPr>
        <w:pStyle w:val="Heading2"/>
      </w:pPr>
      <w:r>
        <w:t>Masernimpfversagen bei Reiserückkehrern: Zwei Fallbeispiele aus Deutschland</w:t>
      </w:r>
    </w:p>
    <w:p>
      <w:r>
        <w:rPr>
          <w:i/>
          <w:color w:val="666666"/>
          <w:sz w:val="18"/>
        </w:rPr>
        <w:t>Schnell AP et al.  ·  Inn Med (Heidelb)  ·  08.09.2026  ·  PMID 42709141</w:t>
      </w:r>
    </w:p>
    <w:p>
      <w:r>
        <w:t>Fallbericht von zwei Masernpatienten nach Auslandsreisen, davon einer mit primärem Impfversagen nach Einfachimpfung mit schwerer Pneumonitis und einer mit sekundärem Impfversagen und atypischem Exanthem bei vermuteter Immundefizienz.</w:t>
      </w:r>
    </w:p>
    <w:p>
      <w:r>
        <w:rPr>
          <w:b/>
        </w:rPr>
        <w:t xml:space="preserve">Ergebnis: </w:t>
      </w:r>
      <w:r>
        <w:t>Zwei dokumentierte Masernfälle in Deutschland trotz Impfung – ein Fall mit primärem, einer mit sekundärem Impfversagen; Masern bleiben relevante Differenzialdiagnose auch bei Geimpften, reisemedizinische Beratung sollte Impfstatus erfassen.</w:t>
      </w:r>
    </w:p>
    <w:p>
      <w:r>
        <w:rPr>
          <w:b/>
          <w:sz w:val="19"/>
        </w:rPr>
        <w:t xml:space="preserve">Übertragbarkeit: </w:t>
      </w:r>
      <w:r>
        <w:rPr>
          <w:sz w:val="19"/>
        </w:rPr>
        <w:t>Deutsche Klinikdaten mit reisemedizinischem Bezug und Impfversagensursachen klinisch relevant</w:t>
      </w:r>
    </w:p>
    <w:p>
      <w:r>
        <w:rPr>
          <w:color w:val="5A7D3A"/>
          <w:sz w:val="18"/>
        </w:rPr>
        <w:t>https://pubmed.ncbi.nlm.nih.gov/42709141/</w:t>
      </w:r>
    </w:p>
    <w:p>
      <w:pPr>
        <w:pStyle w:val="Heading1"/>
      </w:pPr>
      <w:r>
        <w:t>Aufgenommen am 03.10.2026</w:t>
      </w:r>
    </w:p>
    <w:p>
      <w:pPr>
        <w:pStyle w:val="Heading2"/>
      </w:pPr>
      <w:r>
        <w:t>Impfquoten bei erwachsenen Diabetespatienten auf den Philippinen: Impfhürden und Chancen</w:t>
      </w:r>
    </w:p>
    <w:p>
      <w:r>
        <w:rPr>
          <w:i/>
          <w:color w:val="666666"/>
          <w:sz w:val="18"/>
        </w:rPr>
        <w:t>Jacobo RJB et al.  ·  Hum Vaccin Immunother  ·  02.10.2026  ·  PMID 42826175</w:t>
      </w:r>
    </w:p>
    <w:p>
      <w:r>
        <w:t>Querschnittstudie mit 284 philippinischen Erwachsenen mit Diabetes zur Erfassung von Impfquoten gegen Influenza, Pneumokokken, Herpes zoster, Hepatitis B, Tetanus und COVID-19 sowie Prädiktoren für Impfung.</w:t>
      </w:r>
    </w:p>
    <w:p>
      <w:r>
        <w:rPr>
          <w:b/>
        </w:rPr>
        <w:t xml:space="preserve">Ergebnis: </w:t>
      </w:r>
      <w:r>
        <w:t>Impfquoten: Influenza 44,4 %, Pneumokokken 49,6 %, Herpes zoster 18,1 %, Hepatitis B 15,5 %, Td/Tdap 23,2 %, COVID-19 97,9 %. Männliches Geschlecht, niedrigeres Alter und niedrigeres Einkommen waren mit niedrigeren Quoten assoziiert. Ärztliche Empfehlung war stärkster Prädiktor für alle Impfungen. Häufigste Gründe für Nicht-Impfung: fehlende Empfehlung (62–82 %), finanzielle Hürden (36–52 %), Impfen nicht als Priorität.</w:t>
      </w:r>
    </w:p>
    <w:p>
      <w:r>
        <w:rPr>
          <w:b/>
          <w:sz w:val="19"/>
        </w:rPr>
        <w:t xml:space="preserve">Übertragbarkeit: </w:t>
      </w:r>
      <w:r>
        <w:rPr>
          <w:sz w:val="19"/>
        </w:rPr>
        <w:t>Niedrig-mittleres Einkommen; Befunde zu Barrierenadressierung auf DACH begrenzt übertragbar</w:t>
      </w:r>
    </w:p>
    <w:p>
      <w:r>
        <w:rPr>
          <w:color w:val="5A7D3A"/>
          <w:sz w:val="18"/>
        </w:rPr>
        <w:t>https://pubmed.ncbi.nlm.nih.gov/42826175/</w:t>
      </w:r>
    </w:p>
    <w:p>
      <w:pPr>
        <w:pStyle w:val="Heading2"/>
      </w:pPr>
      <w:r>
        <w:t>Influenza-Impfeffektivität bei älteren Erwachsenen während Delta-Dominanz in China 2024–2025</w:t>
      </w:r>
    </w:p>
    <w:p>
      <w:r>
        <w:rPr>
          <w:i/>
          <w:color w:val="666666"/>
          <w:sz w:val="18"/>
        </w:rPr>
        <w:t>Liu X et al.  ·  BMC Geriatr  ·  25.07.2026  ·  PMID 42823662</w:t>
      </w:r>
    </w:p>
    <w:p>
      <w:r>
        <w:t>Multizenter Test-Negativ-Studie mit 4.694 älteren Patienten (≥60 Jahre) in der Provinz Zhejiang zur Messung der Impfeffektivität gegen A(H1N1)pdm09 unter Routinebedingungen.</w:t>
      </w:r>
    </w:p>
    <w:p>
      <w:r>
        <w:rPr>
          <w:b/>
        </w:rPr>
        <w:t xml:space="preserve">Ergebnis: </w:t>
      </w:r>
      <w:r>
        <w:t>Gesamteffektivität 53,3 % (95%-KI 45,4–60,2), nach Altersgruppe 56,9 % (60–69 Jahre), 51,2 % (70–79 Jahre), 57,7 % (≥80 Jahre). Effektivität gegen Hospitalisierung 53,9 % (95%-KI 37,3–66,0), gegen moderate bis schwere Influenza 68,8 % (95%-KI 50,0–80,6). Schutz sank von 58,0 % (37–71 Tage post-vakzination) auf 42,8 % (60–180 Tage). Impfquote 32,7 %.</w:t>
      </w:r>
    </w:p>
    <w:p>
      <w:r>
        <w:rPr>
          <w:b/>
          <w:sz w:val="19"/>
        </w:rPr>
        <w:t xml:space="preserve">Übertragbarkeit: </w:t>
      </w:r>
      <w:r>
        <w:rPr>
          <w:sz w:val="19"/>
        </w:rPr>
        <w:t>China-Studie; Labor-Bestätigung und Test-Negativ-Design sind übertragbar</w:t>
      </w:r>
    </w:p>
    <w:p>
      <w:r>
        <w:rPr>
          <w:color w:val="5A7D3A"/>
          <w:sz w:val="18"/>
        </w:rPr>
        <w:t>https://pubmed.ncbi.nlm.nih.gov/42823662/</w:t>
      </w:r>
    </w:p>
    <w:p>
      <w:pPr>
        <w:pStyle w:val="Heading2"/>
      </w:pPr>
      <w:r>
        <w:t>CAR-T-Therapie versus allogene Stammzelltransplantation bei refraktärem großzelligem B-Lymphom</w:t>
      </w:r>
    </w:p>
    <w:p>
      <w:r>
        <w:rPr>
          <w:i/>
          <w:color w:val="666666"/>
          <w:sz w:val="18"/>
        </w:rPr>
        <w:t>Maulhardt M et al.  ·  Clin Lymphoma Myeloma Leuk  ·  07.08.2026  ·  PMID 42686451</w:t>
      </w:r>
    </w:p>
    <w:p>
      <w:r>
        <w:t>Retrospektive Auswertung von 187 Patienten mit refraktärem großzelligem B-Lymphom, die entweder CAR-T-Zelltherapie (Axicabtagene Ciloleucel) oder allogene Transplantation erhielten, zur Vergleichbarkeit von Überleben und Nebenwirkungen.</w:t>
      </w:r>
    </w:p>
    <w:p>
      <w:r>
        <w:rPr>
          <w:b/>
        </w:rPr>
        <w:t xml:space="preserve">Ergebnis: </w:t>
      </w:r>
      <w:r>
        <w:t>12-Monats-progressionsfreies Überleben 50,1 % (CAR-T) vs. 33,8 % (Transplantation, p&lt;0,05); 12-Monats-Gesamtüberleben 60,5 % vs. 43,2 % (p&lt;0,05). Nicht-Rezidiv-Mortalität deutlich höher nach Transplantation (36 % vs. 12 %, p&lt;0,001), hauptsächlich durch Infektionen und Graft-versus-Host-Erkrankung. CAR-T zeigte Überlebensvorteil durch niedrigere Behandlungsmortalität.</w:t>
      </w:r>
    </w:p>
    <w:p>
      <w:r>
        <w:rPr>
          <w:b/>
          <w:sz w:val="19"/>
        </w:rPr>
        <w:t xml:space="preserve">Übertragbarkeit: </w:t>
      </w:r>
      <w:r>
        <w:rPr>
          <w:sz w:val="19"/>
        </w:rPr>
        <w:t>Deutsches Single-Center-Register mit vergleichbarem Versicherungssystem</w:t>
      </w:r>
    </w:p>
    <w:p>
      <w:r>
        <w:rPr>
          <w:color w:val="5A7D3A"/>
          <w:sz w:val="18"/>
        </w:rPr>
        <w:t>https://pubmed.ncbi.nlm.nih.gov/42686451/</w:t>
      </w:r>
    </w:p>
    <w:p>
      <w:pPr>
        <w:pStyle w:val="Heading2"/>
      </w:pPr>
      <w:r>
        <w:t>Attenuierter Influenzaimpfstoff erhöht Pneumokokken-Besiedlung und Übertragung in Haushalten</w:t>
      </w:r>
    </w:p>
    <w:p>
      <w:r>
        <w:rPr>
          <w:i/>
          <w:color w:val="666666"/>
          <w:sz w:val="18"/>
        </w:rPr>
        <w:t>Metz J et al.  ·  Lancet Microbe  ·  18.08.2026  ·  PMID 42612652</w:t>
      </w:r>
    </w:p>
    <w:p>
      <w:r>
        <w:t>Randomisierte UK-Studie mit 405 Familien (1.379 Personen), die untersuchte, ob der lebendabgeschwächte Influenzaimpfstoff bei Kleinkindern die Dichte von Streptococcus-pneumoniae-Besiedlung und deren Übertragung auf Haushaltskontakte erhöht.</w:t>
      </w:r>
    </w:p>
    <w:p>
      <w:r>
        <w:rPr>
          <w:b/>
        </w:rPr>
        <w:t xml:space="preserve">Ergebnis: </w:t>
      </w:r>
      <w:r>
        <w:t>Bei geimpften Kindern 2,5-fach erhöhte Odds für Anstieg der Pneumokokken-Dichte nach 14 Tagen (95%-KI 1,5–4,3, p=0,0008) und 2,0-fach erhöhte Odds für Pneumokokken-Erwerb bei Haushaltskonten (95%-KI 1,2–3,5, p=0,015). Effekte weitgehend abgeklungen bis Tag 28. Impfquote bei Studienende 96 %, Studienvollendung 96 %.</w:t>
      </w:r>
    </w:p>
    <w:p>
      <w:r>
        <w:rPr>
          <w:b/>
          <w:sz w:val="19"/>
        </w:rPr>
        <w:t xml:space="preserve">Übertragbarkeit: </w:t>
      </w:r>
      <w:r>
        <w:rPr>
          <w:sz w:val="19"/>
        </w:rPr>
        <w:t>UK-Register mit vergleichbarer Haushaltsstruktur, Übertragbarkeit auf Deutschland eingeschränkt</w:t>
      </w:r>
    </w:p>
    <w:p>
      <w:r>
        <w:rPr>
          <w:color w:val="5A7D3A"/>
          <w:sz w:val="18"/>
        </w:rPr>
        <w:t>https://pubmed.ncbi.nlm.nih.gov/42612652/</w:t>
      </w:r>
    </w:p>
    <w:p>
      <w:pPr>
        <w:pStyle w:val="Heading2"/>
      </w:pPr>
      <w:r>
        <w:t>Frühe CAR-T-Intensivierung bei hochrisiko-Mantelzelllymphom: CARMAN-Protokoll</w:t>
      </w:r>
    </w:p>
    <w:p>
      <w:r>
        <w:rPr>
          <w:i/>
          <w:color w:val="666666"/>
          <w:sz w:val="18"/>
        </w:rPr>
        <w:t>Tilch MK et al.  ·  BMC Cancer  ·  11.08.2026  ·  PMID 42581349</w:t>
      </w:r>
    </w:p>
    <w:p>
      <w:r>
        <w:t>Randomisierte Phase-II-Studie zur Prüfung, ob eine Verkürzung der Induktionschemotherapie gefolgt von CAR-T-Zelltherapie das Überleben bei hochrisiko-Mantelzelllymphom verbessert – als Alternative zu Standardtherapie.</w:t>
      </w:r>
    </w:p>
    <w:p>
      <w:r>
        <w:rPr>
          <w:b/>
        </w:rPr>
        <w:t xml:space="preserve">Ergebnis: </w:t>
      </w:r>
      <w:r>
        <w:t>Rekrutierung 2026 abgeschlossen; 150 Patienten aus 5 europäischen Ländern randomisiert 1:1. Primärer Endpunkt ist ‚Failure-free survival'; Sekundärendpunkte umfassen Gesamtresponserate, komplette Remissionsrate, Sicherheit und Lebensqualität. Ergebnisse stehen aus.</w:t>
      </w:r>
    </w:p>
    <w:p>
      <w:r>
        <w:rPr>
          <w:b/>
          <w:sz w:val="19"/>
        </w:rPr>
        <w:t xml:space="preserve">Übertragbarkeit: </w:t>
      </w:r>
      <w:r>
        <w:rPr>
          <w:sz w:val="19"/>
        </w:rPr>
        <w:t>Multizenter europäische Studie mit vergleichbarem Gesundheitssystem</w:t>
      </w:r>
    </w:p>
    <w:p>
      <w:r>
        <w:rPr>
          <w:color w:val="5A7D3A"/>
          <w:sz w:val="18"/>
        </w:rPr>
        <w:t>https://pubmed.ncbi.nlm.nih.gov/42581349/</w:t>
      </w:r>
    </w:p>
    <w:p>
      <w:pPr>
        <w:pStyle w:val="Heading2"/>
      </w:pPr>
      <w:r>
        <w:t>Wirtschaftliche Präferenzen vorhersagen COVID-19-Impfabsicht und Verhalten</w:t>
      </w:r>
    </w:p>
    <w:p>
      <w:r>
        <w:rPr>
          <w:i/>
          <w:color w:val="666666"/>
          <w:sz w:val="18"/>
        </w:rPr>
        <w:t>Angerer S et al.  ·  Health Econ  ·  30.07.2026  ·  PMID 42533263</w:t>
      </w:r>
    </w:p>
    <w:p>
      <w:r>
        <w:t>Bevölkerungsstudie mit &gt;5.000 Personen in Deutschland, die die Beziehung zwischen Temperament (Altruismus, Geduld, Risikobereitschaft, Vertrauen) und COVID-19-Impfbereitschaft untersuchte.</w:t>
      </w:r>
    </w:p>
    <w:p>
      <w:r>
        <w:rPr>
          <w:b/>
        </w:rPr>
        <w:t xml:space="preserve">Ergebnis: </w:t>
      </w:r>
      <w:r>
        <w:t>Robuste positive Assoziationen zwischen Impfbereitschaft und Geduld sowie Vertrauen. Altruismus zeigte positive Beziehung zur Impfbereitschaft, die jedoch bei Kontrolle anderer Präferenzen verschwand. Risikobereitschaft zeigte keine konsistenten Effekte. Befunde unterstreichen Bedeutung von Vertrauen und zeitlichem Denken für Impfentscheidungen.</w:t>
      </w:r>
    </w:p>
    <w:p>
      <w:r>
        <w:rPr>
          <w:b/>
          <w:sz w:val="19"/>
        </w:rPr>
        <w:t xml:space="preserve">Übertragbarkeit: </w:t>
      </w:r>
      <w:r>
        <w:rPr>
          <w:sz w:val="19"/>
        </w:rPr>
        <w:t>Deutsche Bevölkerungsstichprobe, direkt auf deutsches Gesundheitssystem übertragbar</w:t>
      </w:r>
    </w:p>
    <w:p>
      <w:r>
        <w:rPr>
          <w:color w:val="5A7D3A"/>
          <w:sz w:val="18"/>
        </w:rPr>
        <w:t>https://pubmed.ncbi.nlm.nih.gov/42533263/</w:t>
      </w:r>
    </w:p>
    <w:p>
      <w:pPr>
        <w:pStyle w:val="Heading1"/>
      </w:pPr>
      <w:r>
        <w:t>Aufgenommen am 02.10.2026</w:t>
      </w:r>
    </w:p>
    <w:p>
      <w:pPr>
        <w:pStyle w:val="Heading2"/>
      </w:pPr>
      <w:r>
        <w:t>COVID-19-Auffrischungsimpfung reduzierte Rehospitalisierungsrisiko um 39 Prozent</w:t>
      </w:r>
    </w:p>
    <w:p>
      <w:r>
        <w:rPr>
          <w:i/>
          <w:color w:val="666666"/>
          <w:sz w:val="18"/>
        </w:rPr>
        <w:t>Neves RKAD et al.  ·  PLoS One  ·  01.10.2026  ·  PMID 42821558</w:t>
      </w:r>
    </w:p>
    <w:p>
      <w:r>
        <w:t>Kohortenstudie in Rio de Janeiro untersuchte, ob Impfstatus die Rehospitalisierung wegen COVID-19-Reinfektionen zwischen 2020 und 2022 beeinflusste.</w:t>
      </w:r>
    </w:p>
    <w:p>
      <w:r>
        <w:rPr>
          <w:b/>
        </w:rPr>
        <w:t xml:space="preserve">Ergebnis: </w:t>
      </w:r>
      <w:r>
        <w:t>Vollständige Impfung mit Auffrischung (≥3 Dosen) reduzierte das Rehospitalisierungsrisiko um 39 Prozent (sHR: 0,61; 95 %-KI: 0,52–0,73). Älteres Alter, Multimorbidität und Black race waren unabhängige Risikofaktoren. Die Herdenimmunität durch hohe Impfquoten hätte Ergebnisse um circa 25 Prozent verbessert.</w:t>
      </w:r>
    </w:p>
    <w:p>
      <w:r>
        <w:rPr>
          <w:b/>
          <w:sz w:val="19"/>
        </w:rPr>
        <w:t xml:space="preserve">Übertragbarkeit: </w:t>
      </w:r>
      <w:r>
        <w:rPr>
          <w:sz w:val="19"/>
        </w:rPr>
        <w:t>Brasilien, aber Effektmaß unabhängig von Systemen, Versorgungsdaten</w:t>
      </w:r>
    </w:p>
    <w:p>
      <w:r>
        <w:rPr>
          <w:color w:val="5A7D3A"/>
          <w:sz w:val="18"/>
        </w:rPr>
        <w:t>https://pubmed.ncbi.nlm.nih.gov/42821558/</w:t>
      </w:r>
    </w:p>
    <w:p>
      <w:pPr>
        <w:pStyle w:val="Heading2"/>
      </w:pPr>
      <w:r>
        <w:t>Impfverzögerungen bei Kleinkindern in Bagdad: Wissen und Verfügbarkeit als Schlüsselfaktoren</w:t>
      </w:r>
    </w:p>
    <w:p>
      <w:r>
        <w:rPr>
          <w:i/>
          <w:color w:val="666666"/>
          <w:sz w:val="18"/>
        </w:rPr>
        <w:t>Shah SSAM et al.  ·  PLoS One  ·  01.10.2026  ·  PMID 42821556</w:t>
      </w:r>
    </w:p>
    <w:p>
      <w:r>
        <w:t>Querschnittsstudie mit dokumentierten Impfkarten bei 168 Kindern (18–24 Monate) in Bagdad prüfte Zeitlichkeit und Verzögerungsgründe.</w:t>
      </w:r>
    </w:p>
    <w:p>
      <w:r>
        <w:rPr>
          <w:b/>
        </w:rPr>
        <w:t xml:space="preserve">Ergebnis: </w:t>
      </w:r>
      <w:r>
        <w:t>Nur 8,3 Prozent erhielten alle Impfungen pünktlich; 91,7 Prozent Verzögerungen (75 Prozent an mehreren Terminen). Fehlende Kenntnisse zum Impfplan (aOR: 3,85; 95 %-KI: 1,04–14,24) und wahrgenommene Impfstoffverfügbarkeit (aOR: 4,74; 95 %-KI: 1,09–20,51) waren Hauptrisiken. Keine Soziodemografika signifikant.</w:t>
      </w:r>
    </w:p>
    <w:p>
      <w:r>
        <w:rPr>
          <w:b/>
          <w:sz w:val="19"/>
        </w:rPr>
        <w:t xml:space="preserve">Übertragbarkeit: </w:t>
      </w:r>
      <w:r>
        <w:rPr>
          <w:sz w:val="19"/>
        </w:rPr>
        <w:t>Postkonflikt-Setting, aber Identifikation gestaltbarer Hindernisse (Wissen, Logistik) übertragbar</w:t>
      </w:r>
    </w:p>
    <w:p>
      <w:r>
        <w:rPr>
          <w:color w:val="5A7D3A"/>
          <w:sz w:val="18"/>
        </w:rPr>
        <w:t>https://pubmed.ncbi.nlm.nih.gov/42821556/</w:t>
      </w:r>
    </w:p>
    <w:p>
      <w:pPr>
        <w:pStyle w:val="Heading2"/>
      </w:pPr>
      <w:r>
        <w:t>Impffehler in der Primärversorgung: Systemischer Ansatz statt Individualisierung</w:t>
      </w:r>
    </w:p>
    <w:p>
      <w:r>
        <w:rPr>
          <w:i/>
          <w:color w:val="666666"/>
          <w:sz w:val="18"/>
        </w:rPr>
        <w:t>Cirino FMSB et al.  ·  Rev Bras Enferm  ·  28.09.2026  ·  PMID 42820566</w:t>
      </w:r>
    </w:p>
    <w:p>
      <w:r>
        <w:t>Reflexive Studie zur Rolle von Überlastung und prekären Arbeitsbedingungen als Systemtreiber von Impffehlern in der Primärversorgung Brasiliens.</w:t>
      </w:r>
    </w:p>
    <w:p>
      <w:r>
        <w:rPr>
          <w:b/>
        </w:rPr>
        <w:t xml:space="preserve">Ergebnis: </w:t>
      </w:r>
      <w:r>
        <w:t>Impffehler sind Ausdruck von Burnout und Überbelastung bei Pflegefachpersonen, nicht nur technische oder individuelle Versäumnisse. Prävention verlangt Systemansatz (Autonomie, Arbeitsbedingungen, kritische Reflexionsräume), nicht nur Einzelverantwortlichkeit.</w:t>
      </w:r>
    </w:p>
    <w:p>
      <w:r>
        <w:rPr>
          <w:b/>
          <w:sz w:val="19"/>
        </w:rPr>
        <w:t xml:space="preserve">Übertragbarkeit: </w:t>
      </w:r>
      <w:r>
        <w:rPr>
          <w:sz w:val="19"/>
        </w:rPr>
        <w:t>Brasilien, aber systemische Sicht auf Impfqualität gilt überall; Personalressourcen und Arbeitsbedingungen zentral</w:t>
      </w:r>
    </w:p>
    <w:p>
      <w:r>
        <w:rPr>
          <w:color w:val="5A7D3A"/>
          <w:sz w:val="18"/>
        </w:rPr>
        <w:t>https://pubmed.ncbi.nlm.nih.gov/42820566/</w:t>
      </w:r>
    </w:p>
    <w:p>
      <w:pPr>
        <w:pStyle w:val="Heading2"/>
      </w:pPr>
      <w:r>
        <w:t>HPV-Impfbereitschaft bei Eltern in China: 63 % bereit, nur 18 % tatsächlich geimpft</w:t>
      </w:r>
    </w:p>
    <w:p>
      <w:r>
        <w:rPr>
          <w:i/>
          <w:color w:val="666666"/>
          <w:sz w:val="18"/>
        </w:rPr>
        <w:t>Li Y et al.  ·  Front Public Health  ·  16.09.2026  ·  PMID 42819398</w:t>
      </w:r>
    </w:p>
    <w:p>
      <w:r>
        <w:t>Querschnittsstudie mit 506 Eltern von Schülerinnen (China) prüfte nach Theory of Planned Behavior, welche Faktoren HPV-Impfwilligkeit und tatsächliche Inanspruchnahme vorhersagen.</w:t>
      </w:r>
    </w:p>
    <w:p>
      <w:r>
        <w:rPr>
          <w:b/>
        </w:rPr>
        <w:t xml:space="preserve">Ergebnis: </w:t>
      </w:r>
      <w:r>
        <w:t>63,24 Prozent zeigten Bereitschaft, aber nur 17,98 Prozent tatsächliche Impfquote. Höhere Elternbildung, Haushaltseinkommen 5.000–10.000 RMB, Familiengeschichte Krebs und positive Einstellung waren Prädiktoren. Wahrgenommene Verhaltenskontrolle (Barrieren) zeigte negatives Pfadkoeffizient (β = –0,10, p &lt; 0,01).</w:t>
      </w:r>
    </w:p>
    <w:p>
      <w:r>
        <w:rPr>
          <w:b/>
          <w:sz w:val="19"/>
        </w:rPr>
        <w:t xml:space="preserve">Übertragbarkeit: </w:t>
      </w:r>
      <w:r>
        <w:rPr>
          <w:sz w:val="19"/>
        </w:rPr>
        <w:t>China, aber Theory of Planned Behavior universell anwendbar; Gap zwischen Bereitschaft und Umsetzung ist globales Problem</w:t>
      </w:r>
    </w:p>
    <w:p>
      <w:r>
        <w:rPr>
          <w:color w:val="5A7D3A"/>
          <w:sz w:val="18"/>
        </w:rPr>
        <w:t>https://pubmed.ncbi.nlm.nih.gov/42819398/</w:t>
      </w:r>
    </w:p>
    <w:p>
      <w:pPr>
        <w:pStyle w:val="Heading2"/>
      </w:pPr>
      <w:r>
        <w:t>Zero-Dose-Kinder in Ländern mit niedrigem Einkommen: Hausgeburten top Risikofaktor</w:t>
      </w:r>
    </w:p>
    <w:p>
      <w:r>
        <w:rPr>
          <w:i/>
          <w:color w:val="666666"/>
          <w:sz w:val="18"/>
        </w:rPr>
        <w:t>Bobo FT et al.  ·  Int J Equity Health  ·  04.08.2026  ·  PMID 42816851</w:t>
      </w:r>
    </w:p>
    <w:p>
      <w:r>
        <w:t>Sekundäranalyse von zwei DHS-Runden aus zehn Ländern mit niedrigem/unterem Einkommen prüfte Trends bei Kinder ohne Grundimmunisierung und bevölkerungszuschreibbare Risikofaktoren.</w:t>
      </w:r>
    </w:p>
    <w:p>
      <w:r>
        <w:rPr>
          <w:b/>
        </w:rPr>
        <w:t xml:space="preserve">Ergebnis: </w:t>
      </w:r>
      <w:r>
        <w:t>Zero-Dose-Prävalenz stieg in fünf Ländern signifikant (z. B. Mosambik 4,8 % auf 14,2 %, Madagaskar 13,3 % auf 18,1 %). Hausgeburt hatte höchste PAF (17,1 %; 95 %-KI: 14,1–19,6), gefolgt von &lt;4 ANC-Kontakten (8,6 %; 95 %-KI: 7,2–10,0). Reproductive Health Services kombiniert: PAF 29,4 Prozent. Vermögen-bedingte Ungleichheit überall signifikant.</w:t>
      </w:r>
    </w:p>
    <w:p>
      <w:r>
        <w:rPr>
          <w:b/>
          <w:sz w:val="19"/>
        </w:rPr>
        <w:t xml:space="preserve">Übertragbarkeit: </w:t>
      </w:r>
      <w:r>
        <w:rPr>
          <w:sz w:val="19"/>
        </w:rPr>
        <w:t>LLMIC, aber bevölkerungszuschreibbare Anteile und Kausalkettenlogik helfen Priorisierung in ähnlichen Systemen</w:t>
      </w:r>
    </w:p>
    <w:p>
      <w:r>
        <w:rPr>
          <w:color w:val="5A7D3A"/>
          <w:sz w:val="18"/>
        </w:rPr>
        <w:t>https://pubmed.ncbi.nlm.nih.gov/42816851/</w:t>
      </w:r>
    </w:p>
    <w:p>
      <w:pPr>
        <w:pStyle w:val="Heading2"/>
      </w:pPr>
      <w:r>
        <w:t>Impfskepsis in Pakistan: Mehrstufig randomisierte Surveys zeigen 33,8 Prozent Hesitancy</w:t>
      </w:r>
    </w:p>
    <w:p>
      <w:r>
        <w:rPr>
          <w:i/>
          <w:color w:val="666666"/>
          <w:sz w:val="18"/>
        </w:rPr>
        <w:t>Honghe L et al.  ·  J Epidemiol Glob Health  ·  12.08.2026  ·  PMID 42809170</w:t>
      </w:r>
    </w:p>
    <w:p>
      <w:r>
        <w:t>Querschnittsstudie mit 1.200 Teilnehmern (Pakistan, Juni–August 2021) nutzte mehrstufig stratifizierte Paired-Response-Frameworks, um Impfskepsis und Underreporting zu quantifizieren.</w:t>
      </w:r>
    </w:p>
    <w:p>
      <w:r>
        <w:rPr>
          <w:b/>
        </w:rPr>
        <w:t xml:space="preserve">Ergebnis: </w:t>
      </w:r>
      <w:r>
        <w:t>Impfskepsis wurde mit MSPRF-I auf 33,8 Prozent (vs. 24,3 % in konventionellen Befragungen) geschätzt, mit 290–399 % höherer Effizienz. Urban-rural-Unterschiede bei Offenbarungsbereitschaft, aber systematische Unterschätzung in Routineerhebungen.</w:t>
      </w:r>
    </w:p>
    <w:p>
      <w:r>
        <w:rPr>
          <w:b/>
          <w:sz w:val="19"/>
        </w:rPr>
        <w:t xml:space="preserve">Übertragbarkeit: </w:t>
      </w:r>
      <w:r>
        <w:rPr>
          <w:sz w:val="19"/>
        </w:rPr>
        <w:t>Pakistan, neue Methodik zur Erfassung von Hesitancy auch in Hochrisiko-Settings nutzbar</w:t>
      </w:r>
    </w:p>
    <w:p>
      <w:r>
        <w:rPr>
          <w:color w:val="5A7D3A"/>
          <w:sz w:val="18"/>
        </w:rPr>
        <w:t>https://pubmed.ncbi.nlm.nih.gov/42809170/</w:t>
      </w:r>
    </w:p>
    <w:p>
      <w:pPr>
        <w:pStyle w:val="Heading1"/>
      </w:pPr>
      <w:r>
        <w:t>Aufgenommen am 01.10.2026</w:t>
      </w:r>
    </w:p>
    <w:p>
      <w:pPr>
        <w:pStyle w:val="Heading2"/>
      </w:pPr>
      <w:r>
        <w:t>Impfprogramme in Konfliktzonen: intrinsischer, instrumentaler und symbolischer Wert</w:t>
      </w:r>
    </w:p>
    <w:p>
      <w:r>
        <w:rPr>
          <w:i/>
          <w:color w:val="666666"/>
          <w:sz w:val="18"/>
        </w:rPr>
        <w:t>Sabahelzain MM et al.  ·  Hum Vaccin Immunother  ·  30.09.2026  ·  PMID 42814974</w:t>
      </w:r>
    </w:p>
    <w:p>
      <w:r>
        <w:t>Qualitative Analyse, welche die Werte von Impfprogrammen in humanitären Krisen aus ethischer Perspektive untersucht und plädiert für deren Verstetigung als Frage der Gerechtigkeit.</w:t>
      </w:r>
    </w:p>
    <w:p>
      <w:r>
        <w:rPr>
          <w:b/>
        </w:rPr>
        <w:t xml:space="preserve">Ergebnis: </w:t>
      </w:r>
      <w:r>
        <w:t>Die Autoren argumentieren, dass Impfungen in Konfliktzonen über die Notfallreaktion hinaus als intrinsisch wertvoll (Menschenrecht auf Gesundheit), instrumentell wertvoll (Krankheitsvorbeugung) und symbolisch wertvoll (Vertrauenszeichen des Staates) anzusehen sind. Diese dreifache Wertigkeit rechtfertigt die Priorisierung ihrer Verstetigung zur Stärkung der Gesundheitssystemresilienz.</w:t>
      </w:r>
    </w:p>
    <w:p>
      <w:r>
        <w:rPr>
          <w:b/>
          <w:sz w:val="19"/>
        </w:rPr>
        <w:t xml:space="preserve">Übertragbarkeit: </w:t>
      </w:r>
      <w:r>
        <w:rPr>
          <w:sz w:val="19"/>
        </w:rPr>
        <w:t>Qualitatives Konzeptpapier; Übertragbarkeit hängt von nationalen Impfkalender und Sicherheitslage ab.</w:t>
      </w:r>
    </w:p>
    <w:p>
      <w:r>
        <w:rPr>
          <w:color w:val="5A7D3A"/>
          <w:sz w:val="18"/>
        </w:rPr>
        <w:t>https://pubmed.ncbi.nlm.nih.gov/42814974/</w:t>
      </w:r>
    </w:p>
    <w:p>
      <w:pPr>
        <w:pStyle w:val="Heading2"/>
      </w:pPr>
      <w:r>
        <w:t>Tollwutpostexpositionsprophylaxe im Iran: Registerdaten und Adhärenz</w:t>
      </w:r>
    </w:p>
    <w:p>
      <w:r>
        <w:rPr>
          <w:i/>
          <w:color w:val="666666"/>
          <w:sz w:val="18"/>
        </w:rPr>
        <w:t>Babaee E et al.  ·  PLoS Negl Trop Dis  ·  30.09.2026  ·  PMID 42814726</w:t>
      </w:r>
    </w:p>
    <w:p>
      <w:r>
        <w:t>Sekundäranalyse von 507.404 Tierbissvorfällen aus dem iranischen Tollwut-Impfregister (März 2022 – September 2023) zur Dokumentation der Adhärenz zu Impf- und Immunglobulin-Richtlinien.</w:t>
      </w:r>
    </w:p>
    <w:p>
      <w:r>
        <w:rPr>
          <w:b/>
        </w:rPr>
        <w:t xml:space="preserve">Ergebnis: </w:t>
      </w:r>
      <w:r>
        <w:t>73,6% Männer; häufigste Altersgruppe 31–40 Jahre (19,8%). Hunde verursachten 76,2%, Katzen 20,8% der Expositionen. Höchste Inzidenz in Nordprovinzen (North Khorasan 773/100.000, Golestan 767/100.000 Einwohner). Wundreinigung dokumentiert bei 94,3%; erste Impfdosis innerhalb 48 h bei 96,4%. Gesamte Impfserie: 68,1% erhielten drei Dosen, 24,2% vier. Immunglobulin wurde bei 95,6% der Kategorie-III-Expositionen gegeben, aber auch unangemessen bei Kategorie I (6,1%) und II (4,7%). Bei Fledermauskontakt nur 36,8% als Kategorie III klassifiziert und 38,7% mit Immunglobulin versorgt.</w:t>
      </w:r>
    </w:p>
    <w:p>
      <w:r>
        <w:rPr>
          <w:b/>
          <w:sz w:val="19"/>
        </w:rPr>
        <w:t xml:space="preserve">Übertragbarkeit: </w:t>
      </w:r>
      <w:r>
        <w:rPr>
          <w:sz w:val="19"/>
        </w:rPr>
        <w:t>Iran, Registerdaten; mittlere Übertragbarkeit auf Deutschland (unterschiedliche epidemiologische Lage).</w:t>
      </w:r>
    </w:p>
    <w:p>
      <w:r>
        <w:rPr>
          <w:color w:val="5A7D3A"/>
          <w:sz w:val="18"/>
        </w:rPr>
        <w:t>https://pubmed.ncbi.nlm.nih.gov/42814726/</w:t>
      </w:r>
    </w:p>
    <w:p>
      <w:pPr>
        <w:pStyle w:val="Heading2"/>
      </w:pPr>
      <w:r>
        <w:t>Auditive Nebenwirkungen und COVID-19-Impfung: Signalbewertung im US-VAERS</w:t>
      </w:r>
    </w:p>
    <w:p>
      <w:r>
        <w:rPr>
          <w:i/>
          <w:color w:val="666666"/>
          <w:sz w:val="18"/>
        </w:rPr>
        <w:t>Wu J et al.  ·  Front Public Health  ·  15.09.2026  ·  PMID 42812531</w:t>
      </w:r>
    </w:p>
    <w:p>
      <w:r>
        <w:t>Unterbrochene Zeitreihenanalyse von US-VAERS-Daten (2018–2025) zur Frage, ob Meldungen auditorischer Nebenwirkungen nach COVID-19-Impf-Zulassung zunahmen und ob dies einen echten Sicherheitssignal oder Meldeverzerrung widerspiegelt.</w:t>
      </w:r>
    </w:p>
    <w:p>
      <w:r>
        <w:rPr>
          <w:b/>
        </w:rPr>
        <w:t xml:space="preserve">Ergebnis: </w:t>
      </w:r>
      <w:r>
        <w:t>Von 1.347.820 Berichten betrafen 27.750 auditorische Nebenwirkungen. Nach der COVID-19-Zulassung stiegen Meldungsraten an (β=2.317,4, 95%-KI 1.079,1–3.555,6; p&lt;0,001). Quasi-Poisson-Modelle zeigten IRR von 5,62–7,36 (p≤0,015). Effekt war heterogen nach Alter: stark bei 18–64 Jahren (p=0,010) und ≥65 Jahren (p=0,0004), nicht signifikant &lt;18 Jahren (p=0,67). Dermatologie-Sentinel (Kontrolle) zeigte keine Änderung (IRR 1,09, p=0,83). Auditorische Nebenwirkungen waren in COVID-19-Berichten häufiger (2,42%) als Influenza (0,88%) oder andere Impfstoffe (0,84%).</w:t>
      </w:r>
    </w:p>
    <w:p>
      <w:r>
        <w:rPr>
          <w:b/>
          <w:sz w:val="19"/>
        </w:rPr>
        <w:t xml:space="preserve">Übertragbarkeit: </w:t>
      </w:r>
      <w:r>
        <w:rPr>
          <w:sz w:val="19"/>
        </w:rPr>
        <w:t>US-Passive-Surveillance-Daten; Übertragbarkeit auf Deutschland eingeschränkt (anderes Meldesystem).</w:t>
      </w:r>
    </w:p>
    <w:p>
      <w:r>
        <w:rPr>
          <w:color w:val="5A7D3A"/>
          <w:sz w:val="18"/>
        </w:rPr>
        <w:t>https://pubmed.ncbi.nlm.nih.gov/42812531/</w:t>
      </w:r>
    </w:p>
    <w:p>
      <w:pPr>
        <w:pStyle w:val="Heading2"/>
      </w:pPr>
      <w:r>
        <w:t>Reaktogenität mRNA- vs. proteinbasierter COVID-19-Impfstoffe 2023–2024: BEEHIVE-Studie</w:t>
      </w:r>
    </w:p>
    <w:p>
      <w:r>
        <w:rPr>
          <w:i/>
          <w:color w:val="666666"/>
          <w:sz w:val="18"/>
        </w:rPr>
        <w:t>Yoon SK et al.  ·  Hum Vaccin Immunother  ·  29.09.2026  ·  PMID 42811742</w:t>
      </w:r>
    </w:p>
    <w:p>
      <w:r>
        <w:t>Doppelblinde randomisierte Studie (NCT06065176) vergleicht Reaktogenität von Novavax (Protein) mit Pfizer-BioNTech (mRNA) XBB.1.5-Impfstoff bei Personen mit ≥2 vorherigen mRNA-Dosen.</w:t>
      </w:r>
    </w:p>
    <w:p>
      <w:r>
        <w:rPr>
          <w:b/>
        </w:rPr>
        <w:t xml:space="preserve">Ergebnis: </w:t>
      </w:r>
      <w:r>
        <w:t>Novavax (n=448) vs. Pfizer (n=453): Am Tag 1 berichteten signifikant weniger Novavax-Empfänger systemische Reaktogenität (62,1% vs. 75,7%; Risikodifferenz −13,7%, 95%-KI −19,6% bis −7,7%, p&lt;0,0001) und lokale Reaktionen (81,0% vs. 92,7%; Risikodifferenz −11,7%, 95%-KI −16,0% bis −7,3%, p&lt;0,0001). Mittlere Ereigniszahl pro Person am Tag 1 und 2 signifikant niedriger für Novavax (je p&lt;0,0001). Die meisten Ereignisse waren mild. Am Tag 6 hatten &gt;80% bzw. &gt;94% keine systemischen oder lokalen Reaktionen.</w:t>
      </w:r>
    </w:p>
    <w:p>
      <w:r>
        <w:rPr>
          <w:b/>
          <w:sz w:val="19"/>
        </w:rPr>
        <w:t xml:space="preserve">Übertragbarkeit: </w:t>
      </w:r>
      <w:r>
        <w:rPr>
          <w:sz w:val="19"/>
        </w:rPr>
        <w:t>USA-Studie, aber primär Sicherheitsfrage – übertragbar auf Deutsche Zulassungsbewertung.</w:t>
      </w:r>
    </w:p>
    <w:p>
      <w:r>
        <w:rPr>
          <w:color w:val="5A7D3A"/>
          <w:sz w:val="18"/>
        </w:rPr>
        <w:t>https://pubmed.ncbi.nlm.nih.gov/42811742/</w:t>
      </w:r>
    </w:p>
    <w:p>
      <w:pPr>
        <w:pStyle w:val="Heading2"/>
      </w:pPr>
      <w:r>
        <w:t>Hybridimmunität gegen SARS-CoV-2: Langzeitdynamik bei Angehörigen der Gesundheitsberufe</w:t>
      </w:r>
    </w:p>
    <w:p>
      <w:r>
        <w:rPr>
          <w:i/>
          <w:color w:val="666666"/>
          <w:sz w:val="18"/>
        </w:rPr>
        <w:t>Tekinsoy M et al.  ·  Viruses  ·  19.09.2026  ·  PMID 42797871</w:t>
      </w:r>
    </w:p>
    <w:p>
      <w:r>
        <w:t>Vierjährige Kohortenstudie (2020–Juni 2024) von Gesundheitsarbeitern, die zwischen Hybrid- (Infektion + Impfung) und reiner Impfimmunität unterscheidet und Antikörperhaltbarkeit bewertet.</w:t>
      </w:r>
    </w:p>
    <w:p>
      <w:r>
        <w:rPr>
          <w:b/>
        </w:rPr>
        <w:t xml:space="preserve">Ergebnis: </w:t>
      </w:r>
      <w:r>
        <w:t>142 Personen mit Längsdaten (1180 Tage Nachverfolgung): 66,2% erlebten mindestens eine Durchbruchinfektion, 14,1% zwei. Anti-N-Antikörper sanken nach Infektion 2,3-fach zwischen Monat 3 und 6; Seropositiv-Rate fiel von 82% auf 40,4% (Median bis Seronegatitivät: 179 Tage). Hybridimmunität mit zwei Dosen hatte Anti-S-IgG und sVNT-Titer vergleichbar mit drei reinen Impfungen. Dritte Dosis verstärkte Anti-S-Persistenz signifikant nach 9 Monaten.</w:t>
      </w:r>
    </w:p>
    <w:p>
      <w:r>
        <w:rPr>
          <w:b/>
          <w:sz w:val="19"/>
        </w:rPr>
        <w:t xml:space="preserve">Übertragbarkeit: </w:t>
      </w:r>
      <w:r>
        <w:rPr>
          <w:sz w:val="19"/>
        </w:rPr>
        <w:t>Deutschland, vergleichbare Gesundheitssettings, aber COVID-Spezifik.</w:t>
      </w:r>
    </w:p>
    <w:p>
      <w:r>
        <w:rPr>
          <w:color w:val="5A7D3A"/>
          <w:sz w:val="18"/>
        </w:rPr>
        <w:t>https://pubmed.ncbi.nlm.nih.gov/42797871/</w:t>
      </w:r>
    </w:p>
    <w:p>
      <w:pPr>
        <w:pStyle w:val="Heading2"/>
      </w:pPr>
      <w:r>
        <w:t>Pneumokokkenimpfstoffe (PCV15/PCV20) gegen PCV13 im UK-Impfplan: Studienprotokoll</w:t>
      </w:r>
    </w:p>
    <w:p>
      <w:r>
        <w:rPr>
          <w:i/>
          <w:color w:val="666666"/>
          <w:sz w:val="18"/>
        </w:rPr>
        <w:t>Aslam R et al.  ·  BMJ Open  ·  22.09.2026  ·  PMID 42772879</w:t>
      </w:r>
    </w:p>
    <w:p>
      <w:r>
        <w:t>Randomisierte Studie zur Nicht-Unterlegenheit von PCV15 und PCV20 gegenüber PCV13 bei 600 Säuglingen im britischen 1+1- und 2+1-Impfschema.</w:t>
      </w:r>
    </w:p>
    <w:p>
      <w:r>
        <w:rPr>
          <w:b/>
        </w:rPr>
        <w:t xml:space="preserve">Ergebnis: </w:t>
      </w:r>
      <w:r>
        <w:t>Studienprotokoll ohne Ergebnisse; primärer Endpunkt ist Nicht-Unterlegenheit der PCV13-Serotpyen-spezifischen Antikörperresponses nach PCV15/PCV20 vs. PCV13. Sekundär werden Trägerschaft und Schleimhaut-IgG gemessen. Rekrutierung abgeschlossen (600 Patienten randomisiert).</w:t>
      </w:r>
    </w:p>
    <w:p>
      <w:r>
        <w:rPr>
          <w:b/>
          <w:sz w:val="19"/>
        </w:rPr>
        <w:t xml:space="preserve">Übertragbarkeit: </w:t>
      </w:r>
      <w:r>
        <w:rPr>
          <w:sz w:val="19"/>
        </w:rPr>
        <w:t>UK-Impfplan, europäisches Gesundheitssystem, vergleichbare Versorgungsstruktur.</w:t>
      </w:r>
    </w:p>
    <w:p>
      <w:r>
        <w:rPr>
          <w:color w:val="5A7D3A"/>
          <w:sz w:val="18"/>
        </w:rPr>
        <w:t>https://pubmed.ncbi.nlm.nih.gov/42772879/</w:t>
      </w:r>
    </w:p>
    <w:p>
      <w:pPr>
        <w:pStyle w:val="Heading2"/>
      </w:pPr>
      <w:r>
        <w:t>Adipositas schwächt Antikörperantwort nach Grippeimpfung: deutsche Explorationsstudie</w:t>
      </w:r>
    </w:p>
    <w:p>
      <w:r>
        <w:rPr>
          <w:i/>
          <w:color w:val="666666"/>
          <w:sz w:val="18"/>
        </w:rPr>
        <w:t>Böll S et al.  ·  BMC Immunol  ·  10.09.2026  ·  PMID 42760530</w:t>
      </w:r>
    </w:p>
    <w:p>
      <w:r>
        <w:t>Deutsche Kohortenstudie untersucht, ob Adipositas die humorale und zelluläre Immunantwort nach Influenzaimpfung beeinträchtigt.</w:t>
      </w:r>
    </w:p>
    <w:p>
      <w:r>
        <w:rPr>
          <w:b/>
        </w:rPr>
        <w:t xml:space="preserve">Ergebnis: </w:t>
      </w:r>
      <w:r>
        <w:t>Kleine Stichprobe (n=25: 18 normalgewichtig, 7 adipös) über 9 Monate. Nach Impfung stiegen Antikörpertiter in beiden Gruppen an und blieben erhöht. Bei normalgewichtigen Personen unterschieden sich alle vier Antikörper signifikant über die Besuche; bei adipösen Personen nur zwei. Adipöse zeigten abnehmende Treg-Anteile (nicht signifikant) und keine klaren Gruppenunterschiede in T-Zell-Zahl. Autoren betonen, dass die Stichprobengröße explorativ ist; größere Studien sind notwendig.</w:t>
      </w:r>
    </w:p>
    <w:p>
      <w:r>
        <w:rPr>
          <w:b/>
          <w:sz w:val="19"/>
        </w:rPr>
        <w:t xml:space="preserve">Übertragbarkeit: </w:t>
      </w:r>
      <w:r>
        <w:rPr>
          <w:sz w:val="19"/>
        </w:rPr>
        <w:t>Deutsche Klinikdaten, aber kleine Stichprobe – Ergebnisse sind vorläufig.</w:t>
      </w:r>
    </w:p>
    <w:p>
      <w:r>
        <w:rPr>
          <w:color w:val="5A7D3A"/>
          <w:sz w:val="18"/>
        </w:rPr>
        <w:t>https://pubmed.ncbi.nlm.nih.gov/42760530/</w:t>
      </w:r>
    </w:p>
    <w:p>
      <w:pPr>
        <w:pStyle w:val="Heading1"/>
      </w:pPr>
      <w:r>
        <w:t>Aufgenommen am 30.09.2026</w:t>
      </w:r>
    </w:p>
    <w:p>
      <w:pPr>
        <w:pStyle w:val="Heading2"/>
      </w:pPr>
      <w:r>
        <w:t>Psychologische Treiber der Impfskepsis gegen HPV in Polen prägen Kampagnen</w:t>
      </w:r>
    </w:p>
    <w:p>
      <w:r>
        <w:rPr>
          <w:i/>
          <w:color w:val="666666"/>
          <w:sz w:val="18"/>
        </w:rPr>
        <w:t>Siebielec J et al.  ·  Front Public Health  ·  14.09.2026  ·  PMID 42807115</w:t>
      </w:r>
    </w:p>
    <w:p>
      <w:r>
        <w:t>Qualitative Analyse von 4.440 Facebook-Einträgen zum HPV-Impfen zwischen Oktober 2020 und Oktober 2023 unter polnischen Sprechern mit Kodierung nach dem 5C-Modell (Confidence, Complacency, Constraints, Calculation, Collective responsibility).</w:t>
      </w:r>
    </w:p>
    <w:p>
      <w:r>
        <w:rPr>
          <w:b/>
        </w:rPr>
        <w:t xml:space="preserve">Ergebnis: </w:t>
      </w:r>
      <w:r>
        <w:t>51 % aller Einträge erschienen 2023 (Programmstart). 42 % ließen sich Kategorien zuordnen; Calculation (60 %) und Confidence (47 %) am häufigsten, in 13 % beide. Psychologische Faktoren: extensive Informationssuche, Verschwörungstheorie-Anfälligkeit, Vertrauensfragen zu Impfstoff und Behörden. Facebook-Kampagnen sollten diverse psychologische Profile ansprechen und zuverlässige Information verständlich darstellen.</w:t>
      </w:r>
    </w:p>
    <w:p>
      <w:r>
        <w:rPr>
          <w:b/>
          <w:sz w:val="19"/>
        </w:rPr>
        <w:t xml:space="preserve">Übertragbarkeit: </w:t>
      </w:r>
      <w:r>
        <w:rPr>
          <w:sz w:val="19"/>
        </w:rPr>
        <w:t>Qualitative Erkenntnis aus Europa (Polen), übertragbar für deutschsprachige Impf­kommunikation.</w:t>
      </w:r>
    </w:p>
    <w:p>
      <w:r>
        <w:rPr>
          <w:color w:val="5A7D3A"/>
          <w:sz w:val="18"/>
        </w:rPr>
        <w:t>https://pubmed.ncbi.nlm.nih.gov/42807115/</w:t>
      </w:r>
    </w:p>
    <w:p>
      <w:pPr>
        <w:pStyle w:val="Heading2"/>
      </w:pPr>
      <w:r>
        <w:t>BCG-Impfung senkt Tuberkulose-Risiko bei bangladeschischen Kindern um 57 %</w:t>
      </w:r>
    </w:p>
    <w:p>
      <w:r>
        <w:rPr>
          <w:i/>
          <w:color w:val="666666"/>
          <w:sz w:val="18"/>
        </w:rPr>
        <w:t>Rahman T et al.  ·  BMC Infect Dis  ·  27.07.2026  ·  PMID 42806320</w:t>
      </w:r>
    </w:p>
    <w:p>
      <w:r>
        <w:t>Gemeindebasierte Fall-Kontroll-Studie bei 207 TB-Fällen und 207 Kontrollen (2–14 Jahre) in Moulavibazar, Bangladesch, Januar–April 2023 mit multivariater logistischer Regression.</w:t>
      </w:r>
    </w:p>
    <w:p>
      <w:r>
        <w:rPr>
          <w:b/>
        </w:rPr>
        <w:t xml:space="preserve">Ergebnis: </w:t>
      </w:r>
      <w:r>
        <w:t>BCG-Impfung: aOR 0,43 (95%-KI 0,20–0,93), Schutz 57 %. Zusätzliche Risikofaktoren: Adoleszenz (11–14 vs. 2–5 Jahre: aOR 2,53), männliches Geschlecht (aOR 1,79), TB in Familie &lt;6 Monate (aOR 1,92). Random-Forest-Modell: Accuracy 71,6 %, AUC 0,74. Impfung bleibt zentral für Kindertuberkulose-Kontrolle.</w:t>
      </w:r>
    </w:p>
    <w:p>
      <w:r>
        <w:rPr>
          <w:b/>
          <w:sz w:val="19"/>
        </w:rPr>
        <w:t xml:space="preserve">Übertragbarkeit: </w:t>
      </w:r>
      <w:r>
        <w:rPr>
          <w:sz w:val="19"/>
        </w:rPr>
        <w:t>Südasien mit epidemiologischen Daten, aber hohe Transmissionslage dort anders als Deutschland.</w:t>
      </w:r>
    </w:p>
    <w:p>
      <w:r>
        <w:rPr>
          <w:color w:val="5A7D3A"/>
          <w:sz w:val="18"/>
        </w:rPr>
        <w:t>https://pubmed.ncbi.nlm.nih.gov/42806320/</w:t>
      </w:r>
    </w:p>
    <w:p>
      <w:pPr>
        <w:pStyle w:val="Heading2"/>
      </w:pPr>
      <w:r>
        <w:t>Masernherd-Schwelle in Florida durch Impfquoten unterschritten – Risiko rapider Ausbrüche</w:t>
      </w:r>
    </w:p>
    <w:p>
      <w:r>
        <w:rPr>
          <w:i/>
          <w:color w:val="666666"/>
          <w:sz w:val="18"/>
        </w:rPr>
        <w:t>Oveson A et al.  ·  Proc Natl Acad Sci U S A  ·  06.10.2026  ·  PMID 42804627</w:t>
      </w:r>
    </w:p>
    <w:p>
      <w:r>
        <w:t>Altersstrukturiertes Masern-Transmissionsmodell für Florida kalibriert mit Daten des Gaines-County-Ausbruchs 2025, untersucht Effekt von Aufhebung schulischer Impfpflicht.</w:t>
      </w:r>
    </w:p>
    <w:p>
      <w:r>
        <w:rPr>
          <w:b/>
        </w:rPr>
        <w:t xml:space="preserve">Ergebnis: </w:t>
      </w:r>
      <w:r>
        <w:t>Aktuelle Masern-Mumps-Röteln-Quote in Florida unterschreitet bereits die Herdenimmunitätsschwelle. Modellierte Quoten­rückgänge nach Aufhebung der Schulanforderung projizieren Ausbruchsgrößen wie vor Impfära, mit signifikanter Kindersterblichkeit in fünf Jahren. Sensitivitätsanalyse: kleine Quoten­rückgänge führen zu disproportional großen Ausbruchszunahmen, besonders bei starker Mischung unter Kindern.</w:t>
      </w:r>
    </w:p>
    <w:p>
      <w:r>
        <w:rPr>
          <w:b/>
          <w:sz w:val="19"/>
        </w:rPr>
        <w:t xml:space="preserve">Übertragbarkeit: </w:t>
      </w:r>
      <w:r>
        <w:rPr>
          <w:sz w:val="19"/>
        </w:rPr>
        <w:t>USA, epidemiologisches Modell – Mechanismus übertragbar auf deutsche Risiko­szenarios.</w:t>
      </w:r>
    </w:p>
    <w:p>
      <w:r>
        <w:rPr>
          <w:color w:val="5A7D3A"/>
          <w:sz w:val="18"/>
        </w:rPr>
        <w:t>https://pubmed.ncbi.nlm.nih.gov/42804627/</w:t>
      </w:r>
    </w:p>
    <w:p>
      <w:pPr>
        <w:pStyle w:val="Heading2"/>
      </w:pPr>
      <w:r>
        <w:t>RSV-Hospitalisierungen bei Kindern sinken nach gezieltem Nirsevimab-Einsatz</w:t>
      </w:r>
    </w:p>
    <w:p>
      <w:r>
        <w:rPr>
          <w:i/>
          <w:color w:val="666666"/>
          <w:sz w:val="18"/>
        </w:rPr>
        <w:t>Attaianese F et al.  ·  Int J Infect Dis  ·  27.08.2026  ·  PMID 42660409</w:t>
      </w:r>
    </w:p>
    <w:p>
      <w:r>
        <w:t>Italienische Studie zu RSV-Infektionen bei Kindern &lt;18 Jahren über sechs Saisons mit Analyse der Auswirkung regionaler Nirsevimab-Impfstrategien zwischen Januar 2019 und März 2025.</w:t>
      </w:r>
    </w:p>
    <w:p>
      <w:r>
        <w:rPr>
          <w:b/>
        </w:rPr>
        <w:t xml:space="preserve">Ergebnis: </w:t>
      </w:r>
      <w:r>
        <w:t>In der Saison 2024–2025 sanken RSV-Hospitalisierungen um insgesamt 43,6 %. Mit breiten Zugangs­kriterien und frühem Einsatz (Gruppe B) betrug das Reduktionsverhältnis 0,28 (95%-KI 0,22–0,36), mit einzelnem Zentrum (Gruppe F) 0,24. Beschränktere Strategien (Gruppen C–E) zeigten moderatere Rückgänge (Quoten 0,58–0,70). Die Studie bestätigt zeitliche Assoziation zwischen Rollout und verringerter Hospitalisierung.</w:t>
      </w:r>
    </w:p>
    <w:p>
      <w:r>
        <w:rPr>
          <w:b/>
          <w:sz w:val="19"/>
        </w:rPr>
        <w:t xml:space="preserve">Übertragbarkeit: </w:t>
      </w:r>
      <w:r>
        <w:rPr>
          <w:sz w:val="19"/>
        </w:rPr>
        <w:t>Italien mit vergleichbaren Krankenhausdaten und Meldesystemen.</w:t>
      </w:r>
    </w:p>
    <w:p>
      <w:r>
        <w:rPr>
          <w:color w:val="5A7D3A"/>
          <w:sz w:val="18"/>
        </w:rPr>
        <w:t>https://pubmed.ncbi.nlm.nih.gov/42660409/</w:t>
      </w:r>
    </w:p>
    <w:p>
      <w:pPr>
        <w:pStyle w:val="Heading2"/>
      </w:pPr>
      <w:r>
        <w:t>Nirsevimab und RSV-Mutterimpfung schützen Säuglinge hocheffektiv</w:t>
      </w:r>
    </w:p>
    <w:p>
      <w:r>
        <w:rPr>
          <w:i/>
          <w:color w:val="666666"/>
          <w:sz w:val="18"/>
        </w:rPr>
        <w:t>Treston B et al.  ·  Int J Infect Dis  ·  06.08.2026  ·  PMID 42562126</w:t>
      </w:r>
    </w:p>
    <w:p>
      <w:r>
        <w:t>Test-negativ Fall-Kontroll-Studie über zwei RSV-Schutzstrategien auf der irischen Insel in der Saison 2024/25 bei Säuglingen &lt;6 Monaten mit akuter Atemwegserkrankung.</w:t>
      </w:r>
    </w:p>
    <w:p>
      <w:r>
        <w:rPr>
          <w:b/>
        </w:rPr>
        <w:t xml:space="preserve">Ergebnis: </w:t>
      </w:r>
      <w:r>
        <w:t>Nirsevimab-Effektivität gegen Hospitalisierung 90,7 % (95%-KI 80,7–95,8) in der Republik Irland bei 83 % Abdeckung; RSVpreF-Effektivität 83,9 % (95%-KI 41,5–96,6) in Nordirland bei 30 % Abdeckung. Notfall­ambulanz-Bronchiolitis-Besuche sanken um 52 % (ROI) und 37 % (NI). Unterschiedliche Abdeckung führte zu unterschiedlichem Bevölkerungseffekt.</w:t>
      </w:r>
    </w:p>
    <w:p>
      <w:r>
        <w:rPr>
          <w:b/>
          <w:sz w:val="19"/>
        </w:rPr>
        <w:t xml:space="preserve">Übertragbarkeit: </w:t>
      </w:r>
      <w:r>
        <w:rPr>
          <w:sz w:val="19"/>
        </w:rPr>
        <w:t>UK-System mit Notfalldaten, aber Strategie-Unterschiede zeigen Implementierungs­priorität.</w:t>
      </w:r>
    </w:p>
    <w:p>
      <w:r>
        <w:rPr>
          <w:color w:val="5A7D3A"/>
          <w:sz w:val="18"/>
        </w:rPr>
        <w:t>https://pubmed.ncbi.nlm.nih.gov/42562126/</w:t>
      </w:r>
    </w:p>
    <w:p>
      <w:pPr>
        <w:pStyle w:val="Heading2"/>
      </w:pPr>
      <w:r>
        <w:t>Keine erhöhte Notfall-Hospitalisierungsrate durch Impfung bei immunologischen Erkrankungen</w:t>
      </w:r>
    </w:p>
    <w:p>
      <w:r>
        <w:rPr>
          <w:i/>
          <w:color w:val="666666"/>
          <w:sz w:val="18"/>
        </w:rPr>
        <w:t>Meiszl K et al.  ·  Int J Infect Dis  ·  25.07.2026  ·  PMID 42501818</w:t>
      </w:r>
    </w:p>
    <w:p>
      <w:r>
        <w:t>Deutsche Register-Kohortenstudie mit sechs Kausalziel-Emulatoren zu Pneumokokken- und Influenza-Impfung bei 432.768 Patienten mit Multipler Sklerose, entzündlich-rheumatischen oder Darmerkrankungen zwischen 2013 und 2019.</w:t>
      </w:r>
    </w:p>
    <w:p>
      <w:r>
        <w:rPr>
          <w:b/>
        </w:rPr>
        <w:t xml:space="preserve">Ergebnis: </w:t>
      </w:r>
      <w:r>
        <w:t>Pneumokokken: HR 0,91 (MS), 0,60 (rheumatisch), 0,89 (IBD). Influenza: HR 0,94 (MS), 0,79 (rheumatisch), 0,83 (IBD) – keine erhöhte Verschlechterung, teilweise Risikoreduktion. Modell-Kalibrierung adequate (Hosmer-Lemeshow-Test). Befund stützt Sicherheit der Immunisierung in diesen Populationen.</w:t>
      </w:r>
    </w:p>
    <w:p>
      <w:r>
        <w:rPr>
          <w:b/>
          <w:sz w:val="19"/>
        </w:rPr>
        <w:t xml:space="preserve">Übertragbarkeit: </w:t>
      </w:r>
      <w:r>
        <w:rPr>
          <w:sz w:val="19"/>
        </w:rPr>
        <w:t>Deutsche Kassenabrechnung (BARMER), direkter Bevölkerungsbezug.</w:t>
      </w:r>
    </w:p>
    <w:p>
      <w:r>
        <w:rPr>
          <w:color w:val="5A7D3A"/>
          <w:sz w:val="18"/>
        </w:rPr>
        <w:t>https://pubmed.ncbi.nlm.nih.gov/42501818/</w:t>
      </w:r>
    </w:p>
    <w:p>
      <w:pPr>
        <w:pStyle w:val="Heading1"/>
      </w:pPr>
      <w:r>
        <w:t>Aufgenommen am 29.09.2026</w:t>
      </w:r>
    </w:p>
    <w:p>
      <w:pPr>
        <w:pStyle w:val="Heading2"/>
      </w:pPr>
      <w:r>
        <w:t>Wirksamkeit der Herpes-zoster-Impfung bei entzündlichen Darmerkrankungen</w:t>
      </w:r>
    </w:p>
    <w:p>
      <w:r>
        <w:rPr>
          <w:i/>
          <w:color w:val="666666"/>
          <w:sz w:val="18"/>
        </w:rPr>
        <w:t>Humayun M et al.  ·  Hum Vaccin Immunother  ·  28.09.2026  ·  PMID 42804491</w:t>
      </w:r>
    </w:p>
    <w:p>
      <w:r>
        <w:t>Matched-cohort und selbstkontrollierte Fall-Serie bei 8.485 IBD-Patienten ≥18 Jahren in Kaiser-Permanente Southern California (2018–2024) zur Effektivität und Sicherheit der rekombinanten Zoster-Impfung (RZV).</w:t>
      </w:r>
    </w:p>
    <w:p>
      <w:r>
        <w:rPr>
          <w:b/>
        </w:rPr>
        <w:t xml:space="preserve">Ergebnis: </w:t>
      </w:r>
      <w:r>
        <w:t>VE gegen Herpes zoster nach 2 RZV-Dosen: 65,4% (95%-KI 40,6–79,9%); in Colitis-Patienten 62,7%, in Morbus-Crohn-Patienten 70,2%. IBD-Schübe im 30-Tage-Fenster nach Impfung (RR 0,80) nicht erhöht.</w:t>
      </w:r>
    </w:p>
    <w:p>
      <w:r>
        <w:rPr>
          <w:b/>
          <w:sz w:val="19"/>
        </w:rPr>
        <w:t xml:space="preserve">Übertragbarkeit: </w:t>
      </w:r>
      <w:r>
        <w:rPr>
          <w:sz w:val="19"/>
        </w:rPr>
        <w:t>USA-Krankenversicherungsdaten, ähnliche Ausgangslage, aber starke Fragmentation möglich – für deutsche Versorgung mit Krankenkassen-Daten parallel machbar</w:t>
      </w:r>
    </w:p>
    <w:p>
      <w:r>
        <w:rPr>
          <w:color w:val="5A7D3A"/>
          <w:sz w:val="18"/>
        </w:rPr>
        <w:t>https://pubmed.ncbi.nlm.nih.gov/42804491/</w:t>
      </w:r>
    </w:p>
    <w:p>
      <w:pPr>
        <w:pStyle w:val="Heading2"/>
      </w:pPr>
      <w:r>
        <w:t>Schutzwirkung Mumps-haltiger Impfstoffe bei Kindern unter 15 Jahren in China</w:t>
      </w:r>
    </w:p>
    <w:p>
      <w:r>
        <w:rPr>
          <w:i/>
          <w:color w:val="666666"/>
          <w:sz w:val="18"/>
        </w:rPr>
        <w:t>Liu H et al.  ·  PLoS One  ·  28.09.2026  ·  PMID 42804452</w:t>
      </w:r>
    </w:p>
    <w:p>
      <w:r>
        <w:t>Matched-case-control-Studie bei 1.405 klinisch oder laborbestätigten Mumps-Fällen und 2.810 Kontrollen (2021–2025) in Taizhou, China, zur Effektivität Mumps-haltiger Impfstoffe nach Schulalter und Impfintervallen.</w:t>
      </w:r>
    </w:p>
    <w:p>
      <w:r>
        <w:rPr>
          <w:b/>
        </w:rPr>
        <w:t xml:space="preserve">Ergebnis: </w:t>
      </w:r>
      <w:r>
        <w:t>Gesamtimpfeffektivität nach ≥1 Dosis: 75,7% (95%-KI 64,8–83,2%). VE stieg mit Alter: 3–5 Jahre 55,2%, 6–11 Jahre 86,7%, ≥12 Jahre 92,9%. Einfach-Dosis-Regime: VE 80,4%; Zwei-Dosis-Periode zeigt VE nicht signifikant (durch hohe Coverage und wenige Ungeimpfte verzerrt).</w:t>
      </w:r>
    </w:p>
    <w:p>
      <w:r>
        <w:rPr>
          <w:b/>
          <w:sz w:val="19"/>
        </w:rPr>
        <w:t xml:space="preserve">Übertragbarkeit: </w:t>
      </w:r>
      <w:r>
        <w:rPr>
          <w:sz w:val="19"/>
        </w:rPr>
        <w:t>China, aber Impfregister-Daten und standardisierte Falldef. übertragbar – Frage zur optimalen Dosierung international relevant</w:t>
      </w:r>
    </w:p>
    <w:p>
      <w:r>
        <w:rPr>
          <w:color w:val="5A7D3A"/>
          <w:sz w:val="18"/>
        </w:rPr>
        <w:t>https://pubmed.ncbi.nlm.nih.gov/42804452/</w:t>
      </w:r>
    </w:p>
    <w:p>
      <w:pPr>
        <w:pStyle w:val="Heading2"/>
      </w:pPr>
      <w:r>
        <w:t>Impfquoten bei HPV-Geimpften sinken bei niedriger Schulbildung und Einkommen der Eltern</w:t>
      </w:r>
    </w:p>
    <w:p>
      <w:r>
        <w:rPr>
          <w:i/>
          <w:color w:val="666666"/>
          <w:sz w:val="18"/>
        </w:rPr>
        <w:t>Appelqvist E et al.  ·  Vaccine  ·  24.10.2026  ·  PMID 42727401</w:t>
      </w:r>
    </w:p>
    <w:p>
      <w:r>
        <w:t>Schwedische Registerstudie mit 492.997 Mädchen (Jahrgänge 2002–2010) zu Faktoren der HPV-Impfquote im Schulprogramm und Catch-up-Impfungen bis Alter 19 Jahren.</w:t>
      </w:r>
    </w:p>
    <w:p>
      <w:r>
        <w:rPr>
          <w:b/>
        </w:rPr>
        <w:t xml:space="preserve">Ergebnis: </w:t>
      </w:r>
      <w:r>
        <w:t>Eltern mit niedrigem Bildungsabschluss (OR 1,3) oder niedrigem Einkommen (OR 1,9) hatten geringere Impfquoten; im Ausland geborene Mädchen oder mit im Ausland geborenen Eltern zeigten OR 1,7. Die meisten ungeimpften Mädchen erhielten später keine Catch-up-Impfung, unabhängig von Schuljahr.</w:t>
      </w:r>
    </w:p>
    <w:p>
      <w:r>
        <w:rPr>
          <w:b/>
          <w:sz w:val="19"/>
        </w:rPr>
        <w:t xml:space="preserve">Übertragbarkeit: </w:t>
      </w:r>
      <w:r>
        <w:rPr>
          <w:sz w:val="19"/>
        </w:rPr>
        <w:t>Schweden, Impfregister und Schulimpfprogramm, Hinweis auf Ungleichheitsachsen auch in deutschen Bundesländern ohne Register</w:t>
      </w:r>
    </w:p>
    <w:p>
      <w:r>
        <w:rPr>
          <w:color w:val="5A7D3A"/>
          <w:sz w:val="18"/>
        </w:rPr>
        <w:t>https://pubmed.ncbi.nlm.nih.gov/42727401/</w:t>
      </w:r>
    </w:p>
    <w:p>
      <w:pPr>
        <w:pStyle w:val="Heading2"/>
      </w:pPr>
      <w:r>
        <w:t>Wirksamkeit und Waning der vierten COVID-19-mRNA-Impfdosis gegen Hospitalisierung</w:t>
      </w:r>
    </w:p>
    <w:p>
      <w:r>
        <w:rPr>
          <w:i/>
          <w:color w:val="666666"/>
          <w:sz w:val="18"/>
        </w:rPr>
        <w:t>Li X et al.  ·  J Infect  ·  05.08.2026  ·  PMID 42556476</w:t>
      </w:r>
    </w:p>
    <w:p>
      <w:r>
        <w:t>Multizentrische Kohortenstudie aus UK, Niederlanden und Spanien (DARWIN EU) an 975.496 geimpften Personen ab 12 Jahren zur Effektivität der vierten Dosis gegen SARS-CoV-2-bedingte Hospitalisierung und Tod.</w:t>
      </w:r>
    </w:p>
    <w:p>
      <w:r>
        <w:rPr>
          <w:b/>
        </w:rPr>
        <w:t xml:space="preserve">Ergebnis: </w:t>
      </w:r>
      <w:r>
        <w:t>VE vierte vs. dritte Dosis gegen Tod 30% (95%-KI 9–46); gegen Hospitalisierung 26% (Spanien) bis 46% (Niederlande). Waning begann bei 4–8 Wochen. Periodische Auffrischungen wurden empfohlen.</w:t>
      </w:r>
    </w:p>
    <w:p>
      <w:r>
        <w:rPr>
          <w:b/>
          <w:sz w:val="19"/>
        </w:rPr>
        <w:t xml:space="preserve">Übertragbarkeit: </w:t>
      </w:r>
      <w:r>
        <w:rPr>
          <w:sz w:val="19"/>
        </w:rPr>
        <w:t>Niederlande, Spanien, UK mit kompletten elektronischen Gesundheitsaufzeichnungen, übertragbar auf deutsche Versorgung</w:t>
      </w:r>
    </w:p>
    <w:p>
      <w:r>
        <w:rPr>
          <w:color w:val="5A7D3A"/>
          <w:sz w:val="18"/>
        </w:rPr>
        <w:t>https://pubmed.ncbi.nlm.nih.gov/42556476/</w:t>
      </w:r>
    </w:p>
    <w:p>
      <w:pPr>
        <w:pStyle w:val="Heading2"/>
      </w:pPr>
      <w:r>
        <w:t>Influenza-Impfquote und Impfskepsis bei Patienten mit Lebererkrankung in Griechenland</w:t>
      </w:r>
    </w:p>
    <w:p>
      <w:r>
        <w:rPr>
          <w:i/>
          <w:color w:val="666666"/>
          <w:sz w:val="18"/>
        </w:rPr>
        <w:t>Dafnou P et al.  ·  Gastroenterol Nurs  ·  21.07.2026  ·  PMID 42484114</w:t>
      </w:r>
    </w:p>
    <w:p>
      <w:r>
        <w:t>Querschnittstudie bei 152 Patienten mit Lebererkrankung in Griechenland (2025) zur Influenza-Impfquote, Einstellungen und Einflussfaktoren.</w:t>
      </w:r>
    </w:p>
    <w:p>
      <w:r>
        <w:rPr>
          <w:b/>
        </w:rPr>
        <w:t xml:space="preserve">Ergebnis: </w:t>
      </w:r>
      <w:r>
        <w:t>58,6% erhielten Influenza-Impfung. Prädiktoren der Impfung: höheres Alter (OR 1,07), vorangegangene Pneumokokken-Impfung (OR 17,98), COVID-19-Impfung (OR 5,77). Etwa die Hälfte ließen sich jährlich impfen. Kliniker als vertrauenswürdige Informanten könnten Quote heben.</w:t>
      </w:r>
    </w:p>
    <w:p>
      <w:r>
        <w:rPr>
          <w:b/>
          <w:sz w:val="19"/>
        </w:rPr>
        <w:t xml:space="preserve">Übertragbarkeit: </w:t>
      </w:r>
      <w:r>
        <w:rPr>
          <w:sz w:val="19"/>
        </w:rPr>
        <w:t>Griechenland, ähnliche Gesundheitssysteme, Fokus auf vulnerable Gruppen und Beratung auch für Deutschland relevant</w:t>
      </w:r>
    </w:p>
    <w:p>
      <w:r>
        <w:rPr>
          <w:color w:val="5A7D3A"/>
          <w:sz w:val="18"/>
        </w:rPr>
        <w:t>https://pubmed.ncbi.nlm.nih.gov/42484114/</w:t>
      </w:r>
    </w:p>
    <w:p>
      <w:pPr>
        <w:pStyle w:val="Heading1"/>
      </w:pPr>
      <w:r>
        <w:t>Aufgenommen am 28.09.2026</w:t>
      </w:r>
    </w:p>
    <w:p>
      <w:pPr>
        <w:pStyle w:val="Heading2"/>
      </w:pPr>
      <w:r>
        <w:t>MMR-Impfung und idiopathische thrombozytopenische Purpura: Risiko nach erster und zweiter Dosis bei englischen Kindern</w:t>
      </w:r>
    </w:p>
    <w:p>
      <w:r>
        <w:rPr>
          <w:i/>
          <w:color w:val="666666"/>
          <w:sz w:val="18"/>
        </w:rPr>
        <w:t>Andrews N et al.  ·  Vaccine  ·  24.10.2026  ·  PMID 42771940</w:t>
      </w:r>
    </w:p>
    <w:p>
      <w:r>
        <w:t>Retrospektive Kohortenstudie anhand von verknüpften Krankenhausdaten zu Blutungskomplikationen nach MMR-Impfung bei 3,9 Millionen Kindern in England 2000-2019.</w:t>
      </w:r>
    </w:p>
    <w:p>
      <w:r>
        <w:rPr>
          <w:b/>
        </w:rPr>
        <w:t xml:space="preserve">Ergebnis: </w:t>
      </w:r>
      <w:r>
        <w:t>Nach erster MMR-Dosis erhöhtes ITP-Risiko (relatives Risiko 2,38; 95%-KI 2,12–2,67), entsprechend 1 Fall pro 42.900 Dosen. Nach zweiter Dosis kein erhöhtes Risiko (RR 0,96; 95%-KI 0,81–1,13). Kinder mit ITP nach Dosis 1 zeigten kein zusätzliches Risiko nach Dosis 2; eine Wiederimpfung ist sicher.</w:t>
      </w:r>
    </w:p>
    <w:p>
      <w:r>
        <w:rPr>
          <w:b/>
          <w:sz w:val="19"/>
        </w:rPr>
        <w:t xml:space="preserve">Übertragbarkeit: </w:t>
      </w:r>
      <w:r>
        <w:rPr>
          <w:sz w:val="19"/>
        </w:rPr>
        <w:t>Englische Klinikdaten, vergleichbare Dokumentationspflichten mit Deutschland.</w:t>
      </w:r>
    </w:p>
    <w:p>
      <w:r>
        <w:rPr>
          <w:color w:val="5A7D3A"/>
          <w:sz w:val="18"/>
        </w:rPr>
        <w:t>https://pubmed.ncbi.nlm.nih.gov/42771940/</w:t>
      </w:r>
    </w:p>
    <w:p>
      <w:pPr>
        <w:pStyle w:val="Heading2"/>
      </w:pPr>
      <w:r>
        <w:t>HPV-Impfquote und Ungleichheit in Süditalien: Sozioökonomische Faktoren und Organisationsbarrieren</w:t>
      </w:r>
    </w:p>
    <w:p>
      <w:r>
        <w:rPr>
          <w:i/>
          <w:color w:val="666666"/>
          <w:sz w:val="18"/>
        </w:rPr>
        <w:t>Mercogliano M et al.  ·  Vaccine  ·  24.10.2026  ·  PMID 42763966</w:t>
      </w:r>
    </w:p>
    <w:p>
      <w:r>
        <w:t>Bevölkerungsbasierte Längsschnittanalyse mit Impfregister-Daten aus Kampanien 2006–2023 zu Einflussfaktoren auf HPV-Impfquoten bei Mädchen und Jungen.</w:t>
      </w:r>
    </w:p>
    <w:p>
      <w:r>
        <w:rPr>
          <w:b/>
        </w:rPr>
        <w:t xml:space="preserve">Ergebnis: </w:t>
      </w:r>
      <w:r>
        <w:t>Ein-Dosis-Quote Mädchen max. 68,5%, Jungen max. 41,1%. Vollständige Immunisierung Mädchen 62,2%, Jungen 29,9%. Sozioökonomische Deprivation senkte Impfquoten bei Jungen (Koeffizient −1,56 für Eine-Dosis-Quote), nicht aber bei routiner Impfung von Mädchen. Nachholimpfung stark von Deprivation betroffen. Impfdichtevariation über Bezirke hinweg unabhängig von Zentrenanzahl.</w:t>
      </w:r>
    </w:p>
    <w:p>
      <w:r>
        <w:rPr>
          <w:b/>
          <w:sz w:val="19"/>
        </w:rPr>
        <w:t xml:space="preserve">Übertragbarkeit: </w:t>
      </w:r>
      <w:r>
        <w:rPr>
          <w:sz w:val="19"/>
        </w:rPr>
        <w:t>Italien, vergleichbares Versicherungssystem und Impfprogramm mit Deutschland.</w:t>
      </w:r>
    </w:p>
    <w:p>
      <w:r>
        <w:rPr>
          <w:color w:val="5A7D3A"/>
          <w:sz w:val="18"/>
        </w:rPr>
        <w:t>https://pubmed.ncbi.nlm.nih.gov/42763966/</w:t>
      </w:r>
    </w:p>
    <w:p>
      <w:pPr>
        <w:pStyle w:val="Heading2"/>
      </w:pPr>
      <w:r>
        <w:t>Impfplan-Adhärenz in Deutschland: Komplexität im 1. Lebensjahr senkt Quote</w:t>
      </w:r>
    </w:p>
    <w:p>
      <w:r>
        <w:rPr>
          <w:i/>
          <w:color w:val="666666"/>
          <w:sz w:val="18"/>
        </w:rPr>
        <w:t>Arede M et al.  ·  Vaccine  ·  24.10.2026  ·  PMID 42759250</w:t>
      </w:r>
    </w:p>
    <w:p>
      <w:r>
        <w:t>Querschnitts- und Längsschnittanalyse aus KUNO-Kids-Studie (Bayern 2015–2020) zur Erreichung und zeitgerechten Durchführung des deutschen Impfkalenders bei 2.044 Kindern.</w:t>
      </w:r>
    </w:p>
    <w:p>
      <w:r>
        <w:rPr>
          <w:b/>
        </w:rPr>
        <w:t xml:space="preserve">Ergebnis: </w:t>
      </w:r>
      <w:r>
        <w:t>Bei 24 Monaten: Hexavalent-Impfquoten 71–76%, MMR 86–87%; keine Vakzine erreichte 90–95%-Ziel. Vollständige Kalender-Adhärenz bei 50–55% mit 2 Jahren, 59–76% mit 4 Jahren. Hexavalent-Quote bei 4 Jahren nur 84%, Nachholimpfung geringer als für MMR. Komplexe Mehrfach-Dosis-Schemata im 1. Lebensjahr assoziiert mit verzögerter Adhärenz.</w:t>
      </w:r>
    </w:p>
    <w:p>
      <w:r>
        <w:rPr>
          <w:b/>
          <w:sz w:val="19"/>
        </w:rPr>
        <w:t xml:space="preserve">Übertragbarkeit: </w:t>
      </w:r>
      <w:r>
        <w:rPr>
          <w:sz w:val="19"/>
        </w:rPr>
        <w:t>Deutsche Daten direkt, Versorgungsforschung im eigenen Gesundheitssystem.</w:t>
      </w:r>
    </w:p>
    <w:p>
      <w:r>
        <w:rPr>
          <w:color w:val="5A7D3A"/>
          <w:sz w:val="18"/>
        </w:rPr>
        <w:t>https://pubmed.ncbi.nlm.nih.gov/42759250/</w:t>
      </w:r>
    </w:p>
    <w:p>
      <w:pPr>
        <w:pStyle w:val="Heading2"/>
      </w:pPr>
      <w:r>
        <w:t>Grippe-Impfquoten senken Sterblichkeit älterer Europäer messbar</w:t>
      </w:r>
    </w:p>
    <w:p>
      <w:r>
        <w:rPr>
          <w:i/>
          <w:color w:val="666666"/>
          <w:sz w:val="18"/>
        </w:rPr>
        <w:t>Zhou B et al.  ·  Vaccine  ·  24.10.2026  ·  PMID 42759249</w:t>
      </w:r>
    </w:p>
    <w:p>
      <w:r>
        <w:t>Ökologische Panel-Analyse mit Surveys (SHARE) und GBD-Daten aus 21 EU/EEA-Ländern, Schweiz und Israel (2019/20 und 2021/22) zur Assoziation von Impfquoten mit Mortalität und Morbidität.</w:t>
      </w:r>
    </w:p>
    <w:p>
      <w:r>
        <w:rPr>
          <w:b/>
        </w:rPr>
        <w:t xml:space="preserve">Ergebnis: </w:t>
      </w:r>
      <w:r>
        <w:t>Mittlere Impfquote stieg von 34,5% auf 47,6%, blieb unter 75%-Ziel. Pro 1%-Punkt höhere Impfquote: 14,9 weniger Todesfälle/100.000 Ältere (95%-KI −22,8 bis −7,1), 328,1 weniger Gesamt-DALYs/100.000 (95%-KI −480,4 bis −175,8), 6,3 weniger LRTI-DALYs/100.000. Assoziationen auch für Diabetes-DALYs (−12,1).</w:t>
      </w:r>
    </w:p>
    <w:p>
      <w:r>
        <w:rPr>
          <w:b/>
          <w:sz w:val="19"/>
        </w:rPr>
        <w:t xml:space="preserve">Übertragbarkeit: </w:t>
      </w:r>
      <w:r>
        <w:rPr>
          <w:sz w:val="19"/>
        </w:rPr>
        <w:t>21 europäische Länder, vergleichbare Gesundheitssysteme und Erfassungsmethoden.</w:t>
      </w:r>
    </w:p>
    <w:p>
      <w:r>
        <w:rPr>
          <w:color w:val="5A7D3A"/>
          <w:sz w:val="18"/>
        </w:rPr>
        <w:t>https://pubmed.ncbi.nlm.nih.gov/42759249/</w:t>
      </w:r>
    </w:p>
    <w:p>
      <w:pPr>
        <w:pStyle w:val="Heading2"/>
      </w:pPr>
      <w:r>
        <w:t>Schulische HPV-Impfaufklärung hebt Impfquoten: Was wirkt wirklich?</w:t>
      </w:r>
    </w:p>
    <w:p>
      <w:r>
        <w:rPr>
          <w:i/>
          <w:color w:val="666666"/>
          <w:sz w:val="18"/>
        </w:rPr>
        <w:t>Munoz A et al.  ·  Vaccine  ·  24.10.2026  ·  PMID 42753385</w:t>
      </w:r>
    </w:p>
    <w:p>
      <w:r>
        <w:t>Randomisierte Interventionsstudie mit 2.758 Schülern in 39 französischen Schulen zur Mediation von Effekten zwischen Wissens-, Einstellungs- und Verhaltensänderungen und HPV-Impfakzeptanz.</w:t>
      </w:r>
    </w:p>
    <w:p>
      <w:r>
        <w:rPr>
          <w:b/>
        </w:rPr>
        <w:t xml:space="preserve">Ergebnis: </w:t>
      </w:r>
      <w:r>
        <w:t>Gemeinsame Aufklärung (EMM) erhöhte Impfakzeptanz/Impfabsicht (OR 1,57; 95%-KI 1,02–2,41). Stärkste Mediationswirkungen durch verbesserte Nutzen-Risiko-Einstellung (OR 1,14), Sicherheitswahrnehmung (OR 1,12), Zugänglichkeit (OR 1,11), Peer-Diskussionen (OR 1,11) und Selbsteingeschätztes Wissen (OR 1,10). Haltungsänderungen wichtiger als reine Wissenseerhöhung.</w:t>
      </w:r>
    </w:p>
    <w:p>
      <w:r>
        <w:rPr>
          <w:b/>
          <w:sz w:val="19"/>
        </w:rPr>
        <w:t xml:space="preserve">Übertragbarkeit: </w:t>
      </w:r>
      <w:r>
        <w:rPr>
          <w:sz w:val="19"/>
        </w:rPr>
        <w:t>Frankreich, vergleichbare Schulstrukturen und Impfprogramme.</w:t>
      </w:r>
    </w:p>
    <w:p>
      <w:r>
        <w:rPr>
          <w:color w:val="5A7D3A"/>
          <w:sz w:val="18"/>
        </w:rPr>
        <w:t>https://pubmed.ncbi.nlm.nih.gov/42753385/</w:t>
      </w:r>
    </w:p>
    <w:p>
      <w:pPr>
        <w:pStyle w:val="Heading2"/>
      </w:pPr>
      <w:r>
        <w:t>Pertussis-Impfung in der Schwangerschaft: Einflussfaktoren und Impfskepsis in den Niederlanden</w:t>
      </w:r>
    </w:p>
    <w:p>
      <w:r>
        <w:rPr>
          <w:i/>
          <w:color w:val="666666"/>
          <w:sz w:val="18"/>
        </w:rPr>
        <w:t>van Vreeswijk-van Donselaar L et al.  ·  Vaccine  ·  24.10.2026  ·  PMID 42743752</w:t>
      </w:r>
    </w:p>
    <w:p>
      <w:r>
        <w:t>Retrospektive Kohortenstudie mit 17.513 Müttern aus Jugendgesundheitszentren (Niederlande 2020–März 2025) zu Determinanten der Impfakzeptanz und Gründen für Ablehnung.</w:t>
      </w:r>
    </w:p>
    <w:p>
      <w:r>
        <w:rPr>
          <w:b/>
        </w:rPr>
        <w:t xml:space="preserve">Ergebnis: </w:t>
      </w:r>
      <w:r>
        <w:t>Höhere Impfquote mit älterem Alter (OR 1,78–2,70), Beschäftigung (OR 2,55). Niedrigere Quote bei geringerer Bildung (OR 0,41), Mehrparität (OR 0,61), Geburt außerhalb NL. Mütter ≥41 Jahre lehnten öfter wegen Graviditätsbedenken ab (OR 2,61). Nicht-niederländische Muttersprache führte zu fehlender Info von Fachleuten (OR 2,19–2,96). Impfskepsis verteilt sich über alle soziodemografischen Gruppen.</w:t>
      </w:r>
    </w:p>
    <w:p>
      <w:r>
        <w:rPr>
          <w:b/>
          <w:sz w:val="19"/>
        </w:rPr>
        <w:t xml:space="preserve">Übertragbarkeit: </w:t>
      </w:r>
      <w:r>
        <w:rPr>
          <w:sz w:val="19"/>
        </w:rPr>
        <w:t>Niederlande, ähnliches Versicherungssystem und Impfprogramm.</w:t>
      </w:r>
    </w:p>
    <w:p>
      <w:r>
        <w:rPr>
          <w:color w:val="5A7D3A"/>
          <w:sz w:val="18"/>
        </w:rPr>
        <w:t>https://pubmed.ncbi.nlm.nih.gov/42743752/</w:t>
      </w:r>
    </w:p>
    <w:p>
      <w:pPr>
        <w:pStyle w:val="Heading2"/>
      </w:pPr>
      <w:r>
        <w:t>HPV-Impfung bei Männern senkt Analkrebs-Viren: Effekte sichtbar</w:t>
      </w:r>
    </w:p>
    <w:p>
      <w:r>
        <w:rPr>
          <w:i/>
          <w:color w:val="666666"/>
          <w:sz w:val="18"/>
        </w:rPr>
        <w:t>Checchi M et al.  ·  Vaccine  ·  24.10.2026  ·  PMID 42702144</w:t>
      </w:r>
    </w:p>
    <w:p>
      <w:r>
        <w:t>Überwachungsstudie mit 5.787 Rektaltupfern bei Männern, die Sex mit Männern haben (England 2017–2024, zwei Phasen) zum HPV-Serotyp-Rückgang nach Impfprogrammstart 2016.</w:t>
      </w:r>
    </w:p>
    <w:p>
      <w:r>
        <w:rPr>
          <w:b/>
        </w:rPr>
        <w:t xml:space="preserve">Ergebnis: </w:t>
      </w:r>
      <w:r>
        <w:t>36% Rückgang von HPV16/18-Prävalenz zwischen Phase 1 (2017–19, 3.291 Proben) und Phase 2 (2021–24, 2.496 Proben). HPV16/18-Prävalenz ähnlich in geimpften (16,6%; 95%-KI 15,2–18,1) und ungeimpften (15,8%; 95%-KI 14,5–17,1) Männern. Nachweis von Herdenimmunität und vermutlich Untererfassung von Impfmeldungen.</w:t>
      </w:r>
    </w:p>
    <w:p>
      <w:r>
        <w:rPr>
          <w:b/>
          <w:sz w:val="19"/>
        </w:rPr>
        <w:t xml:space="preserve">Übertragbarkeit: </w:t>
      </w:r>
      <w:r>
        <w:rPr>
          <w:sz w:val="19"/>
        </w:rPr>
        <w:t>England mit Impfregister; Datenqualität höher als Deutschland ohne Register.</w:t>
      </w:r>
    </w:p>
    <w:p>
      <w:r>
        <w:rPr>
          <w:color w:val="5A7D3A"/>
          <w:sz w:val="18"/>
        </w:rPr>
        <w:t>https://pubmed.ncbi.nlm.nih.gov/42702144/</w:t>
      </w:r>
    </w:p>
    <w:p>
      <w:pPr>
        <w:pStyle w:val="Heading1"/>
      </w:pPr>
      <w:r>
        <w:t>Aufgenommen am 27.09.2026</w:t>
      </w:r>
    </w:p>
    <w:p>
      <w:pPr>
        <w:pStyle w:val="Heading2"/>
      </w:pPr>
      <w:r>
        <w:t>Nirsevimab-Immunisierung senkte RSV-Hospitalisierung bei Neugeborenen um 78 %</w:t>
      </w:r>
    </w:p>
    <w:p>
      <w:r>
        <w:rPr>
          <w:i/>
          <w:color w:val="666666"/>
          <w:sz w:val="18"/>
        </w:rPr>
        <w:t>Auriti C et al.  ·  Viruses  ·  07.09.2026  ·  PMID 42797813</w:t>
      </w:r>
    </w:p>
    <w:p>
      <w:r>
        <w:t>Italienische Studie zur Wirksamkeit der universellen Nirsevimab-Prophylaxe gegen RSV-assoziierte Krankenhauseinweisungen bei Neugeborenen im Routinebetrieb.</w:t>
      </w:r>
    </w:p>
    <w:p>
      <w:r>
        <w:rPr>
          <w:b/>
        </w:rPr>
        <w:t xml:space="preserve">Ergebnis: </w:t>
      </w:r>
      <w:r>
        <w:t>78,3 % Wirksamkeit gegen RSV-assoziierte Hospitalisierung; Nirsevimab-geimpfte Infanten hatten niedrigere RSV-Infektionsrate (33,99 % vs. 68,21 %; p&lt;0,001) und benötigten seltener Atemunterstützung (55,23 % vs. 70,07 %; p&lt;0,001). Unter hospitalisierten Infanten zeigte sich ein 80,2 % Rückgang der Atemunterstützung und 64,3 % weniger NICU-Aufnahmen durch Impfung.</w:t>
      </w:r>
    </w:p>
    <w:p>
      <w:r>
        <w:rPr>
          <w:b/>
          <w:sz w:val="19"/>
        </w:rPr>
        <w:t xml:space="preserve">Übertragbarkeit: </w:t>
      </w:r>
      <w:r>
        <w:rPr>
          <w:sz w:val="19"/>
        </w:rPr>
        <w:t>Italien, vergleichbares Versicherungssystem und Impfkalender wie DACH</w:t>
      </w:r>
    </w:p>
    <w:p>
      <w:r>
        <w:rPr>
          <w:color w:val="5A7D3A"/>
          <w:sz w:val="18"/>
        </w:rPr>
        <w:t>https://pubmed.ncbi.nlm.nih.gov/42797813/</w:t>
      </w:r>
    </w:p>
    <w:p>
      <w:pPr>
        <w:pStyle w:val="Heading2"/>
      </w:pPr>
      <w:r>
        <w:t>Pneumokokken-Nasopharyngeal-Besiedlung bei hospitalisierten Kindern in Lettland</w:t>
      </w:r>
    </w:p>
    <w:p>
      <w:r>
        <w:rPr>
          <w:i/>
          <w:color w:val="666666"/>
          <w:sz w:val="18"/>
        </w:rPr>
        <w:t>Cupeca H et al.  ·  PLoS One  ·  25.09.2026  ·  PMID 42789531</w:t>
      </w:r>
    </w:p>
    <w:p>
      <w:r>
        <w:t>Querschnittsstudie zur Prävalenz und Serotyp-Verteilung von Pneumokokken-Besiedlung bei hospitalisierten Kindern während des Übergangs von PCV13 zu PCV15/PCV20.</w:t>
      </w:r>
    </w:p>
    <w:p>
      <w:r>
        <w:rPr>
          <w:b/>
        </w:rPr>
        <w:t xml:space="preserve">Ergebnis: </w:t>
      </w:r>
      <w:r>
        <w:t>Gesamtprävalenz der Besiedlung 21,8 % (70/321; 95%-KI: 17,6–26,6%); PCV-Impfquote 63,2 % (203/321), überwiegend PCV10; kein signifikanter Unterschied zwischen geimpften und ungeimpften Kindern (25,6 % vs. 16,7 %; p=0,138); häufigste Serotypen 20, 13, 48 – keine in PCV13-abgedeckt.</w:t>
      </w:r>
    </w:p>
    <w:p>
      <w:r>
        <w:rPr>
          <w:b/>
          <w:sz w:val="19"/>
        </w:rPr>
        <w:t xml:space="preserve">Übertragbarkeit: </w:t>
      </w:r>
      <w:r>
        <w:rPr>
          <w:sz w:val="19"/>
        </w:rPr>
        <w:t>Baltische Region, aber Daten übertragbar auf deutschsprachige Länder bei ähnlichem PCV-Übergang</w:t>
      </w:r>
    </w:p>
    <w:p>
      <w:r>
        <w:rPr>
          <w:color w:val="5A7D3A"/>
          <w:sz w:val="18"/>
        </w:rPr>
        <w:t>https://pubmed.ncbi.nlm.nih.gov/42789531/</w:t>
      </w:r>
    </w:p>
    <w:p>
      <w:pPr>
        <w:pStyle w:val="Heading2"/>
      </w:pPr>
      <w:r>
        <w:t>Vertrauen und mRNA-Impfstoffakzeptanz durch deliberative Dialoge stärken</w:t>
      </w:r>
    </w:p>
    <w:p>
      <w:r>
        <w:rPr>
          <w:i/>
          <w:color w:val="666666"/>
          <w:sz w:val="18"/>
        </w:rPr>
        <w:t>Plamondon K et al.  ·  JMIR Res Protoc  ·  25.09.2026  ·  PMID 42789402</w:t>
      </w:r>
    </w:p>
    <w:p>
      <w:r>
        <w:t>Protokoll einer sequenziellen deliberativen Dialogstudie zu Bedingungen für informierte Öffentlichkeitsbeteiligung, Vertrauen und Akzeptanz emergenter Vakzin-Technologien am Beispiel mRNA-Impfstoffe.</w:t>
      </w:r>
    </w:p>
    <w:p>
      <w:r>
        <w:rPr>
          <w:b/>
        </w:rPr>
        <w:t xml:space="preserve">Ergebnis: </w:t>
      </w:r>
      <w:r>
        <w:t>Bis Juni 2026: 10 deliberative Dialoge und 1 selbstgeleiteter Dialog mit 77 Beteiligten durchgeführt; 2 summative Dialoge mit 18 Teilnehmern; erwartete Publikation Zweite Hälfte 2026; Fokus auf Verbesserung von Wissenschaftskompetenz, tailored Kommunikation unter Berücksichtigung historischer Ungleichheiten und Navigation von Polarisierung rund um Impfung.</w:t>
      </w:r>
    </w:p>
    <w:p>
      <w:r>
        <w:rPr>
          <w:b/>
          <w:sz w:val="19"/>
        </w:rPr>
        <w:t xml:space="preserve">Übertragbarkeit: </w:t>
      </w:r>
      <w:r>
        <w:rPr>
          <w:sz w:val="19"/>
        </w:rPr>
        <w:t>Kanada, aber deliberative Methode und Vertrauensfragen universal auf deutschsprachige Systeme übertragbar</w:t>
      </w:r>
    </w:p>
    <w:p>
      <w:r>
        <w:rPr>
          <w:color w:val="5A7D3A"/>
          <w:sz w:val="18"/>
        </w:rPr>
        <w:t>https://pubmed.ncbi.nlm.nih.gov/42789402/</w:t>
      </w:r>
    </w:p>
    <w:p>
      <w:pPr>
        <w:pStyle w:val="Heading2"/>
      </w:pPr>
      <w:r>
        <w:t>Hochdosis-Influenzaimpfung für kardiovaskuläre Prävention bei älteren Patienten</w:t>
      </w:r>
    </w:p>
    <w:p>
      <w:r>
        <w:rPr>
          <w:i/>
          <w:color w:val="666666"/>
          <w:sz w:val="18"/>
        </w:rPr>
        <w:t>Volpe M et al.  ·  G Ital Cardiol (Rome)  ·  Okt. 2026  ·  PMID 42788302</w:t>
      </w:r>
    </w:p>
    <w:p>
      <w:r>
        <w:t>Konsens-Papier fünf italienischer Fachgesellschaften zur Influenzaimpfung als Prävention kardiovaskulärer Komplikationen bei Risikopatienten, basierend auf FLUNITY-HD-Daten.</w:t>
      </w:r>
    </w:p>
    <w:p>
      <w:r>
        <w:rPr>
          <w:b/>
        </w:rPr>
        <w:t xml:space="preserve">Ergebnis: </w:t>
      </w:r>
      <w:r>
        <w:t>Hochdosis-Influenzaimpfung zeigt signifikante Vorteile gegenüber Standarddosis; Empfehlung für ältere Patienten und solche mit kardiovaskulärer Erkrankung zur Stärkung der Immunantwort und besseren kardiovaskulären Schutz.</w:t>
      </w:r>
    </w:p>
    <w:p>
      <w:r>
        <w:rPr>
          <w:b/>
          <w:sz w:val="19"/>
        </w:rPr>
        <w:t xml:space="preserve">Übertragbarkeit: </w:t>
      </w:r>
      <w:r>
        <w:rPr>
          <w:sz w:val="19"/>
        </w:rPr>
        <w:t>Italien, aber zunehmende Evidenz aus großen europäischen Studien; übertragbar auf deutsche Impfpraxis</w:t>
      </w:r>
    </w:p>
    <w:p>
      <w:r>
        <w:rPr>
          <w:color w:val="5A7D3A"/>
          <w:sz w:val="18"/>
        </w:rPr>
        <w:t>https://pubmed.ncbi.nlm.nih.gov/42788302/</w:t>
      </w:r>
    </w:p>
    <w:p>
      <w:pPr>
        <w:pStyle w:val="Heading2"/>
      </w:pPr>
      <w:r>
        <w:t>Anti-CD19-CAR-T-Therapie in SLE: Keine Signale für beeinträchtigte Eierstockreserve</w:t>
      </w:r>
    </w:p>
    <w:p>
      <w:r>
        <w:rPr>
          <w:i/>
          <w:color w:val="666666"/>
          <w:sz w:val="18"/>
        </w:rPr>
        <w:t>Pecher AC et al.  ·  Rheumatology (Oxford)  ·  01.08.2026  ·  PMID 42584071</w:t>
      </w:r>
    </w:p>
    <w:p>
      <w:r>
        <w:t>Longitudinale Studie zu reproduktiven Hormonmarkern bei 13 Frauen mit schwerem, therapierefraktärem SLE nach anti-CD19-CAR-T-Zelltherapie.</w:t>
      </w:r>
    </w:p>
    <w:p>
      <w:r>
        <w:rPr>
          <w:b/>
        </w:rPr>
        <w:t xml:space="preserve">Ergebnis: </w:t>
      </w:r>
      <w:r>
        <w:t>AMH-Level stabil (1,54 ng/ml [IQR 0,64–3,15] vs. 2,14 ng/ml [0,63–3,26]; p=0,886); FSH moderat erhöht (6,60 IU/l [4,00–7,90] vs. 7,20 IU/l [4,50–9,90]; p=0,033), aber ohne begleitenden AMH-Rückgang; keine Signale einer beeinträchtigten Eierstockreserve unter Standardlymphodepletion.</w:t>
      </w:r>
    </w:p>
    <w:p>
      <w:r>
        <w:rPr>
          <w:b/>
          <w:sz w:val="19"/>
        </w:rPr>
        <w:t xml:space="preserve">Übertragbarkeit: </w:t>
      </w:r>
      <w:r>
        <w:rPr>
          <w:sz w:val="19"/>
        </w:rPr>
        <w:t>Deutschland, Schweiz, Österreich – Immuntherapie-Zentren mit ähnlicher CAR-T-Infrastruktur</w:t>
      </w:r>
    </w:p>
    <w:p>
      <w:r>
        <w:rPr>
          <w:color w:val="5A7D3A"/>
          <w:sz w:val="18"/>
        </w:rPr>
        <w:t>https://pubmed.ncbi.nlm.nih.gov/42584071/</w:t>
      </w:r>
    </w:p>
    <w:p>
      <w:pPr>
        <w:pStyle w:val="Heading2"/>
      </w:pPr>
      <w:r>
        <w:t>Internetnutzung hat ambivalente Effekte auf Impfskepsis: Hochschulrechnung mit 48.538 Personen</w:t>
      </w:r>
    </w:p>
    <w:p>
      <w:r>
        <w:rPr>
          <w:i/>
          <w:color w:val="666666"/>
          <w:sz w:val="18"/>
        </w:rPr>
        <w:t>Helbing A et al.  ·  J Community Health  ·  16.07.2026  ·  PMID 42461515</w:t>
      </w:r>
    </w:p>
    <w:p>
      <w:r>
        <w:t>Multilevel-Logit-Analyse zu Zusammenhang zwischen Internetnutzung, digitaler Gesundheitskompetenz (DHL) und Impfskepsis auf Basis der ISSP 2021-Daten.</w:t>
      </w:r>
    </w:p>
    <w:p>
      <w:r>
        <w:rPr>
          <w:b/>
        </w:rPr>
        <w:t xml:space="preserve">Ergebnis: </w:t>
      </w:r>
      <w:r>
        <w:t>Nicht-lineare Beziehung: Personen ohne Internetzugang und solche mit sehr häufiger Online-Suche nach Impfinformation zeigen höhere Skepsis; niedrige DHL konsistent mit mehr Impfskepsis assoziiert; Unzufriedenheit mit Gesundheitssystem und niedrigere nationale Gesundheitsqualität verstärken Skepsis; Internetnutzung ist sowohl Bildungs- als auch Fehlinformationspotenzial.</w:t>
      </w:r>
    </w:p>
    <w:p>
      <w:r>
        <w:rPr>
          <w:b/>
          <w:sz w:val="19"/>
        </w:rPr>
        <w:t xml:space="preserve">Übertragbarkeit: </w:t>
      </w:r>
      <w:r>
        <w:rPr>
          <w:sz w:val="19"/>
        </w:rPr>
        <w:t>48 Länder (ISSP), inklusive Deutschland; vergleichbare Sozialversicherungssysteme</w:t>
      </w:r>
    </w:p>
    <w:p>
      <w:r>
        <w:rPr>
          <w:color w:val="5A7D3A"/>
          <w:sz w:val="18"/>
        </w:rPr>
        <w:t>https://pubmed.ncbi.nlm.nih.gov/42461515/</w:t>
      </w:r>
    </w:p>
    <w:p>
      <w:pPr>
        <w:pStyle w:val="Heading1"/>
      </w:pPr>
      <w:r>
        <w:t>Aufgenommen am 26.09.2026</w:t>
      </w:r>
    </w:p>
    <w:p>
      <w:pPr>
        <w:pStyle w:val="Heading2"/>
      </w:pPr>
      <w:r>
        <w:t>Tollwutimpfung bei Kindern in Thailand: Prävention mit Kosten-Nutzen-Vorteilen</w:t>
      </w:r>
    </w:p>
    <w:p>
      <w:r>
        <w:rPr>
          <w:i/>
          <w:color w:val="666666"/>
          <w:sz w:val="18"/>
        </w:rPr>
        <w:t>Soopairin S et al.  ·  BMJ Glob Health  ·  25.09.2026  ·  PMID 42791044</w:t>
      </w:r>
    </w:p>
    <w:p>
      <w:r>
        <w:t>Entscheidungsmodell-Analyse zum Kosten-Nutzen-Verhältnis einer Tollwut-Präexpositionsprophylaxe (PrEP) plus Postexpositionsprophylaxe (PEP) versus PEP allein bei 5-Jährigen in Thailand.</w:t>
      </w:r>
    </w:p>
    <w:p>
      <w:r>
        <w:rPr>
          <w:b/>
        </w:rPr>
        <w:t xml:space="preserve">Ergebnis: </w:t>
      </w:r>
      <w:r>
        <w:t>PrEP+PEP intrakutan mit inaktiviertem Hühnerzellvakzin war kosteneffektiv mit 40.977 THB (~1.161 USD) pro qualitätsbereinigtem Lebensjahr vs. PEP allein. Jährliche Bissinzidenz war einflussreichster Parameter; Kosten-Effektivität bleib robust über weitere Parameter.</w:t>
      </w:r>
    </w:p>
    <w:p>
      <w:r>
        <w:rPr>
          <w:b/>
          <w:sz w:val="19"/>
        </w:rPr>
        <w:t xml:space="preserve">Übertragbarkeit: </w:t>
      </w:r>
      <w:r>
        <w:rPr>
          <w:sz w:val="19"/>
        </w:rPr>
        <w:t>Thailand, außereuropäisches System; Kosten-Nutzen-Befund ist methodisch übertragbar für Priorisierung in Impfprogrammen.</w:t>
      </w:r>
    </w:p>
    <w:p>
      <w:r>
        <w:rPr>
          <w:color w:val="5A7D3A"/>
          <w:sz w:val="18"/>
        </w:rPr>
        <w:t>https://pubmed.ncbi.nlm.nih.gov/42791044/</w:t>
      </w:r>
    </w:p>
    <w:p>
      <w:pPr>
        <w:pStyle w:val="Heading2"/>
      </w:pPr>
      <w:r>
        <w:t>Influenza-Impfquoten in der Praxis: Defizite bei hochwertigen Impfstoffen</w:t>
      </w:r>
    </w:p>
    <w:p>
      <w:r>
        <w:rPr>
          <w:i/>
          <w:color w:val="666666"/>
          <w:sz w:val="18"/>
        </w:rPr>
        <w:t>Amicizia D et al.  ·  Hum Vaccin Immunother  ·  25.09.2026  ·  PMID 42788870</w:t>
      </w:r>
    </w:p>
    <w:p>
      <w:r>
        <w:t>Italienische Studie zur Influenzaimpfung ≥60-Jähriger in zwei Saisons (2023/24 und 2024/25), die den Wechsel zu dezentraler Versorgung durch Apotheken und Hausärzte untersucht.</w:t>
      </w:r>
    </w:p>
    <w:p>
      <w:r>
        <w:rPr>
          <w:b/>
        </w:rPr>
        <w:t xml:space="preserve">Ergebnis: </w:t>
      </w:r>
      <w:r>
        <w:t>Gesamtquote sank um 6% zwischen den Saisons; nur 65% (2023/24) bzw. 73% (2024/25) der ≥65-Jährigen erhielten altersgerechte hochdosierte Impfstoffe. Dezentrale Versorgung steigerte zwar Erreichbarkeit, führte aber zu erheblicher Varianz bei der Impfstoffwahl und suboptimalen Plattformen bei Hochrisikogruppen.</w:t>
      </w:r>
    </w:p>
    <w:p>
      <w:r>
        <w:rPr>
          <w:b/>
          <w:sz w:val="19"/>
        </w:rPr>
        <w:t xml:space="preserve">Übertragbarkeit: </w:t>
      </w:r>
      <w:r>
        <w:rPr>
          <w:sz w:val="19"/>
        </w:rPr>
        <w:t>Italien, vergleichbares Gesundheitssystem; zeigt Hürden bei Umsetzung von Leitlinien in dezentraler Versorgung.</w:t>
      </w:r>
    </w:p>
    <w:p>
      <w:r>
        <w:rPr>
          <w:color w:val="5A7D3A"/>
          <w:sz w:val="18"/>
        </w:rPr>
        <w:t>https://pubmed.ncbi.nlm.nih.gov/42788870/</w:t>
      </w:r>
    </w:p>
    <w:p>
      <w:pPr>
        <w:pStyle w:val="Heading2"/>
      </w:pPr>
      <w:r>
        <w:t>HPV-Impfung und Krebsvorsorge in Brasilien: Pandemie-Folgen bei Ungleichheit</w:t>
      </w:r>
    </w:p>
    <w:p>
      <w:r>
        <w:rPr>
          <w:i/>
          <w:color w:val="666666"/>
          <w:sz w:val="18"/>
        </w:rPr>
        <w:t>Carvalho TS et al.  ·  Rev Inst Med Trop Sao Paulo  ·  18.09.2026  ·  PMID 42788601</w:t>
      </w:r>
    </w:p>
    <w:p>
      <w:r>
        <w:t>Ökologische Studie (2016–2021) zur Auswirkung der COVID-19-Pandemie auf HPV-Impfquoten und Pap-Abstrich-Screening in Sao Paulo State mittels öffentlicher Datenbank.</w:t>
      </w:r>
    </w:p>
    <w:p>
      <w:r>
        <w:rPr>
          <w:b/>
        </w:rPr>
        <w:t xml:space="preserve">Ergebnis: </w:t>
      </w:r>
      <w:r>
        <w:t>HPV-Impfquoten stiegen 2020, hielten aber 2021 nicht an. Pap-Abstriche sanken 2020 und erholten sich 2021 nur teilweise, besonders in Gemeinden mit niedrigen sozioökonomischen Indikatoren. Anzahl der COVID-19-Fälle war nicht stark assoziiert mit Schwankungen in Präventionsdiensten.</w:t>
      </w:r>
    </w:p>
    <w:p>
      <w:r>
        <w:rPr>
          <w:b/>
          <w:sz w:val="19"/>
        </w:rPr>
        <w:t xml:space="preserve">Übertragbarkeit: </w:t>
      </w:r>
      <w:r>
        <w:rPr>
          <w:sz w:val="19"/>
        </w:rPr>
        <w:t>Brasilien, öffentliche Gesundheitsverwaltung; zeigt Resilienz-Probleme bei integrierten Präventionsprogrammen unter Krise, besonders bei vulnerablen Bevölkerungen.</w:t>
      </w:r>
    </w:p>
    <w:p>
      <w:r>
        <w:rPr>
          <w:color w:val="5A7D3A"/>
          <w:sz w:val="18"/>
        </w:rPr>
        <w:t>https://pubmed.ncbi.nlm.nih.gov/42788601/</w:t>
      </w:r>
    </w:p>
    <w:p>
      <w:pPr>
        <w:pStyle w:val="Heading2"/>
      </w:pPr>
      <w:r>
        <w:t>Sicherheit von HPV-Impfstoffen in China: Verträglichkeit unter Alltag</w:t>
      </w:r>
    </w:p>
    <w:p>
      <w:r>
        <w:rPr>
          <w:i/>
          <w:color w:val="666666"/>
          <w:sz w:val="18"/>
        </w:rPr>
        <w:t>Xie M et al.  ·  Hum Vaccin Immunother  ·  25.09.2026  ·  PMID 42788243</w:t>
      </w:r>
    </w:p>
    <w:p>
      <w:r>
        <w:t>Postmarketing-Sicherheitsüberwachung von HPV-Impfstoffen in Shandong 2017–2025 mittels Nebenwirkungsmeldungen.</w:t>
      </w:r>
    </w:p>
    <w:p>
      <w:r>
        <w:rPr>
          <w:b/>
        </w:rPr>
        <w:t xml:space="preserve">Ergebnis: </w:t>
      </w:r>
      <w:r>
        <w:t>1.056 Meldungen bei ~13,2 Millionen Dosen (Quote 7,99 pro 100.000 Dosen); 95,46% leichte Reaktionen, 1,42% seltene unerwünschte Ereignisse (u.a. Myalgie, Induration &gt;5 cm, Immunthrombozytopenie). Sicherheitsprofil insgesamt gut.</w:t>
      </w:r>
    </w:p>
    <w:p>
      <w:r>
        <w:rPr>
          <w:b/>
          <w:sz w:val="19"/>
        </w:rPr>
        <w:t xml:space="preserve">Übertragbarkeit: </w:t>
      </w:r>
      <w:r>
        <w:rPr>
          <w:sz w:val="19"/>
        </w:rPr>
        <w:t>China, anderes Meldesystem; bestätigt gutes Sicherheitsprofil auch bei Millionenfach-Anwendung.</w:t>
      </w:r>
    </w:p>
    <w:p>
      <w:r>
        <w:rPr>
          <w:color w:val="5A7D3A"/>
          <w:sz w:val="18"/>
        </w:rPr>
        <w:t>https://pubmed.ncbi.nlm.nih.gov/42788243/</w:t>
      </w:r>
    </w:p>
    <w:p>
      <w:pPr>
        <w:pStyle w:val="Heading2"/>
      </w:pPr>
      <w:r>
        <w:t>Enterovirus-71-Impfung senkt Fallzahlen von Hand-Fuß-Mund-Krankheit</w:t>
      </w:r>
    </w:p>
    <w:p>
      <w:r>
        <w:rPr>
          <w:i/>
          <w:color w:val="666666"/>
          <w:sz w:val="18"/>
        </w:rPr>
        <w:t>Li K et al.  ·  JMIR Public Health Surveill  ·  24.09.2026  ·  PMID 42785728</w:t>
      </w:r>
    </w:p>
    <w:p>
      <w:r>
        <w:t>Überwachungsstudie (2008–2023) in Anhui, China zur Epidemiologie von Hand-Fuß-Mund-Krankheit (HFMD) nach Einführung der EV71-Impfung und während COVID-19-Pandemie.</w:t>
      </w:r>
    </w:p>
    <w:p>
      <w:r>
        <w:rPr>
          <w:b/>
        </w:rPr>
        <w:t xml:space="preserve">Ergebnis: </w:t>
      </w:r>
      <w:r>
        <w:t>Typisierte EV71-Fälle sanken von 45,8% (vor Impfung) auf 3,4% (während COVID-19); Vorhersagemodelle für 2017–2019 zeigten 470 beobachtete vs. 659 vorhergesagte EV71-Fälle 2017 (95%-PI 467–933). Gesamtlast HFMD während COVID-19 substanziell unter Prognose, Todesfälle ab 2020 keine gemeldet.</w:t>
      </w:r>
    </w:p>
    <w:p>
      <w:r>
        <w:rPr>
          <w:b/>
          <w:sz w:val="19"/>
        </w:rPr>
        <w:t xml:space="preserve">Übertragbarkeit: </w:t>
      </w:r>
      <w:r>
        <w:rPr>
          <w:sz w:val="19"/>
        </w:rPr>
        <w:t>China, Überwachungsdaten; zeigt reale Impfeffektivität bei Bevölkerungsergebnissen unter Alltagsbedingungen.</w:t>
      </w:r>
    </w:p>
    <w:p>
      <w:r>
        <w:rPr>
          <w:color w:val="5A7D3A"/>
          <w:sz w:val="18"/>
        </w:rPr>
        <w:t>https://pubmed.ncbi.nlm.nih.gov/42785728/</w:t>
      </w:r>
    </w:p>
    <w:p>
      <w:pPr>
        <w:pStyle w:val="Heading2"/>
      </w:pPr>
      <w:r>
        <w:t>COVID-19-Impfung überwindet HLA-bedingte Unterschiede in Antikörper-Breite</w:t>
      </w:r>
    </w:p>
    <w:p>
      <w:r>
        <w:rPr>
          <w:i/>
          <w:color w:val="666666"/>
          <w:sz w:val="18"/>
        </w:rPr>
        <w:t>Nguyen TTN et al.  ·  Front Immunol  ·  08.09.2026  ·  PMID 42774458</w:t>
      </w:r>
    </w:p>
    <w:p>
      <w:r>
        <w:t>Longitudinale Kohortenstudie an 189 vietnamesischen Erwachsenen vor und nach COVID-19-Impfung, mit HLA-Genotypisierung und Neutralisierungstests gegen Variants of Concern.</w:t>
      </w:r>
    </w:p>
    <w:p>
      <w:r>
        <w:rPr>
          <w:b/>
        </w:rPr>
        <w:t xml:space="preserve">Ergebnis: </w:t>
      </w:r>
      <w:r>
        <w:t>Impfung erhöhte Antikörpertiter gegen Wuhan um 132-fach und gegen Omikron 10-fach; Neutralisierungbreite erweiterte sich substanziell. HLA-Assoziationen bei Zeitpunkt 1 beobachtet, aber Impfung erwies sich als stärkster Faktor für Neutralisierungsbreite bei Monat 15 (p&lt;0,001 in multivariablen Modellen).</w:t>
      </w:r>
    </w:p>
    <w:p>
      <w:r>
        <w:rPr>
          <w:b/>
          <w:sz w:val="19"/>
        </w:rPr>
        <w:t xml:space="preserve">Übertragbarkeit: </w:t>
      </w:r>
      <w:r>
        <w:rPr>
          <w:sz w:val="19"/>
        </w:rPr>
        <w:t>Vietnam, Hybridimmunität; zeigt, dass Impfung genetische Heterogenität in Antikörper-Breite überlagert und Population-spezifische Langzeitimmunität aufbaut.</w:t>
      </w:r>
    </w:p>
    <w:p>
      <w:r>
        <w:rPr>
          <w:color w:val="5A7D3A"/>
          <w:sz w:val="18"/>
        </w:rPr>
        <w:t>https://pubmed.ncbi.nlm.nih.gov/42774458/</w:t>
      </w:r>
    </w:p>
    <w:p>
      <w:pPr>
        <w:pStyle w:val="Heading1"/>
      </w:pPr>
      <w:r>
        <w:t>Aufgenommen am 25.09.2026</w:t>
      </w:r>
    </w:p>
    <w:p>
      <w:pPr>
        <w:pStyle w:val="Heading2"/>
      </w:pPr>
      <w:r>
        <w:t>SARS-CoV-2-Impfstoffverfügbarkeit in ruralen Regionen sub-Sahara-Afrikas – systematisches Reviewprotokoll</w:t>
      </w:r>
    </w:p>
    <w:p>
      <w:r>
        <w:rPr>
          <w:i/>
          <w:color w:val="666666"/>
          <w:sz w:val="18"/>
        </w:rPr>
        <w:t>Nyangi E et al.  ·  BMJ Open  ·  24.09.2026  ·  PMID 42785944</w:t>
      </w:r>
    </w:p>
    <w:p>
      <w:r>
        <w:t>Systematisches Reviewprotokoll zu Verfügbarkeit und Erreichbarkeit von COVID-19-Impfstoffen bei ruraler Bevölkerung in sub-Sahara-Afrika (Suche Oktober 2025–Oktober 2027).</w:t>
      </w:r>
    </w:p>
    <w:p>
      <w:r>
        <w:rPr>
          <w:b/>
        </w:rPr>
        <w:t xml:space="preserve">Ergebnis: </w:t>
      </w:r>
      <w:r>
        <w:t>Systematisches Review und Meta-Analyse in Planung; quantitative Befunde werden mit Modell mit Zufallseffekten gepoolt, qualitative Befunde thematisch synthetisiert. Schwerpunkt: strukturelle Barrieren, schwache Gesundheitssysteme, Ressourcenmangel.</w:t>
      </w:r>
    </w:p>
    <w:p>
      <w:r>
        <w:rPr>
          <w:b/>
          <w:sz w:val="19"/>
        </w:rPr>
        <w:t xml:space="preserve">Übertragbarkeit: </w:t>
      </w:r>
      <w:r>
        <w:rPr>
          <w:sz w:val="19"/>
        </w:rPr>
        <w:t>Sub-Sahara-Afrika, methodisch relevant für Reichweitenanalysen, aber Ressourcenlage sehr unterschiedlich</w:t>
      </w:r>
    </w:p>
    <w:p>
      <w:r>
        <w:rPr>
          <w:color w:val="5A7D3A"/>
          <w:sz w:val="18"/>
        </w:rPr>
        <w:t>https://pubmed.ncbi.nlm.nih.gov/42785944/</w:t>
      </w:r>
    </w:p>
    <w:p>
      <w:pPr>
        <w:pStyle w:val="Heading2"/>
      </w:pPr>
      <w:r>
        <w:t>Kostenloses Grippeimpfangebot erhöht Impfquote und psychisches Wohlbefinden älterer Menschen</w:t>
      </w:r>
    </w:p>
    <w:p>
      <w:r>
        <w:rPr>
          <w:i/>
          <w:color w:val="666666"/>
          <w:sz w:val="18"/>
        </w:rPr>
        <w:t>Wang Y  ·  Front Public Health  ·  09.09.2026  ·  PMID 42780378</w:t>
      </w:r>
    </w:p>
    <w:p>
      <w:r>
        <w:t>Chinesische Differenz-in-Differenzen-Analyse zur Wirkung einer kostenlosen Grippeimpfpolitik für die Bevölkerung ab 60 Jahren auf Impfquoten und Gesundheit.</w:t>
      </w:r>
    </w:p>
    <w:p>
      <w:r>
        <w:rPr>
          <w:b/>
        </w:rPr>
        <w:t xml:space="preserve">Ergebnis: </w:t>
      </w:r>
      <w:r>
        <w:t>Die Impfquote stieg um 23 Prozentpunkte. Die Wahrscheinlichkeit, dass gesundheitliche Probleme die täglichen Aktivitäten einschränken, sank um 16,9 Prozentpunkte; das Gefühl von Energie stieg um 28,1 Prozentpunkte. Der Effekt funktioniert über Verhaltenspfade, nicht nur biologisch.</w:t>
      </w:r>
    </w:p>
    <w:p>
      <w:r>
        <w:rPr>
          <w:b/>
          <w:sz w:val="19"/>
        </w:rPr>
        <w:t xml:space="preserve">Übertragbarkeit: </w:t>
      </w:r>
      <w:r>
        <w:rPr>
          <w:sz w:val="19"/>
        </w:rPr>
        <w:t>China, aber Versorgungsfrage (Kostenfreiheit und Quote) übertragbar auf Deutschland-Diskussionen zur Impffinanzierung</w:t>
      </w:r>
    </w:p>
    <w:p>
      <w:r>
        <w:rPr>
          <w:color w:val="5A7D3A"/>
          <w:sz w:val="18"/>
        </w:rPr>
        <w:t>https://pubmed.ncbi.nlm.nih.gov/42780378/</w:t>
      </w:r>
    </w:p>
    <w:p>
      <w:pPr>
        <w:pStyle w:val="Heading2"/>
      </w:pPr>
      <w:r>
        <w:t>Impfwissen und Eigenimpfung prägen Impfempfehlung durch Gesundheitspersonal</w:t>
      </w:r>
    </w:p>
    <w:p>
      <w:r>
        <w:rPr>
          <w:i/>
          <w:color w:val="666666"/>
          <w:sz w:val="18"/>
        </w:rPr>
        <w:t>Shi H et al.  ·  Front Public Health  ·  09.09.2026  ·  PMID 42780248</w:t>
      </w:r>
    </w:p>
    <w:p>
      <w:r>
        <w:t>Querschnittstudie zu Pfad zwischen Grippeimpfwissen, Eigenimpfung, zukünftiger Impfbereitschaft und Empfehlungsverhalten bei 4.238 Beschäftigten im Gesundheitswesen in Beijing.</w:t>
      </w:r>
    </w:p>
    <w:p>
      <w:r>
        <w:rPr>
          <w:b/>
        </w:rPr>
        <w:t xml:space="preserve">Ergebnis: </w:t>
      </w:r>
      <w:r>
        <w:t>22,1 % waren aktuell geimpft, 43,7 % wollten sich nächste Saison impfen, 82,0 % empfahlen Impfung Patienten. Impfwissen korrelierte mit Impfquote (β = 0,09, p &lt; 0,001); Eigenimpfung vorhersagend für zukünftige Impfbereitschaft (β = 0,47); zukünftige Bereitschaft stärkster Prädiktor für Empfehlung (β = 0,41, p &lt; 0,001).</w:t>
      </w:r>
    </w:p>
    <w:p>
      <w:r>
        <w:rPr>
          <w:b/>
          <w:sz w:val="19"/>
        </w:rPr>
        <w:t xml:space="preserve">Übertragbarkeit: </w:t>
      </w:r>
      <w:r>
        <w:rPr>
          <w:sz w:val="19"/>
        </w:rPr>
        <w:t>China, aber Pfadmodell (Wissen → Verhalten → Empfehlung) systemübergreifend relevant</w:t>
      </w:r>
    </w:p>
    <w:p>
      <w:r>
        <w:rPr>
          <w:color w:val="5A7D3A"/>
          <w:sz w:val="18"/>
        </w:rPr>
        <w:t>https://pubmed.ncbi.nlm.nih.gov/42780248/</w:t>
      </w:r>
    </w:p>
    <w:p>
      <w:pPr>
        <w:pStyle w:val="Heading2"/>
      </w:pPr>
      <w:r>
        <w:t>Impflücken bei Flüchtlingen und Migranten in Uganda: Systematische Analyse von Barrieren und Lösungen</w:t>
      </w:r>
    </w:p>
    <w:p>
      <w:r>
        <w:rPr>
          <w:i/>
          <w:color w:val="666666"/>
          <w:sz w:val="18"/>
        </w:rPr>
        <w:t>Nakachwa SM et al.  ·  Glob Public Health  ·  31.12.2026  ·  PMID 42776600</w:t>
      </w:r>
    </w:p>
    <w:p>
      <w:r>
        <w:t>Narrative Review zu Impfquoten, Barrieren und Maßnahmen bei Flüchtlingen und Migranten in Uganda bis September 2025.</w:t>
      </w:r>
    </w:p>
    <w:p>
      <w:r>
        <w:rPr>
          <w:b/>
        </w:rPr>
        <w:t xml:space="preserve">Ergebnis: </w:t>
      </w:r>
      <w:r>
        <w:t>Flüchtlings-Impfquoten unter nationalen Durchschnitten durch administrative Hürden, Engpässe, Entfernungen, Sprachhindernisse und Desinformation. Erfolgreiche Ansätze: Integration in nationale Systeme, vereinfachte Registrierung, mobile Angebote, Gemeindegesundheitspersonal, grenzübergreifende Datenkoordination.</w:t>
      </w:r>
    </w:p>
    <w:p>
      <w:r>
        <w:rPr>
          <w:b/>
          <w:sz w:val="19"/>
        </w:rPr>
        <w:t xml:space="preserve">Übertragbarkeit: </w:t>
      </w:r>
      <w:r>
        <w:rPr>
          <w:sz w:val="19"/>
        </w:rPr>
        <w:t>Uganda, aber Barrieren und Strategien (mobil, registrierungsarmut) für vulnerable Gruppen übertragbar</w:t>
      </w:r>
    </w:p>
    <w:p>
      <w:r>
        <w:rPr>
          <w:color w:val="5A7D3A"/>
          <w:sz w:val="18"/>
        </w:rPr>
        <w:t>https://pubmed.ncbi.nlm.nih.gov/42776600/</w:t>
      </w:r>
    </w:p>
    <w:p>
      <w:pPr>
        <w:pStyle w:val="Heading2"/>
      </w:pPr>
      <w:r>
        <w:t>Grippeimpfquote bei Fachpersonen in Guangzhou: Unterschiede nach Arbeitsstätte und Wissenstyp</w:t>
      </w:r>
    </w:p>
    <w:p>
      <w:r>
        <w:rPr>
          <w:i/>
          <w:color w:val="666666"/>
          <w:sz w:val="18"/>
        </w:rPr>
        <w:t>Lin D et al.  ·  Expert Rev Vaccines  ·  23.09.2026  ·  PMID 42775460</w:t>
      </w:r>
    </w:p>
    <w:p>
      <w:r>
        <w:t>Querschnittstudie unter 3.153 Gesundheitsfachleuten in Grundversorgung, Krankenhäusern und Schulen zur Grippeimpfquote und Empfehlungsverhalten.</w:t>
      </w:r>
    </w:p>
    <w:p>
      <w:r>
        <w:rPr>
          <w:b/>
        </w:rPr>
        <w:t xml:space="preserve">Ergebnis: </w:t>
      </w:r>
      <w:r>
        <w:t>46,2 % waren mindestens in einer der letzten vier Saisons geimpft, durchschnittliche saisonale Quote 28,2 %. Öffentlichkeitsgesundheit: OR 2,53, Schulgesundheit: OR 0,64 vs. Ärzte. Impfstoffwissen positiv assoziiert mit Impfung (OR 1,09) und Empfehlungsverhalten (OR 1,11).</w:t>
      </w:r>
    </w:p>
    <w:p>
      <w:r>
        <w:rPr>
          <w:b/>
          <w:sz w:val="19"/>
        </w:rPr>
        <w:t xml:space="preserve">Übertragbarkeit: </w:t>
      </w:r>
      <w:r>
        <w:rPr>
          <w:sz w:val="19"/>
        </w:rPr>
        <w:t>China, aber Versorgungsmuster (Quote nach Berufsgruppe) international vergleichbar</w:t>
      </w:r>
    </w:p>
    <w:p>
      <w:r>
        <w:rPr>
          <w:color w:val="5A7D3A"/>
          <w:sz w:val="18"/>
        </w:rPr>
        <w:t>https://pubmed.ncbi.nlm.nih.gov/42775460/</w:t>
      </w:r>
    </w:p>
    <w:p>
      <w:pPr>
        <w:pStyle w:val="Heading2"/>
      </w:pPr>
      <w:r>
        <w:t>HPV-Impfung und HPV-Screening kombiniert für vulnerable Frauen in Europa – Implementierungsprotokoll</w:t>
      </w:r>
    </w:p>
    <w:p>
      <w:r>
        <w:rPr>
          <w:i/>
          <w:color w:val="666666"/>
          <w:sz w:val="18"/>
        </w:rPr>
        <w:t>Mosquera I et al.  ·  Cancer Control  ·  02.09.2026  ·  PMID 42683830</w:t>
      </w:r>
    </w:p>
    <w:p>
      <w:r>
        <w:t>Implementierungsstudienprotokoll zur Kapazität von Gesundheitssystemen, HPV-Impfung und HPV-basiertes Screening kombiniert für vulnerable Gruppen (25–45 Jahre) in Spanien, Schweden, Dänemark, Rumänien und Frankreich anzubieten.</w:t>
      </w:r>
    </w:p>
    <w:p>
      <w:r>
        <w:rPr>
          <w:b/>
        </w:rPr>
        <w:t xml:space="preserve">Ergebnis: </w:t>
      </w:r>
      <w:r>
        <w:t>Protokoll umfasst Schreibtischreview, Vor-Ort-Prüfungen und Stakeholder-Interviews. Ziel: Systemkapazität messen und Strategien zur HPV-Schneller-Elimination in Europa tailoriert stärken. Studie läuft.</w:t>
      </w:r>
    </w:p>
    <w:p>
      <w:r>
        <w:rPr>
          <w:b/>
          <w:sz w:val="19"/>
        </w:rPr>
        <w:t xml:space="preserve">Übertragbarkeit: </w:t>
      </w:r>
      <w:r>
        <w:rPr>
          <w:sz w:val="19"/>
        </w:rPr>
        <w:t>Mehrere europäische Länder (DACH-nahes System), vergleichbare nationale Gesundheitssysteme</w:t>
      </w:r>
    </w:p>
    <w:p>
      <w:r>
        <w:rPr>
          <w:color w:val="5A7D3A"/>
          <w:sz w:val="18"/>
        </w:rPr>
        <w:t>https://pubmed.ncbi.nlm.nih.gov/42683830/</w:t>
      </w:r>
    </w:p>
    <w:p>
      <w:pPr>
        <w:pStyle w:val="Heading1"/>
      </w:pPr>
      <w:r>
        <w:t>Aufgenommen am 24.09.2026</w:t>
      </w:r>
    </w:p>
    <w:p>
      <w:pPr>
        <w:pStyle w:val="Heading2"/>
      </w:pPr>
      <w:r>
        <w:t>COVID-19-Impfung: Alter und Bildung bestimmen Annahme in Ostpolen stärker als Lebensstil</w:t>
      </w:r>
    </w:p>
    <w:p>
      <w:r>
        <w:rPr>
          <w:i/>
          <w:color w:val="666666"/>
          <w:sz w:val="18"/>
        </w:rPr>
        <w:t>Karczmarz S et al.  ·  Med Sci Monit  ·  23.09.2026  ·  PMID 42776929</w:t>
      </w:r>
    </w:p>
    <w:p>
      <w:r>
        <w:t>Querschnittsstudie an 458 Primärversorgungspatienten in Polen untersuchte, welche Faktoren mit vollständiger COVID-19-Impfung assoziiert sind.</w:t>
      </w:r>
    </w:p>
    <w:p>
      <w:r>
        <w:rPr>
          <w:b/>
        </w:rPr>
        <w:t xml:space="preserve">Ergebnis: </w:t>
      </w:r>
      <w:r>
        <w:t>Vollständige Impfung war assoziiert mit höherem Alter, höherer Bildung und Rentnerstatus; ländlicher Wohnort zeigte unerwartet höhere Impfquote als urban; Lifestyle-Profile zeigten keine konsistente unabhängige Assoziation mit Impfstatus.</w:t>
      </w:r>
    </w:p>
    <w:p>
      <w:r>
        <w:rPr>
          <w:b/>
          <w:sz w:val="19"/>
        </w:rPr>
        <w:t xml:space="preserve">Übertragbarkeit: </w:t>
      </w:r>
      <w:r>
        <w:rPr>
          <w:sz w:val="19"/>
        </w:rPr>
        <w:t>Polen, vergleichbares Versicherungssystem, dokumentiert Rollen von Zugang und Vertrauen</w:t>
      </w:r>
    </w:p>
    <w:p>
      <w:r>
        <w:rPr>
          <w:color w:val="5A7D3A"/>
          <w:sz w:val="18"/>
        </w:rPr>
        <w:t>https://pubmed.ncbi.nlm.nih.gov/42776929/</w:t>
      </w:r>
    </w:p>
    <w:p>
      <w:pPr>
        <w:pStyle w:val="Heading2"/>
      </w:pPr>
      <w:r>
        <w:t>Moderate bis hohe körperliche Aktivität verstärkt COVID-19-Antikörperreaktion unmittelbar nach Impfung</w:t>
      </w:r>
    </w:p>
    <w:p>
      <w:r>
        <w:rPr>
          <w:i/>
          <w:color w:val="666666"/>
          <w:sz w:val="18"/>
        </w:rPr>
        <w:t>Voulgaridi I et al.  ·  Front Public Health  ·  08.09.2026  ·  PMID 42774463</w:t>
      </w:r>
    </w:p>
    <w:p>
      <w:r>
        <w:t>Längsschnitt-Kohortenstudie mit 641 Erwachsenen untersuchte Assoziation zwischen Bewegungsaktivität und Anti-SARS-CoV-2-IgG/IgA-Antikörpern an den Tagen 21, 42, 90 und 180 nach COVID-19-Impfung.</w:t>
      </w:r>
    </w:p>
    <w:p>
      <w:r>
        <w:rPr>
          <w:b/>
        </w:rPr>
        <w:t xml:space="preserve">Ergebnis: </w:t>
      </w:r>
      <w:r>
        <w:t>IgG-Seropositividät an Tag 21 war höher bei moderater (92,6%) oder hoher (97,0%) Aktivität als bei niedriger (70,4%, p&lt;0,001); älteres Alter mit reduzierten IgG-Titern assoziiert (alle Zeitpunkte p&lt;0,001); Komorbidität mit niedrigeren Titern verknüpft.</w:t>
      </w:r>
    </w:p>
    <w:p>
      <w:r>
        <w:rPr>
          <w:b/>
          <w:sz w:val="19"/>
        </w:rPr>
        <w:t xml:space="preserve">Übertragbarkeit: </w:t>
      </w:r>
      <w:r>
        <w:rPr>
          <w:sz w:val="19"/>
        </w:rPr>
        <w:t>Griechenland, europäisches Gesundheitssystem, vergleichbare Impfprogramme</w:t>
      </w:r>
    </w:p>
    <w:p>
      <w:r>
        <w:rPr>
          <w:color w:val="5A7D3A"/>
          <w:sz w:val="18"/>
        </w:rPr>
        <w:t>https://pubmed.ncbi.nlm.nih.gov/42774463/</w:t>
      </w:r>
    </w:p>
    <w:p>
      <w:pPr>
        <w:pStyle w:val="Heading2"/>
      </w:pPr>
      <w:r>
        <w:t>Tdap-Sicherheit im VAERS-Register: Radiculitis bei Frauen erhöht, aber Schwangerschaft und Alter unbedenklich</w:t>
      </w:r>
    </w:p>
    <w:p>
      <w:r>
        <w:rPr>
          <w:i/>
          <w:color w:val="666666"/>
          <w:sz w:val="18"/>
        </w:rPr>
        <w:t>Song W et al.  ·  Front Cell Infect Microbiol  ·  08.09.2026  ·  PMID 42774241</w:t>
      </w:r>
    </w:p>
    <w:p>
      <w:r>
        <w:t>Post-Marketing-Surveillance von 20.128 VAERS-Meldungen zu Tdap (2015–2025) mit Disproportionalitätsanalyse nach Alter, Geschlecht und Schwangerschaftsstatus.</w:t>
      </w:r>
    </w:p>
    <w:p>
      <w:r>
        <w:rPr>
          <w:b/>
        </w:rPr>
        <w:t xml:space="preserve">Ergebnis: </w:t>
      </w:r>
      <w:r>
        <w:t>95,8% nicht-schwerwiegende Fälle; häufigste Signale: Injektionsstelle Erythem und Ödem; 70,3% Ereignisse innerhalb 1 Tag; bei Schwangeren (n=744): keine unerwarteten Sicherheitssignale; Adoleszenten: Opisthotonus erhöht (ROR=8,55); nicht-schwangere Frauen: Brachialradiculitis (ROR=14,42) und Bursa-Flüssigkeitsansammlung (ROR=21,22) erhöht.</w:t>
      </w:r>
    </w:p>
    <w:p>
      <w:r>
        <w:rPr>
          <w:b/>
          <w:sz w:val="19"/>
        </w:rPr>
        <w:t xml:space="preserve">Übertragbarkeit: </w:t>
      </w:r>
      <w:r>
        <w:rPr>
          <w:sz w:val="19"/>
        </w:rPr>
        <w:t>USA-VAERS-Daten, aber Pharmakovigilanz-Methode international verwendbar</w:t>
      </w:r>
    </w:p>
    <w:p>
      <w:r>
        <w:rPr>
          <w:color w:val="5A7D3A"/>
          <w:sz w:val="18"/>
        </w:rPr>
        <w:t>https://pubmed.ncbi.nlm.nih.gov/42774241/</w:t>
      </w:r>
    </w:p>
    <w:p>
      <w:pPr>
        <w:pStyle w:val="Heading2"/>
      </w:pPr>
      <w:r>
        <w:t>HPV16/18-Antikörper-Überwachung: Neutralisierungstest, cCLIA und IgG im Vergleich für Impfquoten-Monitoring</w:t>
      </w:r>
    </w:p>
    <w:p>
      <w:r>
        <w:rPr>
          <w:i/>
          <w:color w:val="666666"/>
          <w:sz w:val="18"/>
        </w:rPr>
        <w:t>Mao W et al.  ·  Front Immunol  ·  08.09.2026  ·  PMID 42774225</w:t>
      </w:r>
    </w:p>
    <w:p>
      <w:r>
        <w:t>Querschnitt- und Längsschnittstudie mit vollständig Geimpften und Ungeimpften verglich drei serologische Assays (Pseudovirionen-Neutralisierung, kompetitiver Chemilumineszenz-Immunoassay, indirekte IgG) für HPV16/18-Antikörper-Nachweis nach Vakzination.</w:t>
      </w:r>
    </w:p>
    <w:p>
      <w:r>
        <w:rPr>
          <w:b/>
        </w:rPr>
        <w:t xml:space="preserve">Ergebnis: </w:t>
      </w:r>
      <w:r>
        <w:t>Alle drei Assays reflektierten Impfantwort-Trends; cCLIA stabiler gegenüber Neutralisierungstest als IgG-Assay, besonders longitudinal und nach 2. Dosis; IgG zeigte niedrigere Stabilität für funktionale Klassifikation, aber konsistente Erfassung von Bevölkerungs-Reaktionen; persistente numerische Unterschiede bedeuten Assays nicht direkt austauschbar.</w:t>
      </w:r>
    </w:p>
    <w:p>
      <w:r>
        <w:rPr>
          <w:b/>
          <w:sz w:val="19"/>
        </w:rPr>
        <w:t xml:space="preserve">Übertragbarkeit: </w:t>
      </w:r>
      <w:r>
        <w:rPr>
          <w:sz w:val="19"/>
        </w:rPr>
        <w:t>China, aber Assay-Vergleich für HPV-Monitoring-Strategien europaweit relevant</w:t>
      </w:r>
    </w:p>
    <w:p>
      <w:r>
        <w:rPr>
          <w:color w:val="5A7D3A"/>
          <w:sz w:val="18"/>
        </w:rPr>
        <w:t>https://pubmed.ncbi.nlm.nih.gov/42774225/</w:t>
      </w:r>
    </w:p>
    <w:p>
      <w:pPr>
        <w:pStyle w:val="Heading2"/>
      </w:pPr>
      <w:r>
        <w:t>Hochdosis-Grippeimpfstoff für gebrechliche Ältere – Effektivität variiert nach Frailty-Risiko</w:t>
      </w:r>
    </w:p>
    <w:p>
      <w:r>
        <w:rPr>
          <w:i/>
          <w:color w:val="666666"/>
          <w:sz w:val="18"/>
        </w:rPr>
        <w:t>Espersen C et al.  ·  Lancet Healthy Longev  ·  17.09.2026  ·  PMID 42753782</w:t>
      </w:r>
    </w:p>
    <w:p>
      <w:r>
        <w:t>Prespecified Analyse der DANFLU-2-Studie mit 332.438 Personen ≥65 Jahren aus Dänemark verglich Hochdosis- vs. Standarddosis-Influenzavakzin nach Gebrechlichkeitsrisiko bezüglich Hospitalisierungen.</w:t>
      </w:r>
    </w:p>
    <w:p>
      <w:r>
        <w:rPr>
          <w:b/>
        </w:rPr>
        <w:t xml:space="preserve">Ergebnis: </w:t>
      </w:r>
      <w:r>
        <w:t>Bei niedriger Gebrechlichkeit: relative Vakzin-Effektivität (HD vs. SD) 0,2% (95% KI −10,8–10,2); bei mittlerer: 13,1% (−0,4–24,8); bei hoher: 19,9% (−10,3–42,1). Höhere Effektivitätsgewinne mit steigendem Gebrechlichkeitsrisiko, aber 95%-KIs überschreiten Null; Effekt-Modifikation nicht signifikant in vorgegebenen Kategorien.</w:t>
      </w:r>
    </w:p>
    <w:p>
      <w:r>
        <w:rPr>
          <w:b/>
          <w:sz w:val="19"/>
        </w:rPr>
        <w:t xml:space="preserve">Übertragbarkeit: </w:t>
      </w:r>
      <w:r>
        <w:rPr>
          <w:sz w:val="19"/>
        </w:rPr>
        <w:t>Dänemark, vergleichbares skandinavisches System mit Register und Krankenhausdaten</w:t>
      </w:r>
    </w:p>
    <w:p>
      <w:r>
        <w:rPr>
          <w:color w:val="5A7D3A"/>
          <w:sz w:val="18"/>
        </w:rPr>
        <w:t>https://pubmed.ncbi.nlm.nih.gov/42753782/</w:t>
      </w:r>
    </w:p>
    <w:p>
      <w:pPr>
        <w:pStyle w:val="Heading2"/>
      </w:pPr>
      <w:r>
        <w:t>Langzeitkomplikationen nach CAR-T-Zelltherapie: Infektionen und Sekundärmalignome überwiegen</w:t>
      </w:r>
    </w:p>
    <w:p>
      <w:r>
        <w:rPr>
          <w:i/>
          <w:color w:val="666666"/>
          <w:sz w:val="18"/>
        </w:rPr>
        <w:t>Eisenmann M et al.  ·  Curr Oncol  ·  01.08.2026  ·  PMID 42645366</w:t>
      </w:r>
    </w:p>
    <w:p>
      <w:r>
        <w:t>Scoping Review von 18 Primärstudien (2018 an) zu späten Nebenwirkungen (≥12 Monate nach Infusion) bei Patienten mit EMA-zugelassenen CAR-T-Produkten.</w:t>
      </w:r>
    </w:p>
    <w:p>
      <w:r>
        <w:rPr>
          <w:b/>
        </w:rPr>
        <w:t xml:space="preserve">Ergebnis: </w:t>
      </w:r>
      <w:r>
        <w:t>Spätkomplikationen konzentrierten sich auf Infektionen und Sekundärmalignome; Nicht-Rückfall-Mortalität in 7 Studien berichtet, Infektionen und Sekundärmalignome häufig als Todesursachen genannt; systematische Übersichtsarbeit ohne neue Ziffern, aber klare Kategorisierung der Evidenz.</w:t>
      </w:r>
    </w:p>
    <w:p>
      <w:r>
        <w:rPr>
          <w:b/>
          <w:sz w:val="19"/>
        </w:rPr>
        <w:t xml:space="preserve">Übertragbarkeit: </w:t>
      </w:r>
      <w:r>
        <w:rPr>
          <w:sz w:val="19"/>
        </w:rPr>
        <w:t>Europa, EMA-Daten, aber Übersicht ohne neue empirische Effekte – nur für Systemwissen</w:t>
      </w:r>
    </w:p>
    <w:p>
      <w:r>
        <w:rPr>
          <w:color w:val="5A7D3A"/>
          <w:sz w:val="18"/>
        </w:rPr>
        <w:t>https://pubmed.ncbi.nlm.nih.gov/42645366/</w:t>
      </w:r>
    </w:p>
    <w:p>
      <w:pPr>
        <w:pStyle w:val="Heading1"/>
      </w:pPr>
      <w:r>
        <w:t>Aufgenommen am 23.09.2026</w:t>
      </w:r>
    </w:p>
    <w:p>
      <w:pPr>
        <w:pStyle w:val="Heading2"/>
      </w:pPr>
      <w:r>
        <w:t>Impfkettenmanagement in koreanischen Gesundheitseinrichtungen: Defizite bei Temperaturüberwachung und Notstrom</w:t>
      </w:r>
    </w:p>
    <w:p>
      <w:r>
        <w:rPr>
          <w:i/>
          <w:color w:val="666666"/>
          <w:sz w:val="18"/>
        </w:rPr>
        <w:t>Kang CR et al.  ·  J Korean Med Sci  ·  21.09.2026  ·  PMID 42773072</w:t>
      </w:r>
    </w:p>
    <w:p>
      <w:r>
        <w:t>Nationale Querschnittserhebung zur Evaluierung der Impfkühllager-Praktiken in 53 südkoreanischen Immunisierungsanbietern (43 private Einrichtungen, 10 öffentliche Gesundheitszentren).</w:t>
      </w:r>
    </w:p>
    <w:p>
      <w:r>
        <w:rPr>
          <w:b/>
        </w:rPr>
        <w:t xml:space="preserve">Ergebnis: </w:t>
      </w:r>
      <w:r>
        <w:t>Alle Einrichtungen hatten dedizierte Impfkühlschränke (100 %), aber nur 73,6 % kontinuierliche Temperaturüberwachung auf allen Geräten; Alarmsysteme in 83,0 %; Notfallpläne in 52,8 %, regelmäßig getestet nur 40,9 %. Dokumentation und Entsorgung erfolgten regelkonform, aber Infrastruktur-Sicherheit ist lückenhaft.</w:t>
      </w:r>
    </w:p>
    <w:p>
      <w:r>
        <w:rPr>
          <w:b/>
          <w:sz w:val="19"/>
        </w:rPr>
        <w:t xml:space="preserve">Übertragbarkeit: </w:t>
      </w:r>
      <w:r>
        <w:rPr>
          <w:sz w:val="19"/>
        </w:rPr>
        <w:t>Südkorea, vergleichbare Infrastruktur-Herausforderungen, nicht direktes Deutschland-Modell</w:t>
      </w:r>
    </w:p>
    <w:p>
      <w:r>
        <w:rPr>
          <w:color w:val="5A7D3A"/>
          <w:sz w:val="18"/>
        </w:rPr>
        <w:t>https://pubmed.ncbi.nlm.nih.gov/42773072/</w:t>
      </w:r>
    </w:p>
    <w:p>
      <w:pPr>
        <w:pStyle w:val="Heading2"/>
      </w:pPr>
      <w:r>
        <w:t>COVID-19-Impfeffektivität: Test-negativ vs. Kohortenstudien liefern vergleichbare Ergebnisse</w:t>
      </w:r>
    </w:p>
    <w:p>
      <w:r>
        <w:rPr>
          <w:i/>
          <w:color w:val="666666"/>
          <w:sz w:val="18"/>
        </w:rPr>
        <w:t>Sukik L et al.  ·  Int J Epidemiol  ·  18.08.2026  ·  PMID 42772774</w:t>
      </w:r>
    </w:p>
    <w:p>
      <w:r>
        <w:t>Direkter Methodenvergleich: Test-negativ-Fall-Kontroll- vs. retrospektive Kohortenstudien zur COVID-19-Impfeffektivität in Katar mit identischer Population und Datenquelle.</w:t>
      </w:r>
    </w:p>
    <w:p>
      <w:r>
        <w:rPr>
          <w:b/>
        </w:rPr>
        <w:t xml:space="preserve">Ergebnis: </w:t>
      </w:r>
      <w:r>
        <w:t>BNT162b2-Effektivität gegen Infektion im Test-negativ-Design 71,0 % vs. Kohorten-Design 78,0 % (nach Korrektur für Testrate); gegen schwere COVID-19 96,3 % vs. 98,0 %. Beide Designs zeigten ähnliche Wirksamkeitsverluste. Methodische Unterschiede sind kleiner als erwartet.</w:t>
      </w:r>
    </w:p>
    <w:p>
      <w:r>
        <w:rPr>
          <w:b/>
          <w:sz w:val="19"/>
        </w:rPr>
        <w:t xml:space="preserve">Übertragbarkeit: </w:t>
      </w:r>
      <w:r>
        <w:rPr>
          <w:sz w:val="19"/>
        </w:rPr>
        <w:t>Katar (nicht Deutschland), aber Methodenvergleich für alle Impfstoff-Studien übertragbar</w:t>
      </w:r>
    </w:p>
    <w:p>
      <w:r>
        <w:rPr>
          <w:color w:val="5A7D3A"/>
          <w:sz w:val="18"/>
        </w:rPr>
        <w:t>https://pubmed.ncbi.nlm.nih.gov/42772774/</w:t>
      </w:r>
    </w:p>
    <w:p>
      <w:pPr>
        <w:pStyle w:val="Heading2"/>
      </w:pPr>
      <w:r>
        <w:t>WHO-Einfachdosis-Empfehlung für HPV-Impfung erhöhte Ländereinführungen um 22 weitere Länder</w:t>
      </w:r>
    </w:p>
    <w:p>
      <w:r>
        <w:rPr>
          <w:i/>
          <w:color w:val="666666"/>
          <w:sz w:val="18"/>
        </w:rPr>
        <w:t>Suh J et al.  ·  Expert Rev Vaccines  ·  22.09.2026  ·  PMID 42770688</w:t>
      </w:r>
    </w:p>
    <w:p>
      <w:r>
        <w:t>Analyse von Einflussfaktoren auf nationale HPV-Impfstoff-Einführungsraten in Ländern mit niedrigem und mittlerem Einkommen 2006–2025 mittels GLM und Changepoint-Analyse.</w:t>
      </w:r>
    </w:p>
    <w:p>
      <w:r>
        <w:rPr>
          <w:b/>
        </w:rPr>
        <w:t xml:space="preserve">Ergebnis: </w:t>
      </w:r>
      <w:r>
        <w:t>WHO-Einfachdosis-Empfehlung 2022 war der stärkste assoziierte Faktor; Gavi-Finanzierungserweiterung (2017–2025) auch bedeutsam. Modellprognosen: 22,46 zusätzliche nationale HPV-Impfstoff-Einführungen in LMIC allein durch die Einfachdosis-Empfehlung. Signifikanter Anstieg 2022.</w:t>
      </w:r>
    </w:p>
    <w:p>
      <w:r>
        <w:rPr>
          <w:b/>
          <w:sz w:val="19"/>
        </w:rPr>
        <w:t xml:space="preserve">Übertragbarkeit: </w:t>
      </w:r>
      <w:r>
        <w:rPr>
          <w:sz w:val="19"/>
        </w:rPr>
        <w:t>Globale Politikanalyse, zeigt Hebel für Impfprogramme weltweit, nicht Deutschland-spezifisch</w:t>
      </w:r>
    </w:p>
    <w:p>
      <w:r>
        <w:rPr>
          <w:color w:val="5A7D3A"/>
          <w:sz w:val="18"/>
        </w:rPr>
        <w:t>https://pubmed.ncbi.nlm.nih.gov/42770688/</w:t>
      </w:r>
    </w:p>
    <w:p>
      <w:pPr>
        <w:pStyle w:val="Heading2"/>
      </w:pPr>
      <w:r>
        <w:t>Impfablehnung in der Türkei: Eltern und Gesundheitspersonal berichten von Vertrauenskrise</w:t>
      </w:r>
    </w:p>
    <w:p>
      <w:r>
        <w:rPr>
          <w:i/>
          <w:color w:val="666666"/>
          <w:sz w:val="18"/>
        </w:rPr>
        <w:t>Sezer E et al.  ·  Front Public Health  ·  07.09.2026  ·  PMID 42769268</w:t>
      </w:r>
    </w:p>
    <w:p>
      <w:r>
        <w:t>Qualitative Studie mit 19 impfablehnenden Eltern und 21 Fachpersonen (Ärzte, Hebammen) zur Erkundung von Gründen und strukturellen Barrieren für Impfverweigerung in der Türkei 2017.</w:t>
      </w:r>
    </w:p>
    <w:p>
      <w:r>
        <w:rPr>
          <w:b/>
        </w:rPr>
        <w:t xml:space="preserve">Ergebnis: </w:t>
      </w:r>
      <w:r>
        <w:t>Vier zentrale ethische Spannungsfelder: (1) Lücke zwischen informierter Ablehnung und uninformierter Wahl durch Informationsasymmetrie; (2) Vertrauenskrise in Gesundheitsinstitutionen durch leistungsbasierte Bezahlung von Ärzten; (3) Konflikt zwischen religiöser und medizinischer Autorität; (4) angefochtene elterliche Autonomie in patriarchalen Strukturen. Leistungsbezahlte Ärzte dokumentieren lieber, als dass sie Gespräche führen.</w:t>
      </w:r>
    </w:p>
    <w:p>
      <w:r>
        <w:rPr>
          <w:b/>
          <w:sz w:val="19"/>
        </w:rPr>
        <w:t xml:space="preserve">Übertragbarkeit: </w:t>
      </w:r>
      <w:r>
        <w:rPr>
          <w:sz w:val="19"/>
        </w:rPr>
        <w:t>Türkei (LMIC), strukturelle Probleme aber in allen Systemen mit Leistungsvergütung relevant</w:t>
      </w:r>
    </w:p>
    <w:p>
      <w:r>
        <w:rPr>
          <w:color w:val="5A7D3A"/>
          <w:sz w:val="18"/>
        </w:rPr>
        <w:t>https://pubmed.ncbi.nlm.nih.gov/42769268/</w:t>
      </w:r>
    </w:p>
    <w:p>
      <w:pPr>
        <w:pStyle w:val="Heading2"/>
      </w:pPr>
      <w:r>
        <w:t>Adenovirus-Serotyp-Wechsel steigerte Ebola-Impfstoff-Immunantwort in Mäusen</w:t>
      </w:r>
    </w:p>
    <w:p>
      <w:r>
        <w:rPr>
          <w:i/>
          <w:color w:val="666666"/>
          <w:sz w:val="18"/>
        </w:rPr>
        <w:t>Wiggins J et al.  ·  J Med Virol  ·  Sept. 2026  ·  PMID 42765626</w:t>
      </w:r>
    </w:p>
    <w:p>
      <w:r>
        <w:t>Vergleichende Laborstu die mit verschiedenen Adenovirus-Vektoren und Immunisierungsrouten zur Optimierung der Ebolavirus-Glykoproteinin-Immunogenität.</w:t>
      </w:r>
    </w:p>
    <w:p>
      <w:r>
        <w:rPr>
          <w:b/>
        </w:rPr>
        <w:t xml:space="preserve">Ergebnis: </w:t>
      </w:r>
      <w:r>
        <w:t>Species-C-Vektoren (Ad5, Ad6) zeigten starke Antikörperreaktionen und schnelle Klassenumwandlung zu IgG im Vergleich zu Species B und D. Serotyp-Wechsel-Schemata erhöhten Antikörperniveaus und erzeugte robuste T-Zell-Reaktionen bei intramuskulärer Gabe. Intranasale Gabe induzierte nachweisbares IgA, aber keine messbaren T-Zell-Antworten – routenabhängige Immunkompartimentalisierung.</w:t>
      </w:r>
    </w:p>
    <w:p>
      <w:r>
        <w:rPr>
          <w:b/>
          <w:sz w:val="19"/>
        </w:rPr>
        <w:t xml:space="preserve">Übertragbarkeit: </w:t>
      </w:r>
      <w:r>
        <w:rPr>
          <w:sz w:val="19"/>
        </w:rPr>
        <w:t>Präklinische Mausstudien, Impfstoff-Entwicklungsphase, keine direkten Versorgungsdaten</w:t>
      </w:r>
    </w:p>
    <w:p>
      <w:r>
        <w:rPr>
          <w:color w:val="5A7D3A"/>
          <w:sz w:val="18"/>
        </w:rPr>
        <w:t>https://pubmed.ncbi.nlm.nih.gov/42765626/</w:t>
      </w:r>
    </w:p>
    <w:p>
      <w:pPr>
        <w:pStyle w:val="Heading2"/>
      </w:pPr>
      <w:r>
        <w:t>MMR-Impf-Anaphylaxie durch Schweineglatine: Fallbericht und praktische Empfehlungen</w:t>
      </w:r>
    </w:p>
    <w:p>
      <w:r>
        <w:rPr>
          <w:i/>
          <w:color w:val="666666"/>
          <w:sz w:val="18"/>
        </w:rPr>
        <w:t>Iordachescu M et al.  ·  Rev Med Liege  ·  Sept. 2026  ·  PMID 42751843</w:t>
      </w:r>
    </w:p>
    <w:p>
      <w:r>
        <w:t>Zwei pädiatrische Fallberichte von Anaphylaxie nach M-M-RVaxPro®-Impfung, zugeordnet der Schweineglatine (14,5 mg/Dosis) als Stabilisator.</w:t>
      </w:r>
    </w:p>
    <w:p>
      <w:r>
        <w:rPr>
          <w:b/>
        </w:rPr>
        <w:t xml:space="preserve">Ergebnis: </w:t>
      </w:r>
      <w:r>
        <w:t>Beide Patienten entwickelten schwere Reaktionen nach Auffrischung mit positiven Haut- und Bluttests für Gelatin; Allergien gegen Neomycin, Latex und Chlorhexidin ausgeschlossen. Empfehlungen: Vermeidung gelatinehaltiger Impfstoffe, Substitution mit gelatinefreien Alternativen (Priorix®), orale Herausforderungsprobe für Lebensmitteltoleranz, Epinephrin-Notfallset, Spitalüberwachung bei Mastzellstörungen.</w:t>
      </w:r>
    </w:p>
    <w:p>
      <w:r>
        <w:rPr>
          <w:b/>
          <w:sz w:val="19"/>
        </w:rPr>
        <w:t xml:space="preserve">Übertragbarkeit: </w:t>
      </w:r>
      <w:r>
        <w:rPr>
          <w:sz w:val="19"/>
        </w:rPr>
        <w:t>Belgien, europäische Fallberichte, Sicherheitserkenntnis für alle Mastzell-Erkrankungen</w:t>
      </w:r>
    </w:p>
    <w:p>
      <w:r>
        <w:rPr>
          <w:color w:val="5A7D3A"/>
          <w:sz w:val="18"/>
        </w:rPr>
        <w:t>https://pubmed.ncbi.nlm.nih.gov/42751843/</w:t>
      </w:r>
    </w:p>
    <w:p>
      <w:pPr>
        <w:pStyle w:val="Heading2"/>
      </w:pPr>
      <w:r>
        <w:t>RSV-Impfstoff verhinderte 70 % der Hospitalisierungen bei Erwachsenen</w:t>
      </w:r>
    </w:p>
    <w:p>
      <w:r>
        <w:rPr>
          <w:i/>
          <w:color w:val="666666"/>
          <w:sz w:val="18"/>
        </w:rPr>
        <w:t>Lassen MCH et al.  ·  NEJM Evid  ·  29.08.2026  ·  PMID 42666095</w:t>
      </w:r>
    </w:p>
    <w:p>
      <w:r>
        <w:t>Pragmatische randomisierte Studie zum Schutz der bivalenten RSV-Präfusion-F-Impfung vor RSV-Hospitalisierung in Dänemark und Spanien.</w:t>
      </w:r>
    </w:p>
    <w:p>
      <w:r>
        <w:rPr>
          <w:b/>
        </w:rPr>
        <w:t xml:space="preserve">Ergebnis: </w:t>
      </w:r>
      <w:r>
        <w:t>Von 513.358 randomisierten Teilnehmern lag die Impfeffektivität gegen RSV-Atemwegserkrankungen-Hospitalisierung bei 70,3 % (95 %-KI 49,7–83,2), gegen untere Atemwege bei 71,1 % (45,4–85,7). Schwere Nebenwirkungen traten in 2,0 % der Impfgruppe vs. 2,2 % der Kontrollgruppe auf – ein wirksamer und sicherer Impfstoff unter Alltagsbedingungen.</w:t>
      </w:r>
    </w:p>
    <w:p>
      <w:r>
        <w:rPr>
          <w:b/>
          <w:sz w:val="19"/>
        </w:rPr>
        <w:t xml:space="preserve">Übertragbarkeit: </w:t>
      </w:r>
      <w:r>
        <w:rPr>
          <w:sz w:val="19"/>
        </w:rPr>
        <w:t>Dänemark/Spanien, nationale Versicherungsdaten und Routineüberwachung, nicht USA-abhängig</w:t>
      </w:r>
    </w:p>
    <w:p>
      <w:r>
        <w:rPr>
          <w:color w:val="5A7D3A"/>
          <w:sz w:val="18"/>
        </w:rPr>
        <w:t>https://pubmed.ncbi.nlm.nih.gov/42666095/</w:t>
      </w:r>
    </w:p>
    <w:p>
      <w:pPr>
        <w:pStyle w:val="Heading1"/>
      </w:pPr>
      <w:r>
        <w:t>Aufgenommen am 22.09.2026</w:t>
      </w:r>
    </w:p>
    <w:p>
      <w:pPr>
        <w:pStyle w:val="Heading2"/>
      </w:pPr>
      <w:r>
        <w:t>Impfbelastung bei Kindern senken: Leitlinie 2026 zu Schmerz und Angst</w:t>
      </w:r>
    </w:p>
    <w:p>
      <w:r>
        <w:rPr>
          <w:i/>
          <w:color w:val="666666"/>
          <w:sz w:val="18"/>
        </w:rPr>
        <w:t>Taddio A et al.  ·  CMAJ  ·  20.09.2026  ·  PMID 42767684</w:t>
      </w:r>
    </w:p>
    <w:p>
      <w:r>
        <w:t>Systematische Übersichtsarbeiten zu 16 evidenzgestützten Empfehlungen gegen Impfangst und Schmerzen in fünf Domänen (Prozess, Technik, Körperlage, Medikament, Psychologie).</w:t>
      </w:r>
    </w:p>
    <w:p>
      <w:r>
        <w:rPr>
          <w:b/>
        </w:rPr>
        <w:t xml:space="preserve">Ergebnis: </w:t>
      </w:r>
      <w:r>
        <w:t>7 starke Empfehlungen mit moderater bis hoher Evidenz (z. B. mehrkomponentige Prozessinterventionen, orale Ernährung für Säuglinge); 9 bedingte Empfehlungen bei niedriger Evidenz. Empfehlungen zielgruppenspezifisch für Fachpersonen, Impflinge und Angehörige.</w:t>
      </w:r>
    </w:p>
    <w:p>
      <w:r>
        <w:rPr>
          <w:b/>
          <w:sz w:val="19"/>
        </w:rPr>
        <w:t xml:space="preserve">Übertragbarkeit: </w:t>
      </w:r>
      <w:r>
        <w:rPr>
          <w:sz w:val="19"/>
        </w:rPr>
        <w:t>Kanada, GRADE-Methodik, Impfpraxis in Hocheinkommensländern.</w:t>
      </w:r>
    </w:p>
    <w:p>
      <w:r>
        <w:rPr>
          <w:color w:val="5A7D3A"/>
          <w:sz w:val="18"/>
        </w:rPr>
        <w:t>https://pubmed.ncbi.nlm.nih.gov/42767684/</w:t>
      </w:r>
    </w:p>
    <w:p>
      <w:pPr>
        <w:pStyle w:val="Heading2"/>
      </w:pPr>
      <w:r>
        <w:t>HPV-Impfbereitschaft bei Frauen in Sierra Leone: hohe Akzeptanz trotz Wissenslücken</w:t>
      </w:r>
    </w:p>
    <w:p>
      <w:r>
        <w:rPr>
          <w:i/>
          <w:color w:val="666666"/>
          <w:sz w:val="18"/>
        </w:rPr>
        <w:t>Everman S et al.  ·  J Health Care Poor Underserved  ·  2026  ·  PMID 42766516</w:t>
      </w:r>
    </w:p>
    <w:p>
      <w:r>
        <w:t>Querschnittsstudie zur Akzeptanz der HPV-Impfung bei 189 Frauen in ländlichen und städtischen Gegenden Sierra Leones, untersucht Wissen über Gebärmutterhalskrebs und Impfverhalten.</w:t>
      </w:r>
    </w:p>
    <w:p>
      <w:r>
        <w:rPr>
          <w:b/>
        </w:rPr>
        <w:t xml:space="preserve">Ergebnis: </w:t>
      </w:r>
      <w:r>
        <w:t>Geringe Awareness für Gebärmutterhalskrebs und HPV-Impfung. Breite Willingness zur Impfung. Statistisch signifikante positive Assoziation zwischen formaler Bildung und Impfbereitschaft (p &lt; 0,01). Starke Präferenz für Schulmedizin.</w:t>
      </w:r>
    </w:p>
    <w:p>
      <w:r>
        <w:rPr>
          <w:b/>
          <w:sz w:val="19"/>
        </w:rPr>
        <w:t xml:space="preserve">Übertragbarkeit: </w:t>
      </w:r>
      <w:r>
        <w:rPr>
          <w:sz w:val="19"/>
        </w:rPr>
        <w:t>Wenig entwickelte Region, Impfakzeptanz ist Ausgangspunkt für Programmentwicklung.</w:t>
      </w:r>
    </w:p>
    <w:p>
      <w:r>
        <w:rPr>
          <w:color w:val="5A7D3A"/>
          <w:sz w:val="18"/>
        </w:rPr>
        <w:t>https://pubmed.ncbi.nlm.nih.gov/42766516/</w:t>
      </w:r>
    </w:p>
    <w:p>
      <w:pPr>
        <w:pStyle w:val="Heading2"/>
      </w:pPr>
      <w:r>
        <w:t>Saisonimpfung vor A(H5)-Impfung: marginal additivem Nutzen gegen pandemisches H5N1-Risiko</w:t>
      </w:r>
    </w:p>
    <w:p>
      <w:r>
        <w:rPr>
          <w:i/>
          <w:color w:val="666666"/>
          <w:sz w:val="18"/>
        </w:rPr>
        <w:t>Hatta M et al.  ·  Emerg Microbes Infect  ·  21.09.2026  ·  PMID 42765371</w:t>
      </w:r>
    </w:p>
    <w:p>
      <w:r>
        <w:t>Maus- und Frettchen-Modellstudie mit pandemischen H5N1-Viren (Klade 2.3.4.4b) zur Frage, ob saisonale Influenza-Impfung vor A(H5)-Impfung die Schutzwirkung verbessert.</w:t>
      </w:r>
    </w:p>
    <w:p>
      <w:r>
        <w:rPr>
          <w:b/>
        </w:rPr>
        <w:t xml:space="preserve">Ergebnis: </w:t>
      </w:r>
      <w:r>
        <w:t>Saisonale Impfung induzierte keine Antikörper gegen A(H5). Saisonale Impfung vor A(H5)-Impfung war in 1 von 3 Maus-Experimenten mit besseren Outcomes assoziiert, nicht aber in den anderen 2 Maus-Experimenten oder bei Frettchen. Begrenzte additive Vorteile.</w:t>
      </w:r>
    </w:p>
    <w:p>
      <w:r>
        <w:rPr>
          <w:b/>
          <w:sz w:val="19"/>
        </w:rPr>
        <w:t xml:space="preserve">Übertragbarkeit: </w:t>
      </w:r>
      <w:r>
        <w:rPr>
          <w:sz w:val="19"/>
        </w:rPr>
        <w:t>Präklinische Modelle, Pandemiebereitscha Deutschland für Ressourcenpriorisierung.</w:t>
      </w:r>
    </w:p>
    <w:p>
      <w:r>
        <w:rPr>
          <w:color w:val="5A7D3A"/>
          <w:sz w:val="18"/>
        </w:rPr>
        <w:t>https://pubmed.ncbi.nlm.nih.gov/42765371/</w:t>
      </w:r>
    </w:p>
    <w:p>
      <w:pPr>
        <w:pStyle w:val="Heading2"/>
      </w:pPr>
      <w:r>
        <w:t>Influenza- und Pneumokokken-Impfungen in Südafrika 2017–2021: COVID-19 beeinflusste Versorgungsmuster</w:t>
      </w:r>
    </w:p>
    <w:p>
      <w:r>
        <w:rPr>
          <w:i/>
          <w:color w:val="666666"/>
          <w:sz w:val="18"/>
        </w:rPr>
        <w:t>Truter I et al.  ·  Pharmacoepidemiol Drug Saf  ·  Okt. 2026  ·  PMID 42764173</w:t>
      </w:r>
    </w:p>
    <w:p>
      <w:r>
        <w:t>Longitudinale pharmakoepidemiologische Studie zu Abgabemengen von Influenza- und Pneumokokken-Impfstoffen in privaten Krankenversicherungsdaten Südafrikas (3,8 Mio. Versicherte).</w:t>
      </w:r>
    </w:p>
    <w:p>
      <w:r>
        <w:rPr>
          <w:b/>
        </w:rPr>
        <w:t xml:space="preserve">Ergebnis: </w:t>
      </w:r>
      <w:r>
        <w:t>Jährliche Abgabemuster unterschieden sich signifikant (p &lt; 0,01), Influenza-Impfung hauptsächlich März–Juni. Post-COVID-19 (2020–2021): signifikant mehr Influenza-Impfungen März–Juni (p &lt; 0,01), leichte Zunahme Pneumokokken-Impfungen (p &lt; 0,05). COVID-19-Impfung hatte insgesamt keinen signifikanten Effekt auf die Muster.</w:t>
      </w:r>
    </w:p>
    <w:p>
      <w:r>
        <w:rPr>
          <w:b/>
          <w:sz w:val="19"/>
        </w:rPr>
        <w:t xml:space="preserve">Übertragbarkeit: </w:t>
      </w:r>
      <w:r>
        <w:rPr>
          <w:sz w:val="19"/>
        </w:rPr>
        <w:t>Südafrika, Versicherungsdaten, Versorgungsrealität im Privatsektor.</w:t>
      </w:r>
    </w:p>
    <w:p>
      <w:r>
        <w:rPr>
          <w:color w:val="5A7D3A"/>
          <w:sz w:val="18"/>
        </w:rPr>
        <w:t>https://pubmed.ncbi.nlm.nih.gov/42764173/</w:t>
      </w:r>
    </w:p>
    <w:p>
      <w:pPr>
        <w:pStyle w:val="Heading2"/>
      </w:pPr>
      <w:r>
        <w:t>Influenza-Impfeffektivität bei Kindern in der Primärversorgung: 79 % Schutz vor laborbestätigter Erkrankung</w:t>
      </w:r>
    </w:p>
    <w:p>
      <w:r>
        <w:rPr>
          <w:i/>
          <w:color w:val="666666"/>
          <w:sz w:val="18"/>
        </w:rPr>
        <w:t>Barretta M et al.  ·  Clin Microbiol Infect  ·  11.07.2026  ·  PMID 42435855</w:t>
      </w:r>
    </w:p>
    <w:p>
      <w:r>
        <w:t>Multizenterstudie unter italienischen Kinderärzten zur Influenza-Impfeffektivität in der ambulanten Versorgung während der Saison 2024/2025.</w:t>
      </w:r>
    </w:p>
    <w:p>
      <w:r>
        <w:rPr>
          <w:b/>
        </w:rPr>
        <w:t xml:space="preserve">Ergebnis: </w:t>
      </w:r>
      <w:r>
        <w:t>79 % Reduktion von laborbestätigter Influenza bei geimpften vs. ungeimpften Kindern (95%-KI: 70–86 %). Kohorten-Analyse zeigte 76 % VE (95%-KI: 67–82 %). Effektivität konsistent für unterschiedliche Impfstofftypen und Testmethoden. Kein Schutz vor nicht-influenzabedingten Atemwegsinfekten.</w:t>
      </w:r>
    </w:p>
    <w:p>
      <w:r>
        <w:rPr>
          <w:b/>
          <w:sz w:val="19"/>
        </w:rPr>
        <w:t xml:space="preserve">Übertragbarkeit: </w:t>
      </w:r>
      <w:r>
        <w:rPr>
          <w:sz w:val="19"/>
        </w:rPr>
        <w:t>Italien, vergleichbare pädiatrische Versorgungsstrukturen, Praxisdaten.</w:t>
      </w:r>
    </w:p>
    <w:p>
      <w:r>
        <w:rPr>
          <w:color w:val="5A7D3A"/>
          <w:sz w:val="18"/>
        </w:rPr>
        <w:t>https://pubmed.ncbi.nlm.nih.gov/42435855/</w:t>
      </w:r>
    </w:p>
    <w:p>
      <w:pPr>
        <w:pStyle w:val="Heading1"/>
      </w:pPr>
      <w:r>
        <w:t>Aufgenommen am 21.09.2026</w:t>
      </w:r>
    </w:p>
    <w:p>
      <w:pPr>
        <w:pStyle w:val="Heading2"/>
      </w:pPr>
      <w:r>
        <w:t>Impfstoffsicherheit: Meningokokken-B und Routineimpfungen bei Säuglingen</w:t>
      </w:r>
    </w:p>
    <w:p>
      <w:r>
        <w:rPr>
          <w:i/>
          <w:color w:val="666666"/>
          <w:sz w:val="18"/>
        </w:rPr>
        <w:t>Nguyen T et al.  ·  Med J Aust  ·  Sept. 2026  ·  PMID 42764145</w:t>
      </w:r>
    </w:p>
    <w:p>
      <w:r>
        <w:t>Die Studie vergleicht Sicherheit und Reaktionen bei gleichzeitiger oder separater Verabreichung von Meningokokken-B-Impfstoff mit anderen Säuglingsimpfungen an 2-, 4-, 6- und 12 Monaten.</w:t>
      </w:r>
    </w:p>
    <w:p>
      <w:r>
        <w:rPr>
          <w:b/>
        </w:rPr>
        <w:t xml:space="preserve">Ergebnis: </w:t>
      </w:r>
      <w:r>
        <w:t>Bei 10.959 Säuglingen war die kumulative Rate unerwünschter Ereignisse nach gleichzeitiger Gabe bei 2 Monaten niedriger (29 % vs. 35 %, Risikodifferenz −6,7 %), bei 4, 6 und 12 Monaten vergleichbar. Ärztliche Konsultationen waren bei 12 Monaten unter gleichzeitiger Gabe seltener (4,1 % vs. 6,3 %). Separate Verabreichung reduziert nicht, kann aber die Reaktionslast erhöhen.</w:t>
      </w:r>
    </w:p>
    <w:p>
      <w:r>
        <w:rPr>
          <w:b/>
          <w:sz w:val="19"/>
        </w:rPr>
        <w:t xml:space="preserve">Übertragbarkeit: </w:t>
      </w:r>
      <w:r>
        <w:rPr>
          <w:sz w:val="19"/>
        </w:rPr>
        <w:t>Australien, vergleichbare Surveillance-Methodik über Online-Befragung anwendbar</w:t>
      </w:r>
    </w:p>
    <w:p>
      <w:r>
        <w:rPr>
          <w:color w:val="5A7D3A"/>
          <w:sz w:val="18"/>
        </w:rPr>
        <w:t>https://pubmed.ncbi.nlm.nih.gov/42764145/</w:t>
      </w:r>
    </w:p>
    <w:p>
      <w:pPr>
        <w:pStyle w:val="Heading2"/>
      </w:pPr>
      <w:r>
        <w:t>SARS-CoV-2 Langzeitschutz: MVA-Impfung erreicht mRNA-Niveau</w:t>
      </w:r>
    </w:p>
    <w:p>
      <w:r>
        <w:rPr>
          <w:i/>
          <w:color w:val="666666"/>
          <w:sz w:val="18"/>
        </w:rPr>
        <w:t>Pérez P et al.  ·  Front Immunol  ·  31.08.2026  ·  PMID 42741364</w:t>
      </w:r>
    </w:p>
    <w:p>
      <w:r>
        <w:t>Studie vergleicht Langzeitimmunität und Schutzwirkung nach homologer oder heterologer mRNA- und MVA-Impfung gegen XBB.1.5 in K18-hACE2-Mäusen über 9 Monate.</w:t>
      </w:r>
    </w:p>
    <w:p>
      <w:r>
        <w:rPr>
          <w:b/>
        </w:rPr>
        <w:t xml:space="preserve">Ergebnis: </w:t>
      </w:r>
      <w:r>
        <w:t>Alle Zwei-Dosen-Regimen reduzierten viral RNA und infektiöse Viruslast in oberen und unteren Atemwegen nach Challenge markant und vergleichbar. Bindungs-IgG blieb über 9 Monate hoch, neutralisierende Antikörper nahmen ab. mRNA/MVA-Heterologer Regimen zeigte Trend zu besserer CD8+-T-Zell-Persistenz. MVA als thermostabiler und kostengünstiger Kandidat bestätigt.</w:t>
      </w:r>
    </w:p>
    <w:p>
      <w:r>
        <w:rPr>
          <w:b/>
          <w:sz w:val="19"/>
        </w:rPr>
        <w:t xml:space="preserve">Übertragbarkeit: </w:t>
      </w:r>
      <w:r>
        <w:rPr>
          <w:sz w:val="19"/>
        </w:rPr>
        <w:t>Experimentell in Mäusen; Strategie für globale thermostabile Impfstoffversorgung relevant</w:t>
      </w:r>
    </w:p>
    <w:p>
      <w:r>
        <w:rPr>
          <w:color w:val="5A7D3A"/>
          <w:sz w:val="18"/>
        </w:rPr>
        <w:t>https://pubmed.ncbi.nlm.nih.gov/42741364/</w:t>
      </w:r>
    </w:p>
    <w:p>
      <w:pPr>
        <w:pStyle w:val="Heading2"/>
      </w:pPr>
      <w:r>
        <w:t>Digitale Impfdienste in Impfzentren: Strategien zur Effizienzsteigerung</w:t>
      </w:r>
    </w:p>
    <w:p>
      <w:r>
        <w:rPr>
          <w:i/>
          <w:color w:val="666666"/>
          <w:sz w:val="18"/>
        </w:rPr>
        <w:t>Song YF et al.  ·  Zhonghua Yu Fang Yi Xue Za Zhi  ·  06.09.2026  ·  PMID 42736157</w:t>
      </w:r>
    </w:p>
    <w:p>
      <w:r>
        <w:t>Chinesische Systemanalyse zu Strategien und Praktiken für digitale Services in Impfzentren, um Versorgungsqualität und Effizienz zu verbessern.</w:t>
      </w:r>
    </w:p>
    <w:p>
      <w:r>
        <w:rPr>
          <w:b/>
        </w:rPr>
        <w:t xml:space="preserve">Ergebnis: </w:t>
      </w:r>
      <w:r>
        <w:t>Artikel definiert digitale Impfdienste systematisch als Antwort auf steigende Impfstoffvielfalt, höhere Bevölkerungsmobilität und diversifizierte Impfbedarfe. Hauptkomponenten sind digitale Verwaltung, Planung und Patientenmanagement. Implementierungsempfehlungen zielen auf Verbesserung von Verwaltungseffizienz und Servicequalität.</w:t>
      </w:r>
    </w:p>
    <w:p>
      <w:r>
        <w:rPr>
          <w:b/>
          <w:sz w:val="19"/>
        </w:rPr>
        <w:t xml:space="preserve">Übertragbarkeit: </w:t>
      </w:r>
      <w:r>
        <w:rPr>
          <w:sz w:val="19"/>
        </w:rPr>
        <w:t>China; Systemansatz übertragbar auf Optimierung der Impflogistik in Gesundheitssystemen</w:t>
      </w:r>
    </w:p>
    <w:p>
      <w:r>
        <w:rPr>
          <w:color w:val="5A7D3A"/>
          <w:sz w:val="18"/>
        </w:rPr>
        <w:t>https://pubmed.ncbi.nlm.nih.gov/42736157/</w:t>
      </w:r>
    </w:p>
    <w:p>
      <w:pPr>
        <w:pStyle w:val="Heading2"/>
      </w:pPr>
      <w:r>
        <w:t>Dengue- und Chikungunya-Impfstoffe: Verfügbarkeit und Versorgungslücken</w:t>
      </w:r>
    </w:p>
    <w:p>
      <w:r>
        <w:rPr>
          <w:i/>
          <w:color w:val="666666"/>
          <w:sz w:val="18"/>
        </w:rPr>
        <w:t>Tee KK et al.  ·  Hum Vaccin Immunother  ·  10.09.2026  ·  PMID 42720969</w:t>
      </w:r>
    </w:p>
    <w:p>
      <w:r>
        <w:t>Analyse der Lücke zwischen Impfstoffverfügbarkeit nach regulativer Zulassung und tatsächlicher Aufnahme in nationale Impfprogramme in Ländern mit Übertragungsrisiko.</w:t>
      </w:r>
    </w:p>
    <w:p>
      <w:r>
        <w:rPr>
          <w:b/>
        </w:rPr>
        <w:t xml:space="preserve">Ergebnis: </w:t>
      </w:r>
      <w:r>
        <w:t>Dengue- und Chikungunya-Impfstoffe sind verfügbar, aber ihre Aufnahme in nationale Programme in vielen Hochrisiko-Ländern bleibt begrenzt oder ungleich verteilt. Die zentrale Herausforderung liegt nicht nur in der Verfügbarkeit, sondern in einem mehrschichtigen Zugangsdefizit: initiale Verfügbarkeit, anhaltende Bereitstellung und Anpassung an Übertragungsrisiko.</w:t>
      </w:r>
    </w:p>
    <w:p>
      <w:r>
        <w:rPr>
          <w:b/>
          <w:sz w:val="19"/>
        </w:rPr>
        <w:t xml:space="preserve">Übertragbarkeit: </w:t>
      </w:r>
      <w:r>
        <w:rPr>
          <w:sz w:val="19"/>
        </w:rPr>
        <w:t>Globale Perspektive; übertragbar auf Systemfähigkeit und Priorisierung in Gesundheitssystemen</w:t>
      </w:r>
    </w:p>
    <w:p>
      <w:r>
        <w:rPr>
          <w:color w:val="5A7D3A"/>
          <w:sz w:val="18"/>
        </w:rPr>
        <w:t>https://pubmed.ncbi.nlm.nih.gov/42720969/</w:t>
      </w:r>
    </w:p>
    <w:p>
      <w:pPr>
        <w:pStyle w:val="Heading2"/>
      </w:pPr>
      <w:r>
        <w:t>Impfstoff-Notfallreserven: Globales System entwickelt sich weiter</w:t>
      </w:r>
    </w:p>
    <w:p>
      <w:r>
        <w:rPr>
          <w:i/>
          <w:color w:val="666666"/>
          <w:sz w:val="18"/>
        </w:rPr>
        <w:t>Walldorf JA et al.  ·  Expert Rev Vaccines  ·  10.09.2026  ·  PMID 42717903</w:t>
      </w:r>
    </w:p>
    <w:p>
      <w:r>
        <w:t>Übersicht über die Entwicklung globaler Impfstoff-Stockpile-Strategien von 2014–2025 für Cholera, Gelbfieber, Polio, Meningokokken, COVID-19, Ebola und Mpox.</w:t>
      </w:r>
    </w:p>
    <w:p>
      <w:r>
        <w:rPr>
          <w:b/>
        </w:rPr>
        <w:t xml:space="preserve">Ergebnis: </w:t>
      </w:r>
      <w:r>
        <w:t>Globale Stockpile wurden für mehrere Impfstoffe etabliert. Die Strategie hat sich von reaktiv zu integriert entwickelt und verbindet Notfallreaktion mit Präventionsstrategie. Beschleunigte Impfstoffentwicklung erfordert effiziente und transparente Stockpile-Verwaltung für gerechte, bedarfsgerechte Verteilung.</w:t>
      </w:r>
    </w:p>
    <w:p>
      <w:r>
        <w:rPr>
          <w:b/>
          <w:sz w:val="19"/>
        </w:rPr>
        <w:t xml:space="preserve">Übertragbarkeit: </w:t>
      </w:r>
      <w:r>
        <w:rPr>
          <w:sz w:val="19"/>
        </w:rPr>
        <w:t>Governance und Versorgungslogistik; System betrifft Deutschland als Teilnehmer globaler Netzwerke</w:t>
      </w:r>
    </w:p>
    <w:p>
      <w:r>
        <w:rPr>
          <w:color w:val="5A7D3A"/>
          <w:sz w:val="18"/>
        </w:rPr>
        <w:t>https://pubmed.ncbi.nlm.nih.gov/42717903/</w:t>
      </w:r>
    </w:p>
    <w:p>
      <w:pPr>
        <w:pStyle w:val="Heading2"/>
      </w:pPr>
      <w:r>
        <w:t>BNT162b2-mRNA-Impfung: Plasmazytoide dendritische Zellen lenken Immunantwort</w:t>
      </w:r>
    </w:p>
    <w:p>
      <w:r>
        <w:rPr>
          <w:i/>
          <w:color w:val="666666"/>
          <w:sz w:val="18"/>
        </w:rPr>
        <w:t>Pizzichetti C et al.  ·  EBioMedicine  ·  21.08.2026  ·  PMID 42628376</w:t>
      </w:r>
    </w:p>
    <w:p>
      <w:r>
        <w:t>Vorklinische Mausstudie zur Rolle plasmatischer dendritischer Zellen (pDCs) bei humoralen und CD8+-T-Zell-Gedächtnisantworten nach BNT162b2-Impfung.</w:t>
      </w:r>
    </w:p>
    <w:p>
      <w:r>
        <w:rPr>
          <w:b/>
        </w:rPr>
        <w:t xml:space="preserve">Ergebnis: </w:t>
      </w:r>
      <w:r>
        <w:t>BNT162b2 wurde schnell zu drainierenden Lymphknoten transportiert, wo es hauptsächlich von Leukozyten aufgenommen wurde, die daraufhin Spike-Protein exprimierten. pDCs zeigten sich als Regulatoren entzündlicher und humoraler Immunantworten. Single-Cell-Transkriptomik offenbarte aktive Interaktionen zwischen pDCs und CD8+-T-Zellen; funktionelle Studien bestätigten, dass pDCs CD8+-T-Zell-Aktivierung und -Expansion fördern.</w:t>
      </w:r>
    </w:p>
    <w:p>
      <w:r>
        <w:rPr>
          <w:b/>
          <w:sz w:val="19"/>
        </w:rPr>
        <w:t xml:space="preserve">Übertragbarkeit: </w:t>
      </w:r>
      <w:r>
        <w:rPr>
          <w:sz w:val="19"/>
        </w:rPr>
        <w:t>Vorklinisch; Mechanismusverständnis der mRNA-Impfstoffwirksamkeit</w:t>
      </w:r>
    </w:p>
    <w:p>
      <w:r>
        <w:rPr>
          <w:color w:val="5A7D3A"/>
          <w:sz w:val="18"/>
        </w:rPr>
        <w:t>https://pubmed.ncbi.nlm.nih.gov/42628376/</w:t>
      </w:r>
    </w:p>
    <w:p>
      <w:pPr>
        <w:pStyle w:val="Heading1"/>
      </w:pPr>
      <w:r>
        <w:t>Aufgenommen am 20.09.2026</w:t>
      </w:r>
    </w:p>
    <w:p>
      <w:pPr>
        <w:pStyle w:val="Heading2"/>
      </w:pPr>
      <w:r>
        <w:t>COVID-19-Impfquote bei Lebertransplantierten: 84,9% mit stabiler psychosozialer Gesundheit</w:t>
      </w:r>
    </w:p>
    <w:p>
      <w:r>
        <w:rPr>
          <w:i/>
          <w:color w:val="666666"/>
          <w:sz w:val="18"/>
        </w:rPr>
        <w:t>Akbulut S et al.  ·  Front Public Health  ·  04.09.2026  ·  PMID 42761137</w:t>
      </w:r>
    </w:p>
    <w:p>
      <w:r>
        <w:t>Querschnittsstudie von 311 Lebertransplantierten in der Türkei zu Impfstatus, Impfakzeptanz, Hesitanz, Präventionsverhalten und psychosozialer Gesundheit.</w:t>
      </w:r>
    </w:p>
    <w:p>
      <w:r>
        <w:rPr>
          <w:b/>
        </w:rPr>
        <w:t xml:space="preserve">Ergebnis: </w:t>
      </w:r>
      <w:r>
        <w:t>84,9% Impfquote; Hauptgründe: Empfehlungen von Fachleuten (p=n.s.), wahrgenommene höhere Mortalität chronisch Kranker. Hesitanz wegen unzureichender Effektivitäts- und Sicherheitsdaten, Anti-Impf-Inhalte in sozialen Medien. Psychosoziales Wohlbefinden assoziiert mit Einkommen, Immunsuppression und Informationsquellen; Impfstatus nicht robust mit Risikoperzeption assoziiert.</w:t>
      </w:r>
    </w:p>
    <w:p>
      <w:r>
        <w:rPr>
          <w:b/>
          <w:sz w:val="19"/>
        </w:rPr>
        <w:t xml:space="preserve">Übertragbarkeit: </w:t>
      </w:r>
      <w:r>
        <w:rPr>
          <w:sz w:val="19"/>
        </w:rPr>
        <w:t>Türkei, aber Erkenntnisse zu Impfakzeptanz in Hochrisiko-Kohorten übertragbar</w:t>
      </w:r>
    </w:p>
    <w:p>
      <w:r>
        <w:rPr>
          <w:color w:val="5A7D3A"/>
          <w:sz w:val="18"/>
        </w:rPr>
        <w:t>https://pubmed.ncbi.nlm.nih.gov/42761137/</w:t>
      </w:r>
    </w:p>
    <w:p>
      <w:pPr>
        <w:pStyle w:val="Heading2"/>
      </w:pPr>
      <w:r>
        <w:t>HSV-1-Infektion nach Grippeimpfung: Kasuistik einer zeitlichen Assoziation</w:t>
      </w:r>
    </w:p>
    <w:p>
      <w:r>
        <w:rPr>
          <w:i/>
          <w:color w:val="666666"/>
          <w:sz w:val="18"/>
        </w:rPr>
        <w:t>Liu YH et al.  ·  Hum Vaccin Immunother  ·  18.09.2026  ·  PMID 42757534</w:t>
      </w:r>
    </w:p>
    <w:p>
      <w:r>
        <w:t>Fallbericht eines 28-Jährigen mit multifokaler HSV-1-Infektion sieben Tage nach Influenzaimpfung ohne bekannte Immunsuppression.</w:t>
      </w:r>
    </w:p>
    <w:p>
      <w:r>
        <w:rPr>
          <w:b/>
        </w:rPr>
        <w:t xml:space="preserve">Ergebnis: </w:t>
      </w:r>
      <w:r>
        <w:t>PCR bestätigte HSV-1-DNA in Läsionen; vollständige klinische Remission nach intravenösem Acyclovir. Kausalität kann nicht etabliert werden, zeitliche Nähe ist jedoch bemerkenswert; Differentialdiagnose sollte HSV-Infektionen nach Impfung einbeziehen, ohne Kausalität zu implizieren.</w:t>
      </w:r>
    </w:p>
    <w:p>
      <w:r>
        <w:rPr>
          <w:b/>
          <w:sz w:val="19"/>
        </w:rPr>
        <w:t xml:space="preserve">Übertragbarkeit: </w:t>
      </w:r>
      <w:r>
        <w:rPr>
          <w:sz w:val="19"/>
        </w:rPr>
        <w:t>Deutschland, klinische Einzelfallbeobachtung in Versorgungspraxis relevant</w:t>
      </w:r>
    </w:p>
    <w:p>
      <w:r>
        <w:rPr>
          <w:color w:val="5A7D3A"/>
          <w:sz w:val="18"/>
        </w:rPr>
        <w:t>https://pubmed.ncbi.nlm.nih.gov/42757534/</w:t>
      </w:r>
    </w:p>
    <w:p>
      <w:pPr>
        <w:pStyle w:val="Heading2"/>
      </w:pPr>
      <w:r>
        <w:t>Sabin-IPV in Erwachsenen: Sicherheitsprofil gleichwertig mit konventionellem Polio-Impfstoff</w:t>
      </w:r>
    </w:p>
    <w:p>
      <w:r>
        <w:rPr>
          <w:i/>
          <w:color w:val="666666"/>
          <w:sz w:val="18"/>
        </w:rPr>
        <w:t>Hussain M et al.  ·  Front Public Health  ·  03.09.2026  ·  PMID 42755970</w:t>
      </w:r>
    </w:p>
    <w:p>
      <w:r>
        <w:t>Systematische Übersicht und Meta-Analyse von vier RCTs (70–340 Teilnehmer) zum Vergleich der Sicherheit von Sabin-abgeleiteter inaktivierter Poliovirus-Impfung (sIPV) mit konventioneller IPV bei Erwachsenen als Auffrischung.</w:t>
      </w:r>
    </w:p>
    <w:p>
      <w:r>
        <w:rPr>
          <w:b/>
        </w:rPr>
        <w:t xml:space="preserve">Ergebnis: </w:t>
      </w:r>
      <w:r>
        <w:t>Kein statistisch signifikanter Unterschied in unerwünschten Ereignissen: Schmerz (RR 1,57; 95%-KI 0,98–2,50), Erythem (RR 1,54; 95%-KI 0,64–3,69), Fieber (RR 0,96; 95%-KI 0,39–2,33). Heterogenität I²=0%. Nebenwirkungen mild und transient, die meisten Studien berichteten keine ernstlichen unerwünschten Ereignisse. Evidenzsicherheit niedrig bis sehr niedrig wegen kleiner Stichproben.</w:t>
      </w:r>
    </w:p>
    <w:p>
      <w:r>
        <w:rPr>
          <w:b/>
          <w:sz w:val="19"/>
        </w:rPr>
        <w:t xml:space="preserve">Übertragbarkeit: </w:t>
      </w:r>
      <w:r>
        <w:rPr>
          <w:sz w:val="19"/>
        </w:rPr>
        <w:t>Evidenz aus RCTs, aber kleine Fallzahlen; sIPV-Zulassung in Deutschland prüfen</w:t>
      </w:r>
    </w:p>
    <w:p>
      <w:r>
        <w:rPr>
          <w:color w:val="5A7D3A"/>
          <w:sz w:val="18"/>
        </w:rPr>
        <w:t>https://pubmed.ncbi.nlm.nih.gov/42755970/</w:t>
      </w:r>
    </w:p>
    <w:p>
      <w:pPr>
        <w:pStyle w:val="Heading2"/>
      </w:pPr>
      <w:r>
        <w:t>mRNA-Impfung bei Post-COVID: Funktionelle Besserung unabhängig vom Impfstatus</w:t>
      </w:r>
    </w:p>
    <w:p>
      <w:r>
        <w:rPr>
          <w:i/>
          <w:color w:val="666666"/>
          <w:sz w:val="18"/>
        </w:rPr>
        <w:t>Pries P et al.  ·  Expert Rev Vaccines  ·  17.09.2026  ·  PMID 42755271</w:t>
      </w:r>
    </w:p>
    <w:p>
      <w:r>
        <w:t>Retrospektive Kohortenstudie zur Frage, ob mRNA-SARS-CoV-2-Impfungen bei Patienten mit Langzeit-COVID (PASC) Symptome verschlimmern oder die Genesung beeinträchtigen.</w:t>
      </w:r>
    </w:p>
    <w:p>
      <w:r>
        <w:rPr>
          <w:b/>
        </w:rPr>
        <w:t xml:space="preserve">Ergebnis: </w:t>
      </w:r>
      <w:r>
        <w:t>174 geimpfte und ungeimpfte PASC-Patienten zeigten nach 3–6 Monaten in beiden Gruppen signifikante Verbesserungen bei Müdigkeit und Leistungsfähigkeit; kein statistisch signifikanter Unterschied zwischen Gruppen. Die Studie findet keine Evidenz für eine Verschlechterung durch Impfung, kleinere Effekte sind aber nicht ausgeschlossen.</w:t>
      </w:r>
    </w:p>
    <w:p>
      <w:r>
        <w:rPr>
          <w:b/>
          <w:sz w:val="19"/>
        </w:rPr>
        <w:t xml:space="preserve">Übertragbarkeit: </w:t>
      </w:r>
      <w:r>
        <w:rPr>
          <w:sz w:val="19"/>
        </w:rPr>
        <w:t>Deutschland, vergleichbare Gesundheitssysteme, ambulante Langzeit-COVID-Versorgung</w:t>
      </w:r>
    </w:p>
    <w:p>
      <w:r>
        <w:rPr>
          <w:color w:val="5A7D3A"/>
          <w:sz w:val="18"/>
        </w:rPr>
        <w:t>https://pubmed.ncbi.nlm.nih.gov/42755271/</w:t>
      </w:r>
    </w:p>
    <w:p>
      <w:pPr>
        <w:pStyle w:val="Heading2"/>
      </w:pPr>
      <w:r>
        <w:t>BCG-Immuntherapie bei Typ-1-Diabetes: Glukosemetabolismus korrigiert, HbA1c-Reduktion 8 Jahre stabil</w:t>
      </w:r>
    </w:p>
    <w:p>
      <w:r>
        <w:rPr>
          <w:i/>
          <w:color w:val="666666"/>
          <w:sz w:val="18"/>
        </w:rPr>
        <w:t>Faustman DL et al.  ·  Cells  ·  03.09.2026  ·  PMID 42738899</w:t>
      </w:r>
    </w:p>
    <w:p>
      <w:r>
        <w:t>Übersichtsarbeit zu klinischen Studien und mechanistischen Arbeiten über multi-Dosis-BCG-Immuntherapie bei Typ-1-Diabetes (T1D) und latent autoimmune diabetes in adults (LADA) über 15 Jahre.</w:t>
      </w:r>
    </w:p>
    <w:p>
      <w:r>
        <w:rPr>
          <w:b/>
        </w:rPr>
        <w:t xml:space="preserve">Ergebnis: </w:t>
      </w:r>
      <w:r>
        <w:t>T1D: Multiple klinische Studien zeigen stabile, wiederholte Reduktionen des HbA1c zu nahezu normalen Werten (vs. Placebo) für mindestens 8 Jahre, ohne Wiederherstellung der Pankreasfunction. Mechanismus: BCG-induzierte Korrektur von aerober Glykolyse-Defekten in lymphoiden/myeloiden Zellen → erhöhter Glukoseaufnahme nachgewiesen durch Langzeit-PET/CT. LADA: Minimale oder fehlende klinische Verbesserung; aber BCG reduziert Entzündung und fördert regulatorische T-Zellen. Epigenetische Umgestaltung ohne Genotyp-Änderung.</w:t>
      </w:r>
    </w:p>
    <w:p>
      <w:r>
        <w:rPr>
          <w:b/>
          <w:sz w:val="19"/>
        </w:rPr>
        <w:t xml:space="preserve">Übertragbarkeit: </w:t>
      </w:r>
      <w:r>
        <w:rPr>
          <w:sz w:val="19"/>
        </w:rPr>
        <w:t>USA-Studien mit deutschen Kliniken; Diabetes-Versorgung übertragbar</w:t>
      </w:r>
    </w:p>
    <w:p>
      <w:r>
        <w:rPr>
          <w:color w:val="5A7D3A"/>
          <w:sz w:val="18"/>
        </w:rPr>
        <w:t>https://pubmed.ncbi.nlm.nih.gov/42738899/</w:t>
      </w:r>
    </w:p>
    <w:p>
      <w:pPr>
        <w:pStyle w:val="Heading2"/>
      </w:pPr>
      <w:r>
        <w:t>BCG-Impfung bei Kindern: Genetische Varianten in Entzündungsproteinen zeigen Interaktion mit Impfantwort</w:t>
      </w:r>
    </w:p>
    <w:p>
      <w:r>
        <w:rPr>
          <w:i/>
          <w:color w:val="666666"/>
          <w:sz w:val="18"/>
        </w:rPr>
        <w:t>Boahen CK et al.  ·  Biomed Pharmacother  ·  13.08.2026  ·  PMID 42594746</w:t>
      </w:r>
    </w:p>
    <w:p>
      <w:r>
        <w:t>Genom-weites pQTL-Mapping (Protein-Quantitative-Trait-Loci) von 65 zirkulierenden Entzündungsproteinen bei Monat 13 post-BCG-Impfung in dänischen Kindern zur Identifikation genetischer Varianten, die die Immunantwort beeinflussen.</w:t>
      </w:r>
    </w:p>
    <w:p>
      <w:r>
        <w:rPr>
          <w:b/>
        </w:rPr>
        <w:t xml:space="preserve">Ergebnis: </w:t>
      </w:r>
      <w:r>
        <w:t>11 unabhängige genomweit signifikante Loci identifiziert. Vier pQTL zeigten Evidenz für Genotyp-by-BCG-Interaktionen (rs10217747: CXCL11, rs13187850: CD6, rs56283092: LAP-TGF-β1, rs11708321: CDCP1) mit größeren Effektschätzungen in BCG-Gruppe. Diese Varianten wurden zuvor mit Entzündungs- und Autoimmun-Traits assoziiert. Befunde sind explorativ und hypothesengenerierend, erfordern weitere Validierung.</w:t>
      </w:r>
    </w:p>
    <w:p>
      <w:r>
        <w:rPr>
          <w:b/>
          <w:sz w:val="19"/>
        </w:rPr>
        <w:t xml:space="preserve">Übertragbarkeit: </w:t>
      </w:r>
      <w:r>
        <w:rPr>
          <w:sz w:val="19"/>
        </w:rPr>
        <w:t>Dänemark, Gesundheitssystem vergleichbar; nationale BCG-Impfquoten-Registry vorhanden</w:t>
      </w:r>
    </w:p>
    <w:p>
      <w:r>
        <w:rPr>
          <w:color w:val="5A7D3A"/>
          <w:sz w:val="18"/>
        </w:rPr>
        <w:t>https://pubmed.ncbi.nlm.nih.gov/42594746/</w:t>
      </w:r>
    </w:p>
    <w:p>
      <w:pPr>
        <w:pStyle w:val="Heading1"/>
      </w:pPr>
      <w:r>
        <w:t>Aufgenommen am 19.09.2026</w:t>
      </w:r>
    </w:p>
    <w:p>
      <w:pPr>
        <w:pStyle w:val="Heading2"/>
      </w:pPr>
      <w:r>
        <w:t>Maschinenlernen identifiziert Null-Dosis-Kinder in Subsahara-Afrika</w:t>
      </w:r>
    </w:p>
    <w:p>
      <w:r>
        <w:rPr>
          <w:i/>
          <w:color w:val="666666"/>
          <w:sz w:val="18"/>
        </w:rPr>
        <w:t>Endehabtu BF et al.  ·  BMJ Health Care Inform  ·  18.09.2026  ·  PMID 42759970</w:t>
      </w:r>
    </w:p>
    <w:p>
      <w:r>
        <w:t>Prädiktives Modellentwicklungs-Projekt mit Daten von 27 subsaharischen Ländern (Demographic Health Survey 2016–2024) zur Risikoidentifikation von Kindern ohne Impfung.</w:t>
      </w:r>
    </w:p>
    <w:p>
      <w:r>
        <w:rPr>
          <w:b/>
        </w:rPr>
        <w:t xml:space="preserve">Ergebnis: </w:t>
      </w:r>
      <w:r>
        <w:t>LightGBM-Modell zeigte beste Gesamtleistung: 80 % Genauigkeit, 91 % Sensitivität, AUROC 0,78. Wichtigste Prädiktoren: Entbindungsort, Geburtsvorkontakten, Mutter-Tetanus-Impfung, Haushaltsvermögen, mütterliche Bildung. Ermöglicht frühe Risikoidentifikation.</w:t>
      </w:r>
    </w:p>
    <w:p>
      <w:r>
        <w:rPr>
          <w:b/>
          <w:sz w:val="19"/>
        </w:rPr>
        <w:t xml:space="preserve">Übertragbarkeit: </w:t>
      </w:r>
      <w:r>
        <w:rPr>
          <w:sz w:val="19"/>
        </w:rPr>
        <w:t>Subsahara-Afrika, digitales Tooldesign auf Länder mit WHO DHSatz übertragbar.</w:t>
      </w:r>
    </w:p>
    <w:p>
      <w:r>
        <w:rPr>
          <w:color w:val="5A7D3A"/>
          <w:sz w:val="18"/>
        </w:rPr>
        <w:t>https://pubmed.ncbi.nlm.nih.gov/42759970/</w:t>
      </w:r>
    </w:p>
    <w:p>
      <w:pPr>
        <w:pStyle w:val="Heading2"/>
      </w:pPr>
      <w:r>
        <w:t>RSV-Impfeffektivität bei älteren Erwachsenen in den USA zeigt hohe Wirksamkeit</w:t>
      </w:r>
    </w:p>
    <w:p>
      <w:r>
        <w:rPr>
          <w:i/>
          <w:color w:val="666666"/>
          <w:sz w:val="18"/>
        </w:rPr>
        <w:t>Lu Y et al.  ·  JAMA Netw Open  ·  01.09.2026  ·  PMID 42758507</w:t>
      </w:r>
    </w:p>
    <w:p>
      <w:r>
        <w:t>Nationale Kohortenstudie zur klinischen Wirksamkeit zweier RSV-Impfstoffe bei Medicare-Patienten ab 65 Jahren in der ersten Saison nach Zulassung (August 2023 bis März 2024).</w:t>
      </w:r>
    </w:p>
    <w:p>
      <w:r>
        <w:rPr>
          <w:b/>
        </w:rPr>
        <w:t xml:space="preserve">Ergebnis: </w:t>
      </w:r>
      <w:r>
        <w:t>RSVPreF3+AS01 und RSVpreF hatten eine Effektivität von 81,8 % (95-%-KI 80,0–83,4 %) gegen RSV-bedingte Hospitalisierungen und 85,0 % gegen RSV-bedingte Todesfälle. Brand-spezifisch: RSVPreF3+AS01 79,9 %, RSVpreF 85,1 %. Bei immungeschwächten Personen 72,2 %. Wirksam über alle Altersgruppen ab 65 Jahren.</w:t>
      </w:r>
    </w:p>
    <w:p>
      <w:r>
        <w:rPr>
          <w:b/>
          <w:sz w:val="19"/>
        </w:rPr>
        <w:t xml:space="preserve">Übertragbarkeit: </w:t>
      </w:r>
      <w:r>
        <w:rPr>
          <w:sz w:val="19"/>
        </w:rPr>
        <w:t>Medicare-Daten, vergleichbare Dokumentationspflichten wie Deutschland.</w:t>
      </w:r>
    </w:p>
    <w:p>
      <w:r>
        <w:rPr>
          <w:color w:val="5A7D3A"/>
          <w:sz w:val="18"/>
        </w:rPr>
        <w:t>https://pubmed.ncbi.nlm.nih.gov/42758507/</w:t>
      </w:r>
    </w:p>
    <w:p>
      <w:pPr>
        <w:pStyle w:val="Heading2"/>
      </w:pPr>
      <w:r>
        <w:t>Impfbefürwortung durch Fachpersonal: Trainingseffekt bei Hebammen und Pflegekräften</w:t>
      </w:r>
    </w:p>
    <w:p>
      <w:r>
        <w:rPr>
          <w:i/>
          <w:color w:val="666666"/>
          <w:sz w:val="18"/>
        </w:rPr>
        <w:t>Tiryaki Ö  ·  Biomedica  ·  20.08.2026  ·  PMID 42757794</w:t>
      </w:r>
    </w:p>
    <w:p>
      <w:r>
        <w:t>Quasi-experimentelle Studie mit Vorher-Nachher-Messung zur Wirkung eines Impfaufklärungstrainings auf die Impfbefürwortung bei 249 Hebammen und Pflegekräften.</w:t>
      </w:r>
    </w:p>
    <w:p>
      <w:r>
        <w:rPr>
          <w:b/>
        </w:rPr>
        <w:t xml:space="preserve">Ergebnis: </w:t>
      </w:r>
      <w:r>
        <w:t>Vaccine Advocacy Scale für Kinderimpfungen stieg signifikant von 45,19 ± 2,85 vor auf 46,95 ± 1,99 Punkte nach dem Training (Wilcoxon p = 0,000). Effekt niedrig, aber statistisch robust; Ausgangsniveau bereits hoch.</w:t>
      </w:r>
    </w:p>
    <w:p>
      <w:r>
        <w:rPr>
          <w:b/>
          <w:sz w:val="19"/>
        </w:rPr>
        <w:t xml:space="preserve">Übertragbarkeit: </w:t>
      </w:r>
      <w:r>
        <w:rPr>
          <w:sz w:val="19"/>
        </w:rPr>
        <w:t>Türkisches Setting, Pflegekräfte-Schulung auf Deutschland übertragbar.</w:t>
      </w:r>
    </w:p>
    <w:p>
      <w:r>
        <w:rPr>
          <w:color w:val="5A7D3A"/>
          <w:sz w:val="18"/>
        </w:rPr>
        <w:t>https://pubmed.ncbi.nlm.nih.gov/42757794/</w:t>
      </w:r>
    </w:p>
    <w:p>
      <w:pPr>
        <w:pStyle w:val="Heading2"/>
      </w:pPr>
      <w:r>
        <w:t>RSVPreF3-Impfstoff bei älteren Chinesen immunogenetisch gleichwertig zu globaler Population</w:t>
      </w:r>
    </w:p>
    <w:p>
      <w:r>
        <w:rPr>
          <w:i/>
          <w:color w:val="666666"/>
          <w:sz w:val="18"/>
        </w:rPr>
        <w:t>Guo X et al.  ·  Front Immunol  ·  03.09.2026  ·  PMID 42756146</w:t>
      </w:r>
    </w:p>
    <w:p>
      <w:r>
        <w:t>Phase-3-Immunbrückungs-Studie zur Nichtunterlegenheit von RSVPreF3 bei ≥60-jährigen chinesischen Erwachsenen gegenüber internationaler Vergleichsgruppe (6 Länder).</w:t>
      </w:r>
    </w:p>
    <w:p>
      <w:r>
        <w:rPr>
          <w:b/>
        </w:rPr>
        <w:t xml:space="preserve">Ergebnis: </w:t>
      </w:r>
      <w:r>
        <w:t>Nichtunterlegenheitskriterien erfüllt: GMT-Verhältnisse für RSV-A/B 1,20/1,10 (akzeptabel ≤1,5), Seroresponse-Unterschiede 3,40 %/4,89 % (akzeptabel ≤10 %). RSV-A/B-Neutralisationstiter 5523/8073 ED60 (China), 6605/8286 (Ausland). Lokale Nebenwirkungen meist mild-moderat, Ernsthaftigkeit niedrig (0,2–0,3 % immune-vermittelt).</w:t>
      </w:r>
    </w:p>
    <w:p>
      <w:r>
        <w:rPr>
          <w:b/>
          <w:sz w:val="19"/>
        </w:rPr>
        <w:t xml:space="preserve">Übertragbarkeit: </w:t>
      </w:r>
      <w:r>
        <w:rPr>
          <w:sz w:val="19"/>
        </w:rPr>
        <w:t>China, aber Immunogenität-Ergebnis zur Globalität des Impfstoffs übertra gbar.</w:t>
      </w:r>
    </w:p>
    <w:p>
      <w:r>
        <w:rPr>
          <w:color w:val="5A7D3A"/>
          <w:sz w:val="18"/>
        </w:rPr>
        <w:t>https://pubmed.ncbi.nlm.nih.gov/42756146/</w:t>
      </w:r>
    </w:p>
    <w:p>
      <w:pPr>
        <w:pStyle w:val="Heading2"/>
      </w:pPr>
      <w:r>
        <w:t>Impfgerechtigkeit als Planungsprinzip: Lehren aus der COVID-19-Pandemie</w:t>
      </w:r>
    </w:p>
    <w:p>
      <w:r>
        <w:rPr>
          <w:i/>
          <w:color w:val="666666"/>
          <w:sz w:val="18"/>
        </w:rPr>
        <w:t>Ghafari M et al.  ·  Expert Rev Vaccines  ·  16.09.2026  ·  PMID 42750274</w:t>
      </w:r>
    </w:p>
    <w:p>
      <w:r>
        <w:t>Synthesearbeit von Literatur und Politikberichten zu globalen Impfstoff-Rollouts, insbesondere über Verteilungsszenarien, Beschaffung und dezentralisierte Herstellung.</w:t>
      </w:r>
    </w:p>
    <w:p>
      <w:r>
        <w:rPr>
          <w:b/>
        </w:rPr>
        <w:t xml:space="preserve">Ergebnis: </w:t>
      </w:r>
      <w:r>
        <w:t>COVID-19 zeigte: Schnelle Entwicklung ohne Gerechtigkeitsplanung schuf vermeidbare Schäden. Lösungen sind geografisch verteilte Herstellung, vorab vereinbarte epidemiologisch gesteuerte Zuteilung, transparente Datenaustausch und Neutralisierung kommerzieller Verzerrungen. Empfehlung: Institutionalisierte disaggregierte Berichterstattung und standardisierte Daten-Sharing.</w:t>
      </w:r>
    </w:p>
    <w:p>
      <w:r>
        <w:rPr>
          <w:b/>
          <w:sz w:val="19"/>
        </w:rPr>
        <w:t xml:space="preserve">Übertragbarkeit: </w:t>
      </w:r>
      <w:r>
        <w:rPr>
          <w:sz w:val="19"/>
        </w:rPr>
        <w:t>Europäisches und Schweizer System, Prinzipien auf DACH übertragbar.</w:t>
      </w:r>
    </w:p>
    <w:p>
      <w:r>
        <w:rPr>
          <w:color w:val="5A7D3A"/>
          <w:sz w:val="18"/>
        </w:rPr>
        <w:t>https://pubmed.ncbi.nlm.nih.gov/42750274/</w:t>
      </w:r>
    </w:p>
    <w:p>
      <w:pPr>
        <w:pStyle w:val="Heading2"/>
      </w:pPr>
      <w:r>
        <w:t>Inaktivierter Rotavirus-Impfstoff: Sicherheit und Immunogenität bei Kleinkindern</w:t>
      </w:r>
    </w:p>
    <w:p>
      <w:r>
        <w:rPr>
          <w:i/>
          <w:color w:val="666666"/>
          <w:sz w:val="18"/>
        </w:rPr>
        <w:t>Zhou Y et al.  ·  Nat Commun  ·  14.08.2026  ·  PMID 42733081</w:t>
      </w:r>
    </w:p>
    <w:p>
      <w:r>
        <w:t>Randomisierte, placebokontrollierte Phase-1-Studie zur Dosis-Eskalation von Rotavirus-Impfstoff bei 288 Kindern 2–71 Monate ohne vorherige Rotavirus-Impfung.</w:t>
      </w:r>
    </w:p>
    <w:p>
      <w:r>
        <w:rPr>
          <w:b/>
        </w:rPr>
        <w:t xml:space="preserve">Ergebnis: </w:t>
      </w:r>
      <w:r>
        <w:t>Keine impfstoffbezogenen SAEs; transiente Mild-bis-Mäßig-Fieber nur in Hochdosis-Säuglings-Gruppe (klinisch handhabbar). Neutralisierende Antikörper-GMT dose-abhängig erhöht. 3-Dosis-Säugling-Gruppe (320 EU): GMT 551,98 vs. 36,17 (Placebo), Serokonversionsrate 83,33 % vs. 10 %. 3-Dosis-Schema überlegen 2-Dosis.</w:t>
      </w:r>
    </w:p>
    <w:p>
      <w:r>
        <w:rPr>
          <w:b/>
          <w:sz w:val="19"/>
        </w:rPr>
        <w:t xml:space="preserve">Übertragbarkeit: </w:t>
      </w:r>
      <w:r>
        <w:rPr>
          <w:sz w:val="19"/>
        </w:rPr>
        <w:t>Chinesische Studie, Sicherheits- und Immunogenitätsdaten auf frühe Klinische Phasen übertragbar.</w:t>
      </w:r>
    </w:p>
    <w:p>
      <w:r>
        <w:rPr>
          <w:color w:val="5A7D3A"/>
          <w:sz w:val="18"/>
        </w:rPr>
        <w:t>https://pubmed.ncbi.nlm.nih.gov/42733081/</w:t>
      </w:r>
    </w:p>
    <w:p>
      <w:pPr>
        <w:pStyle w:val="Heading1"/>
      </w:pPr>
      <w:r>
        <w:t>Aufgenommen am 18.09.2026</w:t>
      </w:r>
    </w:p>
    <w:p>
      <w:pPr>
        <w:pStyle w:val="Heading2"/>
      </w:pPr>
      <w:r>
        <w:t>RSV-Hospitalisierungen vor Impfstoffeinführung: Altersgruppen und Datenlücken</w:t>
      </w:r>
    </w:p>
    <w:p>
      <w:r>
        <w:rPr>
          <w:i/>
          <w:color w:val="666666"/>
          <w:sz w:val="18"/>
        </w:rPr>
        <w:t>Imai-Boulter C et al.  ·  Med J Aust  ·  Sept. 2026  ·  PMID 42754405</w:t>
      </w:r>
    </w:p>
    <w:p>
      <w:r>
        <w:t>Retrospektive bevölkerungsbasierte Studie zur RSV-Krankheitslast in Australien vor Immunisierungsstart (2016–2019 Hospitalisierungen, 2023 Labor-Meldungen).</w:t>
      </w:r>
    </w:p>
    <w:p>
      <w:r>
        <w:rPr>
          <w:b/>
        </w:rPr>
        <w:t xml:space="preserve">Ergebnis: </w:t>
      </w:r>
      <w:r>
        <w:t>Hospitalisierungen bei &lt;3 Monaten alt: 4014/100000, bei ≥65 Jahren: 122/100000 (steigende Tendenz); 55 % der Bronchiolitiden mit ungeklärter Ursache; Labor-Meldungen höchst bei 6–11 Monaten (7778/100000). Zeigt Datenlücken bei Fallerfassung und Testfrequenz.</w:t>
      </w:r>
    </w:p>
    <w:p>
      <w:r>
        <w:rPr>
          <w:b/>
          <w:sz w:val="19"/>
        </w:rPr>
        <w:t xml:space="preserve">Übertragbarkeit: </w:t>
      </w:r>
      <w:r>
        <w:rPr>
          <w:sz w:val="19"/>
        </w:rPr>
        <w:t>Australien (Versorgungsdaten verfügbar); ähnliche Datenstrukturen in Deutschland schwächer (kein nationales Impfregister).</w:t>
      </w:r>
    </w:p>
    <w:p>
      <w:r>
        <w:rPr>
          <w:color w:val="5A7D3A"/>
          <w:sz w:val="18"/>
        </w:rPr>
        <w:t>https://pubmed.ncbi.nlm.nih.gov/42754405/</w:t>
      </w:r>
    </w:p>
    <w:p>
      <w:pPr>
        <w:pStyle w:val="Heading2"/>
      </w:pPr>
      <w:r>
        <w:t>MZB1-Spiegel sagen Langzeitschutz nach Hepatitis-B-Impfung voraus</w:t>
      </w:r>
    </w:p>
    <w:p>
      <w:r>
        <w:rPr>
          <w:i/>
          <w:color w:val="666666"/>
          <w:sz w:val="18"/>
        </w:rPr>
        <w:t>Huang ML et al.  ·  Front Immunol  ·  02.09.2026  ·  PMID 42751130</w:t>
      </w:r>
    </w:p>
    <w:p>
      <w:r>
        <w:t>Single-Cell-RNA-Seq plus nested case-control und Interventionsstudie zur Identifikation von B-Zell-Markern für stabilen Anti-HBs-Schutz.</w:t>
      </w:r>
    </w:p>
    <w:p>
      <w:r>
        <w:rPr>
          <w:b/>
        </w:rPr>
        <w:t xml:space="preserve">Ergebnis: </w:t>
      </w:r>
      <w:r>
        <w:t>MZB1 signifikant erhöht in B-Zellen von Langzeitschützer/innen (p=2,1e-12); Serum-MZB1 &gt;1000 mIU/ml nach 30 Jahren: 7,1±2,2 ng/ml vs. Anti-HBs-Negative: 0,96±0,1 ng/ml (p&lt;0,0001); MZB1 korreliert stark mit Anti-HBs-Titer (r=0,892). MZB1 schon nach 1. Dosis erhöht, VE besser bei hohen MZB1-Konzentrationen.</w:t>
      </w:r>
    </w:p>
    <w:p>
      <w:r>
        <w:rPr>
          <w:b/>
          <w:sz w:val="19"/>
        </w:rPr>
        <w:t xml:space="preserve">Übertragbarkeit: </w:t>
      </w:r>
      <w:r>
        <w:rPr>
          <w:sz w:val="19"/>
        </w:rPr>
        <w:t>China (Validierungskohorten mobil), Biomarker universal; kein nationales Vorteil, aber wissenschaftlich relevant.</w:t>
      </w:r>
    </w:p>
    <w:p>
      <w:r>
        <w:rPr>
          <w:color w:val="5A7D3A"/>
          <w:sz w:val="18"/>
        </w:rPr>
        <w:t>https://pubmed.ncbi.nlm.nih.gov/42751130/</w:t>
      </w:r>
    </w:p>
    <w:p>
      <w:pPr>
        <w:pStyle w:val="Heading2"/>
      </w:pPr>
      <w:r>
        <w:t>Wertaffirmation in Impfkampagnen: Small Effects auf Impfbereitschaft</w:t>
      </w:r>
    </w:p>
    <w:p>
      <w:r>
        <w:rPr>
          <w:i/>
          <w:color w:val="666666"/>
          <w:sz w:val="18"/>
        </w:rPr>
        <w:t>Wolsko C et al.  ·  PLoS One  ·  16.09.2026  ·  PMID 42748077</w:t>
      </w:r>
    </w:p>
    <w:p>
      <w:r>
        <w:t>Online-Befragung von 1170 Ungeimpften (USA, Frühjahr 2021) zu COVID-Impfbotschaften, die auf persönliche Werte ausgerichtet sind.</w:t>
      </w:r>
    </w:p>
    <w:p>
      <w:r>
        <w:rPr>
          <w:b/>
        </w:rPr>
        <w:t xml:space="preserve">Ergebnis: </w:t>
      </w:r>
      <w:r>
        <w:t>Botschaften, die Misstrauen in Regierung und Sorgen vor Freiheitsbeschränkung bestätigten, zeigten höhere Impfbereitschaft und mehr Vertrauen als Kontrolle; Effektgrößen klein, aber bedeutsam für Vaccine Hesitancy-Subgruppen.</w:t>
      </w:r>
    </w:p>
    <w:p>
      <w:r>
        <w:rPr>
          <w:b/>
          <w:sz w:val="19"/>
        </w:rPr>
        <w:t xml:space="preserve">Übertragbarkeit: </w:t>
      </w:r>
      <w:r>
        <w:rPr>
          <w:sz w:val="19"/>
        </w:rPr>
        <w:t>USA (Wertbetonung kulturabhängig); Kommunikationsstrategie prinzipiell übertragbar, aber Wertrahmen müssen regional angepasst werden.</w:t>
      </w:r>
    </w:p>
    <w:p>
      <w:r>
        <w:rPr>
          <w:color w:val="5A7D3A"/>
          <w:sz w:val="18"/>
        </w:rPr>
        <w:t>https://pubmed.ncbi.nlm.nih.gov/42748077/</w:t>
      </w:r>
    </w:p>
    <w:p>
      <w:pPr>
        <w:pStyle w:val="Heading2"/>
      </w:pPr>
      <w:r>
        <w:t>Impf-Fachkompetenz in Äthiopien schwach: nur 50 % erfüllen Mindeststandard</w:t>
      </w:r>
    </w:p>
    <w:p>
      <w:r>
        <w:rPr>
          <w:i/>
          <w:color w:val="666666"/>
          <w:sz w:val="18"/>
        </w:rPr>
        <w:t>Olani A et al.  ·  PLoS One  ·  15.09.2026  ·  PMID 42743175</w:t>
      </w:r>
    </w:p>
    <w:p>
      <w:r>
        <w:t>Observationale Studie mit Checklisten zur Impf-Fachkompetenz in 34 äthiopischen Gesundheitseinrichtungen.</w:t>
      </w:r>
    </w:p>
    <w:p>
      <w:r>
        <w:rPr>
          <w:b/>
        </w:rPr>
        <w:t xml:space="preserve">Ergebnis: </w:t>
      </w:r>
      <w:r>
        <w:t>340 Impfungen beobachtet; Gesamtkompetenz 50 % (Schwelle: 80 %); beste Leistung: Verabreichung (71 %), schlechteste: Dokumentation (22 %); Defizite in Infektionskontrolle und Patienten-Kommunikation. Lücke zwischen theoretischem Wissen und praktischer Umsetzung.</w:t>
      </w:r>
    </w:p>
    <w:p>
      <w:r>
        <w:rPr>
          <w:b/>
          <w:sz w:val="19"/>
        </w:rPr>
        <w:t xml:space="preserve">Übertragbarkeit: </w:t>
      </w:r>
      <w:r>
        <w:rPr>
          <w:sz w:val="19"/>
        </w:rPr>
        <w:t>Äthiopien (Niedrig-Ressourcen), begrenzte Übertragbarkeit; zeigt jedoch global relevante Schulungs- und Überwachungsdefizite.</w:t>
      </w:r>
    </w:p>
    <w:p>
      <w:r>
        <w:rPr>
          <w:color w:val="5A7D3A"/>
          <w:sz w:val="18"/>
        </w:rPr>
        <w:t>https://pubmed.ncbi.nlm.nih.gov/42743175/</w:t>
      </w:r>
    </w:p>
    <w:p>
      <w:pPr>
        <w:pStyle w:val="Heading2"/>
      </w:pPr>
      <w:r>
        <w:t>Ökologische Studien zu Impfeffekten könnten Versorgungsdaten für Deutschland liefern</w:t>
      </w:r>
    </w:p>
    <w:p>
      <w:r>
        <w:rPr>
          <w:i/>
          <w:color w:val="666666"/>
          <w:sz w:val="18"/>
        </w:rPr>
        <w:t>Nolting T et al.  ·  BMJ Open  ·  11.09.2026  ·  PMID 42731829</w:t>
      </w:r>
    </w:p>
    <w:p>
      <w:r>
        <w:t>Scoping Review, die ökologische Studien zu Impfeffektivität systematisieren soll, mit Fokus auf Deutschland.</w:t>
      </w:r>
    </w:p>
    <w:p>
      <w:r>
        <w:rPr>
          <w:b/>
        </w:rPr>
        <w:t xml:space="preserve">Ergebnis: </w:t>
      </w:r>
      <w:r>
        <w:t>Studienprotokoll ohne empirische Ergebnisse; zeigt einen Forschungsbedarf für vergleichende Analysen der Impfbeiträge zu Morbidität und Mortalität.</w:t>
      </w:r>
    </w:p>
    <w:p>
      <w:r>
        <w:rPr>
          <w:b/>
          <w:sz w:val="19"/>
        </w:rPr>
        <w:t xml:space="preserve">Übertragbarkeit: </w:t>
      </w:r>
      <w:r>
        <w:rPr>
          <w:sz w:val="19"/>
        </w:rPr>
        <w:t>Deutschland, zukünftige Datenquelle; Übertragbarkeit hängt von Verfügbarkeit von Routinedaten ab.</w:t>
      </w:r>
    </w:p>
    <w:p>
      <w:r>
        <w:rPr>
          <w:color w:val="5A7D3A"/>
          <w:sz w:val="18"/>
        </w:rPr>
        <w:t>https://pubmed.ncbi.nlm.nih.gov/42731829/</w:t>
      </w:r>
    </w:p>
    <w:p>
      <w:pPr>
        <w:pStyle w:val="Heading2"/>
      </w:pPr>
      <w:r>
        <w:t>Impfantwort bei Krebs und Immunsuppression: RESPONSE-Kohortenstudie</w:t>
      </w:r>
    </w:p>
    <w:p>
      <w:r>
        <w:rPr>
          <w:i/>
          <w:color w:val="666666"/>
          <w:sz w:val="18"/>
        </w:rPr>
        <w:t>Felipe Fumero E et al.  ·  JMIR Res Protoc  ·  23.07.2026  ·  PMID 42492070</w:t>
      </w:r>
    </w:p>
    <w:p>
      <w:r>
        <w:t>Prospektive Kohortenstudie zu humoralen und zellulären Reaktionen auf Atemwegs-Impfstoffe bei onkologischen Patienten, Rekrutierung seit März 2025 laufend.</w:t>
      </w:r>
    </w:p>
    <w:p>
      <w:r>
        <w:rPr>
          <w:b/>
        </w:rPr>
        <w:t xml:space="preserve">Ergebnis: </w:t>
      </w:r>
      <w:r>
        <w:t>Protokoll mit laufender Rekrutierung; Fokus auf frühe und späte Booster-Effekte. Finale Analysen ab Q3 2026 geplant; zielt auf T-Zell-Antworten, die bei dieser Gruppe zuverlässiger sind als Antikörper.</w:t>
      </w:r>
    </w:p>
    <w:p>
      <w:r>
        <w:rPr>
          <w:b/>
          <w:sz w:val="19"/>
        </w:rPr>
        <w:t xml:space="preserve">Übertragbarkeit: </w:t>
      </w:r>
      <w:r>
        <w:rPr>
          <w:sz w:val="19"/>
        </w:rPr>
        <w:t>Deutschland (Köln, Universitätsklinik), direkt übertragbar auf Versorgungsfragen bei Immunsuppression.</w:t>
      </w:r>
    </w:p>
    <w:p>
      <w:r>
        <w:rPr>
          <w:color w:val="5A7D3A"/>
          <w:sz w:val="18"/>
        </w:rPr>
        <w:t>https://pubmed.ncbi.nlm.nih.gov/42492070/</w:t>
      </w:r>
    </w:p>
    <w:p>
      <w:pPr>
        <w:pStyle w:val="Heading1"/>
      </w:pPr>
      <w:r>
        <w:t>Aufgenommen am 17.09.2026</w:t>
      </w:r>
    </w:p>
    <w:p>
      <w:pPr>
        <w:pStyle w:val="Heading2"/>
      </w:pPr>
      <w:r>
        <w:t>Gonorrhoe-Impfstoff: Modellierte Prävalenzreduktion in abgelegenem indigenem Australien</w:t>
      </w:r>
    </w:p>
    <w:p>
      <w:r>
        <w:rPr>
          <w:i/>
          <w:color w:val="666666"/>
          <w:sz w:val="18"/>
        </w:rPr>
        <w:t>Padeniya TN et al.  ·  Sex Health  ·  20.10.2026  ·  PMID 42749469</w:t>
      </w:r>
    </w:p>
    <w:p>
      <w:r>
        <w:t>Mathematisches Transmissionsmodell (individual-basiert) zur Analyse der Effektivität einer hypothetischen Gonorrhoe-Impfung in abgelegenen Gemeinden mit hoher Inzidenz bei 16–36-jährigen australischen Ureinwohnern.</w:t>
      </w:r>
    </w:p>
    <w:p>
      <w:r>
        <w:rPr>
          <w:b/>
        </w:rPr>
        <w:t xml:space="preserve">Ergebnis: </w:t>
      </w:r>
      <w:r>
        <w:t>Bei 5-Jahres-Nachverfolgung mit 40 % jährlicher Impfquote und Impfstoff mit 25–50 % Schutzwirksamkeit: relative Prävalenzreduktion 15–28 %. Bei 80 % Impfquote und 75 % Wirksamkeit: 95 % (5 Jahre) bis 98 % (10 Jahre) Reduktion. Auch mit partieller Wirksamkeit substantielle Prävalenzrückgänge möglich.</w:t>
      </w:r>
    </w:p>
    <w:p>
      <w:r>
        <w:rPr>
          <w:b/>
          <w:sz w:val="19"/>
        </w:rPr>
        <w:t xml:space="preserve">Übertragbarkeit: </w:t>
      </w:r>
      <w:r>
        <w:rPr>
          <w:sz w:val="19"/>
        </w:rPr>
        <w:t>Australien mit Registersystem und hoher Datenqualität, aber Bevölkerungszusammensetzung und epidemiologische Lage unterscheiden sich von Deutschland.</w:t>
      </w:r>
    </w:p>
    <w:p>
      <w:r>
        <w:rPr>
          <w:color w:val="5A7D3A"/>
          <w:sz w:val="18"/>
        </w:rPr>
        <w:t>https://pubmed.ncbi.nlm.nih.gov/42749469/</w:t>
      </w:r>
    </w:p>
    <w:p>
      <w:pPr>
        <w:pStyle w:val="Heading2"/>
      </w:pPr>
      <w:r>
        <w:t>Herpes-Zoster-Impfung: Wirksamkeit gegen Zoster, Ophthalmicus und postherpetische Neuralgie</w:t>
      </w:r>
    </w:p>
    <w:p>
      <w:r>
        <w:rPr>
          <w:i/>
          <w:color w:val="666666"/>
          <w:sz w:val="18"/>
        </w:rPr>
        <w:t>Heen E et al.  ·  Rev Med Virol  ·  Sept. 2026  ·  PMID 42748460</w:t>
      </w:r>
    </w:p>
    <w:p>
      <w:r>
        <w:t>Systematische Übersicht mit Metaanalyse von 18 Studien (3 RCT, 15 Beobachtungsstudien) zur Effektivität des Recombinant-Zoster-Impfstoffs (RZV) gegen Herpes zoster und Komplikationen in ≥50-Jährigen.</w:t>
      </w:r>
    </w:p>
    <w:p>
      <w:r>
        <w:rPr>
          <w:b/>
        </w:rPr>
        <w:t xml:space="preserve">Ergebnis: </w:t>
      </w:r>
      <w:r>
        <w:t>RZV zeigte in RCT 95 % Effektivität gegen Herpes zoster (hochgradig), substantielle Reduktion von Herpes-Zoster-Ophthalmicus (hochgradig), wahrscheinlich postherpetische Neuralgia (moderat). Durable Schutzwirkung mind. 11 Jahre nachgewiesen (niedrig bis moderat). Mögliche Assoziation mit reduziertem Demenzrisiko (niedrig, durch healthy-vaccinee-bias-Unsicherheit).</w:t>
      </w:r>
    </w:p>
    <w:p>
      <w:r>
        <w:rPr>
          <w:b/>
          <w:sz w:val="19"/>
        </w:rPr>
        <w:t xml:space="preserve">Übertragbarkeit: </w:t>
      </w:r>
      <w:r>
        <w:rPr>
          <w:sz w:val="19"/>
        </w:rPr>
        <w:t>Norwegen und Schweden, vergleichbare altersstrukturierte Bevölkerungen und Impfregister; Befunde direkt auf deutsches Zoster-Impfprogramm übertragbar.</w:t>
      </w:r>
    </w:p>
    <w:p>
      <w:r>
        <w:rPr>
          <w:color w:val="5A7D3A"/>
          <w:sz w:val="18"/>
        </w:rPr>
        <w:t>https://pubmed.ncbi.nlm.nih.gov/42748460/</w:t>
      </w:r>
    </w:p>
    <w:p>
      <w:pPr>
        <w:pStyle w:val="Heading2"/>
      </w:pPr>
      <w:r>
        <w:t>Kulturell angepasste HPV-Aufklärung und Impfintention in Saudi-Arabien</w:t>
      </w:r>
    </w:p>
    <w:p>
      <w:r>
        <w:rPr>
          <w:i/>
          <w:color w:val="666666"/>
          <w:sz w:val="18"/>
        </w:rPr>
        <w:t>Elsayed EA et al.  ·  JMIR Public Health Surveill  ·  16.09.2026  ·  PMID 42748422</w:t>
      </w:r>
    </w:p>
    <w:p>
      <w:r>
        <w:t>Quasi-experimentelle Studie (Prä-Post mit Kontrollgruppe, n=380) zur Wirkung einer 45-minütigen, an lokale Werte adaptierten Schulungsintervention auf HPV-Wissen, Gesundheitsbewusstsein und Impfbereitschaft.</w:t>
      </w:r>
    </w:p>
    <w:p>
      <w:r>
        <w:rPr>
          <w:b/>
        </w:rPr>
        <w:t xml:space="preserve">Ergebnis: </w:t>
      </w:r>
      <w:r>
        <w:t>In der Interventionsgruppe zeigte sich bei 3-Monats-Nachverfolgung gegenüber Kontrollen: Wissen (β=0,84, p&lt;0,001, d=0,45), Bewusstsein (β=0,88, p&lt;0,001, d=0,44), Einstellung (β=0,70, p&lt;0,001, d=0,38), Impfabsicht (β=0,86, p&lt;0,001, d=0,82, großer Effekt). Effekte über Altersgruppen, Bildung und Gesundheitskompetenz konsistent.</w:t>
      </w:r>
    </w:p>
    <w:p>
      <w:r>
        <w:rPr>
          <w:b/>
          <w:sz w:val="19"/>
        </w:rPr>
        <w:t xml:space="preserve">Übertragbarkeit: </w:t>
      </w:r>
      <w:r>
        <w:rPr>
          <w:sz w:val="19"/>
        </w:rPr>
        <w:t>Saudi-Arabien, begrenzt übertragbar, aber Modell für kulturell sensible Beratung in diversen deutschen Bevölkerungsgruppen.</w:t>
      </w:r>
    </w:p>
    <w:p>
      <w:r>
        <w:rPr>
          <w:color w:val="5A7D3A"/>
          <w:sz w:val="18"/>
        </w:rPr>
        <w:t>https://pubmed.ncbi.nlm.nih.gov/42748422/</w:t>
      </w:r>
    </w:p>
    <w:p>
      <w:pPr>
        <w:pStyle w:val="Heading2"/>
      </w:pPr>
      <w:r>
        <w:t>Personalisierte Neoantigen-Impfstoff-Therapie bei Kopf-Hals-Karzinom vermeidet Rezidive</w:t>
      </w:r>
    </w:p>
    <w:p>
      <w:r>
        <w:rPr>
          <w:i/>
          <w:color w:val="666666"/>
          <w:sz w:val="18"/>
        </w:rPr>
        <w:t>Ottensmeier C et al.  ·  Nat Commun  ·  17.08.2026  ·  PMID 42744798</w:t>
      </w:r>
    </w:p>
    <w:p>
      <w:r>
        <w:t>Randomisierte Phase-I-Studie (n=32) zur Adjuvans-Therapie mit TG4050, einem individualisierten viralen Neoantigen-Impfstoff mit bis zu 30 tumor-spezifischen Neoantigenen, nach Standard-Chemotherapie vs. abwartendem Vorgehen.</w:t>
      </w:r>
    </w:p>
    <w:p>
      <w:r>
        <w:rPr>
          <w:b/>
        </w:rPr>
        <w:t xml:space="preserve">Ergebnis: </w:t>
      </w:r>
      <w:r>
        <w:t>Unmittelbare TG4050-Gruppe: 0 von 16 Rezidive nach 30 Monaten Nachverfolgung; Kontrollgruppe: 3 von 16 Rezidive. T-Zell-Antworten gegen Neoantigen in 73,3 % detektiert (Median 3 Neoantigen pro Responder), persistent über 1 Jahr. Neoantigen-spezifische CD8+ T-Zellen zeigten Effektor- und geweberesidente Marker.</w:t>
      </w:r>
    </w:p>
    <w:p>
      <w:r>
        <w:rPr>
          <w:b/>
          <w:sz w:val="19"/>
        </w:rPr>
        <w:t xml:space="preserve">Übertragbarkeit: </w:t>
      </w:r>
      <w:r>
        <w:rPr>
          <w:sz w:val="19"/>
        </w:rPr>
        <w:t>Multinationale Studie (UK, Frankreich, Niederlande), übertragbar auf deutsches Klinikum mit entsprechender molekularer Tumorcharakterisierung.</w:t>
      </w:r>
    </w:p>
    <w:p>
      <w:r>
        <w:rPr>
          <w:color w:val="5A7D3A"/>
          <w:sz w:val="18"/>
        </w:rPr>
        <w:t>https://pubmed.ncbi.nlm.nih.gov/42744798/</w:t>
      </w:r>
    </w:p>
    <w:p>
      <w:pPr>
        <w:pStyle w:val="Heading2"/>
      </w:pPr>
      <w:r>
        <w:t>HPV-Impfung bei Erwachsenen 27–45 Jahren: Quote und Trends in USA</w:t>
      </w:r>
    </w:p>
    <w:p>
      <w:r>
        <w:rPr>
          <w:i/>
          <w:color w:val="666666"/>
          <w:sz w:val="18"/>
        </w:rPr>
        <w:t>Fisher-Borne M et al.  ·  Hum Vaccin Immunother  ·  10.09.2026  ·  PMID 42723147</w:t>
      </w:r>
    </w:p>
    <w:p>
      <w:r>
        <w:t>Retrospektive Auswertung kommerzieller Claims-Daten 2019–2023 zur HPV-Impfquote bei erwachsenen Frauen und Männern unter shared clinical decision-making.</w:t>
      </w:r>
    </w:p>
    <w:p>
      <w:r>
        <w:rPr>
          <w:b/>
        </w:rPr>
        <w:t xml:space="preserve">Ergebnis: </w:t>
      </w:r>
      <w:r>
        <w:t>Annual HPV-Impfinitiation stieg von 0,21 % (2019) auf 0,54 % (2023); kumulativ über 5 Jahre 0,84 % bei 3–4 Mio. jährlich ungeimpften Personen. Apotheken als Impfort nahmen zu, regionale Variation 0,23–1,56 %.</w:t>
      </w:r>
    </w:p>
    <w:p>
      <w:r>
        <w:rPr>
          <w:b/>
          <w:sz w:val="19"/>
        </w:rPr>
        <w:t xml:space="preserve">Übertragbarkeit: </w:t>
      </w:r>
      <w:r>
        <w:rPr>
          <w:sz w:val="19"/>
        </w:rPr>
        <w:t>USA mit grundlegend anderer Versicherungsstruktur; aber Befunde zur Rolle von Apotheken und regionaler Varianz relevant für Deutschland.</w:t>
      </w:r>
    </w:p>
    <w:p>
      <w:r>
        <w:rPr>
          <w:color w:val="5A7D3A"/>
          <w:sz w:val="18"/>
        </w:rPr>
        <w:t>https://pubmed.ncbi.nlm.nih.gov/42723147/</w:t>
      </w:r>
    </w:p>
    <w:p>
      <w:pPr>
        <w:pStyle w:val="Heading2"/>
      </w:pPr>
      <w:r>
        <w:t>Immunosuppression-Entzug und mRNA-Impfung bei Nierentransplantierten</w:t>
      </w:r>
    </w:p>
    <w:p>
      <w:r>
        <w:rPr>
          <w:i/>
          <w:color w:val="666666"/>
          <w:sz w:val="18"/>
        </w:rPr>
        <w:t>Goerlich N et al.  ·  Front Immunol  ·  17.08.2026  ·  PMID 42676352</w:t>
      </w:r>
    </w:p>
    <w:p>
      <w:r>
        <w:t>Hochdimensionale Analyse der Immunzellkomposition bei Nierentransplantierten unter temporärem Mycophenolsäure-Entzug während mRNA-1273-Impfung.</w:t>
      </w:r>
    </w:p>
    <w:p>
      <w:r>
        <w:rPr>
          <w:b/>
        </w:rPr>
        <w:t xml:space="preserve">Ergebnis: </w:t>
      </w:r>
      <w:r>
        <w:t>Mycophenolsäure-Entzug war assoziiert mit erhöhten CD4+/CD8+ T-Zell-Frequenzen (p=0,039 bzw. p=0,001) und verminderten Monozyten- und B-Zell-Frequenzen (p=0,014 bzw. p=0,023). Effekte variierten je nach Transplantationsdauer und Alter; kein einzelner Marker war prädiktiv für Serokonversion.</w:t>
      </w:r>
    </w:p>
    <w:p>
      <w:r>
        <w:rPr>
          <w:b/>
          <w:sz w:val="19"/>
        </w:rPr>
        <w:t xml:space="preserve">Übertragbarkeit: </w:t>
      </w:r>
      <w:r>
        <w:rPr>
          <w:sz w:val="19"/>
        </w:rPr>
        <w:t>Deutsche Klinikstudie, direkt übertragbar auf deutsches Transplantationssystem mit vergleichbarer Immunsuppression.</w:t>
      </w:r>
    </w:p>
    <w:p>
      <w:r>
        <w:rPr>
          <w:color w:val="5A7D3A"/>
          <w:sz w:val="18"/>
        </w:rPr>
        <w:t>https://pubmed.ncbi.nlm.nih.gov/42676352/</w:t>
      </w:r>
    </w:p>
    <w:p>
      <w:pPr>
        <w:pStyle w:val="Heading2"/>
      </w:pPr>
      <w:r>
        <w:t>IL-33 und sST2 nach Tdap-Booster-Impfung bei finnischen Kindern</w:t>
      </w:r>
    </w:p>
    <w:p>
      <w:r>
        <w:rPr>
          <w:i/>
          <w:color w:val="666666"/>
          <w:sz w:val="18"/>
        </w:rPr>
        <w:t>Anabe D et al.  ·  Cytokine  ·  13.08.2026  ·  PMID 42594457</w:t>
      </w:r>
    </w:p>
    <w:p>
      <w:r>
        <w:t>Longitudinale Untersuchung von Interleukin-33 und löslichem ST2 in Serum vor und nach Tdap-IPV-Booster-Impfung in unterschiedlichen Altersgruppen (7–70 Jahre).</w:t>
      </w:r>
    </w:p>
    <w:p>
      <w:r>
        <w:rPr>
          <w:b/>
        </w:rPr>
        <w:t xml:space="preserve">Ergebnis: </w:t>
      </w:r>
      <w:r>
        <w:t>IL-33 in 70 % der Fälle nicht nachweisbar. Serum-sST2 zeigte signifikanten Anstieg über 365 Tage (p&lt;0,001), mit höherem Ausgangswert bei jüngeren Altersgruppen. Keine Assoziation zwischen IL-33/sST2 und Impfantwort oder Zytokinen.</w:t>
      </w:r>
    </w:p>
    <w:p>
      <w:r>
        <w:rPr>
          <w:b/>
          <w:sz w:val="19"/>
        </w:rPr>
        <w:t xml:space="preserve">Übertragbarkeit: </w:t>
      </w:r>
      <w:r>
        <w:rPr>
          <w:sz w:val="19"/>
        </w:rPr>
        <w:t>Finnland, vergleichbares skandinavisches Gesundheitssystem und Register; etablierte Referenzwerte für präklinische Marker.</w:t>
      </w:r>
    </w:p>
    <w:p>
      <w:r>
        <w:rPr>
          <w:color w:val="5A7D3A"/>
          <w:sz w:val="18"/>
        </w:rPr>
        <w:t>https://pubmed.ncbi.nlm.nih.gov/42594457/</w:t>
      </w:r>
    </w:p>
    <w:p>
      <w:pPr>
        <w:pStyle w:val="Heading1"/>
      </w:pPr>
      <w:r>
        <w:t>Aufgenommen am 16.09.2026</w:t>
      </w:r>
    </w:p>
    <w:p>
      <w:pPr>
        <w:pStyle w:val="Heading2"/>
      </w:pPr>
      <w:r>
        <w:t>Digitale Assistenten für HPV-Impfung und Gebärmutterhalskrebs-Screening – was funktioniert?</w:t>
      </w:r>
    </w:p>
    <w:p>
      <w:r>
        <w:rPr>
          <w:i/>
          <w:color w:val="666666"/>
          <w:sz w:val="18"/>
        </w:rPr>
        <w:t>Umbetzhanova A et al.  ·  Front Public Health  ·  31.08.2026  ·  PMID 42741336</w:t>
      </w:r>
    </w:p>
    <w:p>
      <w:r>
        <w:t>Systematische Übersicht von 14 Studien (2016–2026) zur Frage, ob interaktive digitale Tools (Chatbots, Apps, Serious Games) HPV-Impfung und Gebärmutterhals-Screening erhöhen.</w:t>
      </w:r>
    </w:p>
    <w:p>
      <w:r>
        <w:rPr>
          <w:b/>
        </w:rPr>
        <w:t xml:space="preserve">Ergebnis: </w:t>
      </w:r>
      <w:r>
        <w:t>Chatbots zeigten vielversprechende Kurzzeit-Effekte auf Termin-Buchung (moderate Evidenz), aber hohe Abbruch-Quoten bei Mehrfach-Dosen. Theorie-basierte Apps erhöhten Zytologie-Inanspruchnahme kurzfristig (moderate Evidenz). Ein Serious Game korrelierte mit höheren CIN2+-Erkennungsraten, aber Confounding war schwerwiegend. Insgesamt: moderate Kurzzeit-Effekte, aber unzureichende Evidenz für Dauer.</w:t>
      </w:r>
    </w:p>
    <w:p>
      <w:r>
        <w:rPr>
          <w:b/>
          <w:sz w:val="19"/>
        </w:rPr>
        <w:t xml:space="preserve">Übertragbarkeit: </w:t>
      </w:r>
      <w:r>
        <w:rPr>
          <w:sz w:val="19"/>
        </w:rPr>
        <w:t>Mehrländer-Übersicht, digitale Hürden international ähnlich</w:t>
      </w:r>
    </w:p>
    <w:p>
      <w:r>
        <w:rPr>
          <w:color w:val="5A7D3A"/>
          <w:sz w:val="18"/>
        </w:rPr>
        <w:t>https://pubmed.ncbi.nlm.nih.gov/42741336/</w:t>
      </w:r>
    </w:p>
    <w:p>
      <w:pPr>
        <w:pStyle w:val="Heading2"/>
      </w:pPr>
      <w:r>
        <w:t>Impfen in Schulen: Was Schulkrankenpfleger in Colorado als Barrieren berichten</w:t>
      </w:r>
    </w:p>
    <w:p>
      <w:r>
        <w:rPr>
          <w:i/>
          <w:color w:val="666666"/>
          <w:sz w:val="18"/>
        </w:rPr>
        <w:t>Nienstedt L et al.  ·  J Sch Health  ·  Okt. 2026  ·  PMID 42740714</w:t>
      </w:r>
    </w:p>
    <w:p>
      <w:r>
        <w:t>Querschnittsbefragung von 368 Schulkrankenpflegern in Colorado 2024, ob und wie sie schulgebundene Impfaktionen (SAVEs) umsetzten.</w:t>
      </w:r>
    </w:p>
    <w:p>
      <w:r>
        <w:rPr>
          <w:b/>
        </w:rPr>
        <w:t xml:space="preserve">Ergebnis: </w:t>
      </w:r>
      <w:r>
        <w:t>Schulen ohne SAVEs nannten Mangel an Leitlinien (Top-3-Barriere), fehlende Personalzeit und mangelnde externe Partnerschaften als Haupthindernisse. In ländlichen Schulen rangierte Impf-Politisierung unter Top-Barrieren; in Schulen mit niedrigem Einkommen und Gymnasien war Zeitdruck dominant. Schulen mit SAVEs betont externe Partnerschaften und elterliches Vertrauen als Erfolsfaktoren.</w:t>
      </w:r>
    </w:p>
    <w:p>
      <w:r>
        <w:rPr>
          <w:b/>
          <w:sz w:val="19"/>
        </w:rPr>
        <w:t xml:space="preserve">Übertragbarkeit: </w:t>
      </w:r>
      <w:r>
        <w:rPr>
          <w:sz w:val="19"/>
        </w:rPr>
        <w:t>USA - nur Zugangswegs-Hürden übertragbar, nicht System</w:t>
      </w:r>
    </w:p>
    <w:p>
      <w:r>
        <w:rPr>
          <w:color w:val="5A7D3A"/>
          <w:sz w:val="18"/>
        </w:rPr>
        <w:t>https://pubmed.ncbi.nlm.nih.gov/42740714/</w:t>
      </w:r>
    </w:p>
    <w:p>
      <w:pPr>
        <w:pStyle w:val="Heading2"/>
      </w:pPr>
      <w:r>
        <w:t>Grippeschutz bei Älteren: Bildung und Umgebung beeinflussen Impfquote</w:t>
      </w:r>
    </w:p>
    <w:p>
      <w:r>
        <w:rPr>
          <w:i/>
          <w:color w:val="666666"/>
          <w:sz w:val="18"/>
        </w:rPr>
        <w:t>Zhang C et al.  ·  Zhonghua Yu Fang Yi Xue Za Zhi  ·  06.09.2026  ·  PMID 42736149</w:t>
      </w:r>
    </w:p>
    <w:p>
      <w:r>
        <w:t>Befragung von 700 Personen ≥60 Jahren in Shaanxi (China) 2025 zu Einflussfaktoren auf Grippeimpfung.</w:t>
      </w:r>
    </w:p>
    <w:p>
      <w:r>
        <w:rPr>
          <w:b/>
        </w:rPr>
        <w:t xml:space="preserve">Ergebnis: </w:t>
      </w:r>
      <w:r>
        <w:t>49,7% geimpft, 50,3% ungeimpft. Schutzfaktoren: Hochschulbildung (OR 2,77), Stadtwohnung (OR 1,94), hohes Infektionsrisiko-Bewusstsein (OR 4,89), Glaube an Impfnutzen (OR 10,96), Familie/Freunde mit Impfgeschichte (OR 5,07). Bildung und soziales Umfeld sind stärkste Prädiktoren – nicht Zugang allein.</w:t>
      </w:r>
    </w:p>
    <w:p>
      <w:r>
        <w:rPr>
          <w:b/>
          <w:sz w:val="19"/>
        </w:rPr>
        <w:t xml:space="preserve">Übertragbarkeit: </w:t>
      </w:r>
      <w:r>
        <w:rPr>
          <w:sz w:val="19"/>
        </w:rPr>
        <w:t>China - Befund zu Risiko-Wahrnehmung und Vertrauen transnational relevant</w:t>
      </w:r>
    </w:p>
    <w:p>
      <w:r>
        <w:rPr>
          <w:color w:val="5A7D3A"/>
          <w:sz w:val="18"/>
        </w:rPr>
        <w:t>https://pubmed.ncbi.nlm.nih.gov/42736149/</w:t>
      </w:r>
    </w:p>
    <w:p>
      <w:pPr>
        <w:pStyle w:val="Heading2"/>
      </w:pPr>
      <w:r>
        <w:t>RSV-Impfung in der Schwangerschaft und Frühgeburtsrisiko: Metaanalyse</w:t>
      </w:r>
    </w:p>
    <w:p>
      <w:r>
        <w:rPr>
          <w:i/>
          <w:color w:val="666666"/>
          <w:sz w:val="18"/>
        </w:rPr>
        <w:t>Leskinen N et al.  ·  Immun Inflamm Dis  ·  Sept. 2026  ·  PMID 42712161</w:t>
      </w:r>
    </w:p>
    <w:p>
      <w:r>
        <w:t>Metaanalyse von 7 Studien (3 RCTs, 4 Beobachtungsstudien; insgesamt ~17.000 Geburten) zur Frage, ob mütterliche RSV-PreF-Impfung Frühgeburten oder NICU-Aufnahmen erhöht.</w:t>
      </w:r>
    </w:p>
    <w:p>
      <w:r>
        <w:rPr>
          <w:b/>
        </w:rPr>
        <w:t xml:space="preserve">Ergebnis: </w:t>
      </w:r>
      <w:r>
        <w:t>RCTs zeigten erhöhtes Frühgeburtsrisiko (RR 1,26, 95%-KI 1,08–1,46); Beobachtungsstudien nicht (RR 0,78, 95%-KI 0,46–1,32). Gepoolte Analyse: kein Gesamteffekt (RR 0,96, 95%-KI 0,68–1,38). NICU-Aufnahme nicht erhöht (RR 0,74). Evidenzsicherheit niedrig bis sehr niedrig; Überwachung empfohlen.</w:t>
      </w:r>
    </w:p>
    <w:p>
      <w:r>
        <w:rPr>
          <w:b/>
          <w:sz w:val="19"/>
        </w:rPr>
        <w:t xml:space="preserve">Übertragbarkeit: </w:t>
      </w:r>
      <w:r>
        <w:rPr>
          <w:sz w:val="19"/>
        </w:rPr>
        <w:t>Mehrländer-Studie, übertragbar auf europaähnliche Settings</w:t>
      </w:r>
    </w:p>
    <w:p>
      <w:r>
        <w:rPr>
          <w:color w:val="5A7D3A"/>
          <w:sz w:val="18"/>
        </w:rPr>
        <w:t>https://pubmed.ncbi.nlm.nih.gov/42712161/</w:t>
      </w:r>
    </w:p>
    <w:p>
      <w:pPr>
        <w:pStyle w:val="Heading2"/>
      </w:pPr>
      <w:r>
        <w:t>Auffrischimpfung gegen JN.1-Variante aktiviert neue B-Zell-Subpopulationen</w:t>
      </w:r>
    </w:p>
    <w:p>
      <w:r>
        <w:rPr>
          <w:i/>
          <w:color w:val="666666"/>
          <w:sz w:val="18"/>
        </w:rPr>
        <w:t>Stankov MV et al.  ·  Nat Commun  ·  24.07.2026  ·  PMID 42498786</w:t>
      </w:r>
    </w:p>
    <w:p>
      <w:r>
        <w:t>Deutsche Längsschnittstudie (n=42, überwiegend mehrfach Geimpfte und Infizierte) untersuchte, wie JN.1-adaptierte mRNA-Booster die Antikörper- und B-Zell-Antwort verändern.</w:t>
      </w:r>
    </w:p>
    <w:p>
      <w:r>
        <w:rPr>
          <w:b/>
        </w:rPr>
        <w:t xml:space="preserve">Ergebnis: </w:t>
      </w:r>
      <w:r>
        <w:t>IgG-Bindung und Neutralisierungstiter gegen JN.1 stiegen; Antigen-spezifische Memory-B-Zellen zeigten durch Mutationen (somatic hypermutation) verbesserte JN.1-Bindung, ohne dass neue naive B-Zellen massiv rekrutiert wurden. Effekt: Reifung vorbestehender Memory-B-Zellen statt Neuausrichtung.</w:t>
      </w:r>
    </w:p>
    <w:p>
      <w:r>
        <w:rPr>
          <w:b/>
          <w:sz w:val="19"/>
        </w:rPr>
        <w:t xml:space="preserve">Übertragbarkeit: </w:t>
      </w:r>
      <w:r>
        <w:rPr>
          <w:sz w:val="19"/>
        </w:rPr>
        <w:t>Deutschland, vergleichbare Impfstrategie und Dokumentation</w:t>
      </w:r>
    </w:p>
    <w:p>
      <w:r>
        <w:rPr>
          <w:color w:val="5A7D3A"/>
          <w:sz w:val="18"/>
        </w:rPr>
        <w:t>https://pubmed.ncbi.nlm.nih.gov/42498786/</w:t>
      </w:r>
    </w:p>
    <w:p>
      <w:pPr>
        <w:pStyle w:val="Heading2"/>
      </w:pPr>
      <w:r>
        <w:t>CAR-T-Therapien in Europa: Axicabtagene vs. Tisagenlecleucel bei großzelligem Lymphom</w:t>
      </w:r>
    </w:p>
    <w:p>
      <w:r>
        <w:rPr>
          <w:i/>
          <w:color w:val="666666"/>
          <w:sz w:val="18"/>
        </w:rPr>
        <w:t>Li H et al.  ·  PeerJ  ·  06.07.2026  ·  PMID 42428526</w:t>
      </w:r>
    </w:p>
    <w:p>
      <w:r>
        <w:t>Systematische Übersicht von 8 europäischen Kohortenstudien mit 2.178 Patienten verglich Wirksamkeit und Toxizität zweier CAR-T-Produkte gegen diffuses großzelliges B-Zell-Lymphom.</w:t>
      </w:r>
    </w:p>
    <w:p>
      <w:r>
        <w:rPr>
          <w:b/>
        </w:rPr>
        <w:t xml:space="preserve">Ergebnis: </w:t>
      </w:r>
      <w:r>
        <w:t>Axicabtagene zeigte höhere 3-Monats-Ansprechquoten (signifikant, p nicht genannt), aber niedrigere 12-Monats-progressionsfreie Überlebensraten; höhere Raten für Zytokinfreibsetzungssyndrom und neurotoxisches Syndrom (ICANS) alle Grade sowie Grade ≥3 ICANS, häufigere Tocilizumab-Gabe. Unter europäischen Alltagsbedingungen zeigt sich ein Wirksamkeits-Toxizitäts-Trade-off.</w:t>
      </w:r>
    </w:p>
    <w:p>
      <w:r>
        <w:rPr>
          <w:b/>
          <w:sz w:val="19"/>
        </w:rPr>
        <w:t xml:space="preserve">Übertragbarkeit: </w:t>
      </w:r>
      <w:r>
        <w:rPr>
          <w:sz w:val="19"/>
        </w:rPr>
        <w:t>Europa - acht Kohorten, vergleichbares Versicherungssystem</w:t>
      </w:r>
    </w:p>
    <w:p>
      <w:r>
        <w:rPr>
          <w:color w:val="5A7D3A"/>
          <w:sz w:val="18"/>
        </w:rPr>
        <w:t>https://pubmed.ncbi.nlm.nih.gov/42428526/</w:t>
      </w:r>
    </w:p>
    <w:p>
      <w:pPr>
        <w:pStyle w:val="Heading1"/>
      </w:pPr>
      <w:r>
        <w:t>Aufgenommen am 15.09.2026</w:t>
      </w:r>
    </w:p>
    <w:p>
      <w:pPr>
        <w:pStyle w:val="Heading2"/>
      </w:pPr>
      <w:r>
        <w:t>COVID-19-Pandemie verbesserte Wissen und Einstellung zur Polioimpfung in Pakistan</w:t>
      </w:r>
    </w:p>
    <w:p>
      <w:r>
        <w:rPr>
          <w:i/>
          <w:color w:val="666666"/>
          <w:sz w:val="18"/>
        </w:rPr>
        <w:t>Ullah A et al.  ·  East Mediterr Health J  ·  03.09.2026  ·  PMID 42734198</w:t>
      </w:r>
    </w:p>
    <w:p>
      <w:r>
        <w:t>Querschnittsstudie mit 308 Eltern von Kindern unter fünf Jahren in Nord-Waziristan, Pakistan (Januar bis April 2025) zum Wissensstand über Polioimpfung vor und nach COVID-19.</w:t>
      </w:r>
    </w:p>
    <w:p>
      <w:r>
        <w:rPr>
          <w:b/>
        </w:rPr>
        <w:t xml:space="preserve">Ergebnis: </w:t>
      </w:r>
      <w:r>
        <w:t>Mittlere Wissenspunktzahl stieg von 6,2±2,3 (vor COVID-19) auf 8,3±2,1 (nach COVID-19; p&lt;0,0001). Gutes Wissen (Punktzahl ≥9) nahm von 36,3 % auf 58,7 % zu, Fehlvorstellungen sanken von 64,9 % auf 35,1 %. Empfehlungen von Fachpersonal (85 %), Social-Media-Kampagnen (76 %) und Verfechter religiöser Führer (55 %) trugen zur Verbesserung bei.</w:t>
      </w:r>
    </w:p>
    <w:p>
      <w:r>
        <w:rPr>
          <w:b/>
          <w:sz w:val="19"/>
        </w:rPr>
        <w:t xml:space="preserve">Übertragbarkeit: </w:t>
      </w:r>
      <w:r>
        <w:rPr>
          <w:sz w:val="19"/>
        </w:rPr>
        <w:t>Pakistan – Impfakzeptanz-Befunde, aber anderes Gesundheitssystem</w:t>
      </w:r>
    </w:p>
    <w:p>
      <w:r>
        <w:rPr>
          <w:color w:val="5A7D3A"/>
          <w:sz w:val="18"/>
        </w:rPr>
        <w:t>https://pubmed.ncbi.nlm.nih.gov/42734198/</w:t>
      </w:r>
    </w:p>
    <w:p>
      <w:pPr>
        <w:pStyle w:val="Heading2"/>
      </w:pPr>
      <w:r>
        <w:t>Herpes Zoster-Impfstoff LZ901 schützt 91,6 Prozent der Geimpften vor Erkrankung</w:t>
      </w:r>
    </w:p>
    <w:p>
      <w:r>
        <w:rPr>
          <w:i/>
          <w:color w:val="666666"/>
          <w:sz w:val="18"/>
        </w:rPr>
        <w:t>Jin P et al.  ·  Nat Commun  ·  07.08.2026  ·  PMID 42733065</w:t>
      </w:r>
    </w:p>
    <w:p>
      <w:r>
        <w:t>Randomisierte, placebokontrollierte Phase-3-Studie zur Wirksamkeit und Sicherheit des Herpes-Zoster-Impfstoffs LZ901 (rekombinante gE-Fc-Fusionprotein) bei 26 018 Erwachsenen ab 40 Jahren über 12 Monate.</w:t>
      </w:r>
    </w:p>
    <w:p>
      <w:r>
        <w:rPr>
          <w:b/>
        </w:rPr>
        <w:t xml:space="preserve">Ergebnis: </w:t>
      </w:r>
      <w:r>
        <w:t>Impfeffektivität gegen Herpes Zoster 91,6 % (95%-KI 86,3–95,3; p&lt;0,001); bei 40–69 Jahren 93,9 %, bei ≥70 Jahren 66,9 %. Gegen Post-Zoster-Neuralgie 95,9 % (95%-KI 63,9–99,9). Injektionsstellen- und systemische Reaktionen erhöht, Grad-3-Reaktionen selten (0,3 % vs. 0,4 % Placebo), keine schwerwiegenden unerwünschten Ereignisse.</w:t>
      </w:r>
    </w:p>
    <w:p>
      <w:r>
        <w:rPr>
          <w:b/>
          <w:sz w:val="19"/>
        </w:rPr>
        <w:t xml:space="preserve">Übertragbarkeit: </w:t>
      </w:r>
      <w:r>
        <w:rPr>
          <w:sz w:val="19"/>
        </w:rPr>
        <w:t>China, vergleichbare epidemiologische Zielgruppe und klinische Endpunkte</w:t>
      </w:r>
    </w:p>
    <w:p>
      <w:r>
        <w:rPr>
          <w:color w:val="5A7D3A"/>
          <w:sz w:val="18"/>
        </w:rPr>
        <w:t>https://pubmed.ncbi.nlm.nih.gov/42733065/</w:t>
      </w:r>
    </w:p>
    <w:p>
      <w:pPr>
        <w:pStyle w:val="Heading2"/>
      </w:pPr>
      <w:r>
        <w:t>Mobile-App zur HPV-Impfberatung erhöhte Impfrate bei Kindern auf 48 Prozent</w:t>
      </w:r>
    </w:p>
    <w:p>
      <w:r>
        <w:rPr>
          <w:i/>
          <w:color w:val="666666"/>
          <w:sz w:val="18"/>
        </w:rPr>
        <w:t>Cunningham-Erves J et al.  ·  JMIR Cancer  ·  09.09.2026  ·  PMID 42715554</w:t>
      </w:r>
    </w:p>
    <w:p>
      <w:r>
        <w:t>Pilot-RCT (Juni–September 2023) in zwei Stadtkliniken Tennessee mit 57 Eltern von Kindern 9–17 Jahren. HPVVaxFacts-App vermittelt tailorierte Impfaufklärung vor Klinikbesuch versus Ernährungsedukation (Aufmerksamkeitskontrolle).</w:t>
      </w:r>
    </w:p>
    <w:p>
      <w:r>
        <w:rPr>
          <w:b/>
        </w:rPr>
        <w:t xml:space="preserve">Ergebnis: </w:t>
      </w:r>
      <w:r>
        <w:t>HPV-Impfeinleitung Interventionsgruppe 48 %, Kontrollgruppe 17 % (Differenz 0,24; 95%-KI 0,03–0,46; p=0,01). Wissensgewinne und Besorgnis-Reduktion in der App-Gruppe größer, aber nicht statistisch signifikant (p=0,13 und p=0,14). 81 % der Eltern nutzten die App, Mehrheit fand Protokoll und App akzeptabel.</w:t>
      </w:r>
    </w:p>
    <w:p>
      <w:r>
        <w:rPr>
          <w:b/>
          <w:sz w:val="19"/>
        </w:rPr>
        <w:t xml:space="preserve">Übertragbarkeit: </w:t>
      </w:r>
      <w:r>
        <w:rPr>
          <w:sz w:val="19"/>
        </w:rPr>
        <w:t>USA – Impfakzeptanz-Intervention, transferierbar nur für Designprinzipien</w:t>
      </w:r>
    </w:p>
    <w:p>
      <w:r>
        <w:rPr>
          <w:color w:val="5A7D3A"/>
          <w:sz w:val="18"/>
        </w:rPr>
        <w:t>https://pubmed.ncbi.nlm.nih.gov/42715554/</w:t>
      </w:r>
    </w:p>
    <w:p>
      <w:pPr>
        <w:pStyle w:val="Heading2"/>
      </w:pPr>
      <w:r>
        <w:t>Verständnis der Herpes-Zoster-Erkrankung steigert Impfquote bei älteren Erwachsenen in China</w:t>
      </w:r>
    </w:p>
    <w:p>
      <w:r>
        <w:rPr>
          <w:i/>
          <w:color w:val="666666"/>
          <w:sz w:val="18"/>
        </w:rPr>
        <w:t>Cao H et al.  ·  Hum Vaccin Immunother  ·  08.09.2026  ·  PMID 42708543</w:t>
      </w:r>
    </w:p>
    <w:p>
      <w:r>
        <w:t>Querschnittsstudie mit 1556 Bürgern ab 60 Jahren aus Shenzhen, China (August–Oktober 2024) zu psychosozialen und familiären Faktoren der Herpes-Zoster-Impfakzeptanz.</w:t>
      </w:r>
    </w:p>
    <w:p>
      <w:r>
        <w:rPr>
          <w:b/>
        </w:rPr>
        <w:t xml:space="preserve">Ergebnis: </w:t>
      </w:r>
      <w:r>
        <w:t>8,0 % der Teilnehmer waren geimpft. Besseres Verständnis (Kohärenz) war mit höherer Impfquote assoziiert (AOR 1,15; 95%-KI 1,07–1,24). Impfmüdigkeit korrelierte mit niedrigerer Quote (AOR 0,79; 95%-KI 0,62–0,99). Stark modifizierbare psychosoziale Faktoren identifiziert.</w:t>
      </w:r>
    </w:p>
    <w:p>
      <w:r>
        <w:rPr>
          <w:b/>
          <w:sz w:val="19"/>
        </w:rPr>
        <w:t xml:space="preserve">Übertragbarkeit: </w:t>
      </w:r>
      <w:r>
        <w:rPr>
          <w:sz w:val="19"/>
        </w:rPr>
        <w:t>China – Versorgungskontext anderer, Impfskepsis-Mechanismen aber übertragbar</w:t>
      </w:r>
    </w:p>
    <w:p>
      <w:r>
        <w:rPr>
          <w:color w:val="5A7D3A"/>
          <w:sz w:val="18"/>
        </w:rPr>
        <w:t>https://pubmed.ncbi.nlm.nih.gov/42708543/</w:t>
      </w:r>
    </w:p>
    <w:p>
      <w:pPr>
        <w:pStyle w:val="Heading2"/>
      </w:pPr>
      <w:r>
        <w:t>Altersabhängige Immunabläufe erklären unterschiedliche Influenza-Impfwirksamkeit über Lebensalter</w:t>
      </w:r>
    </w:p>
    <w:p>
      <w:r>
        <w:rPr>
          <w:i/>
          <w:color w:val="666666"/>
          <w:sz w:val="18"/>
        </w:rPr>
        <w:t>Liu J et al.  ·  Front Immunol  ·  24.08.2026  ·  PMID 42707705</w:t>
      </w:r>
    </w:p>
    <w:p>
      <w:r>
        <w:t>Narrativer Review zu Einflussfaktoren des Alters auf Influenza-Impfeffektivität und zu lebensalter-spezifischen Immunmechanismen von der Entwicklung über Reifung bis zur Immunoseneszenz.</w:t>
      </w:r>
    </w:p>
    <w:p>
      <w:r>
        <w:rPr>
          <w:b/>
        </w:rPr>
        <w:t xml:space="preserve">Ergebnis: </w:t>
      </w:r>
      <w:r>
        <w:t>Influenza-Impfeffektivität zeigt erhebliche altersabhängige Heterogenität. Immun-Remodellierung über die Lebensspanne prägt Vakzin-Reaktionen. Review schlägt altersgerechte Impfstoff-Optimierungsstrategie vor: spezifische Formulierungen für Kinder, Erwachsene und ältere Menschen statt ‚one-dose-fits-all'-Modell. Theoretische Grundlage für Präzisions-Impfparadigma gelegt.</w:t>
      </w:r>
    </w:p>
    <w:p>
      <w:r>
        <w:rPr>
          <w:b/>
          <w:sz w:val="19"/>
        </w:rPr>
        <w:t xml:space="preserve">Übertragbarkeit: </w:t>
      </w:r>
      <w:r>
        <w:rPr>
          <w:sz w:val="19"/>
        </w:rPr>
        <w:t>China (Institut), aber Immunologie-Mechanismen universal</w:t>
      </w:r>
    </w:p>
    <w:p>
      <w:r>
        <w:rPr>
          <w:color w:val="5A7D3A"/>
          <w:sz w:val="18"/>
        </w:rPr>
        <w:t>https://pubmed.ncbi.nlm.nih.gov/42707705/</w:t>
      </w:r>
    </w:p>
    <w:p>
      <w:pPr>
        <w:pStyle w:val="Heading2"/>
      </w:pPr>
      <w:r>
        <w:t>23-valente Pneumokokken-Polysaccharidimpfung senkte ambulante Pneumonie um knapp 20 Prozent</w:t>
      </w:r>
    </w:p>
    <w:p>
      <w:r>
        <w:rPr>
          <w:i/>
          <w:color w:val="666666"/>
          <w:sz w:val="18"/>
        </w:rPr>
        <w:t>Vernooij FS et al.  ·  Epidemiol Infect  ·  23.07.2026  ·  PMID 42487216</w:t>
      </w:r>
    </w:p>
    <w:p>
      <w:r>
        <w:t>Regression-Discontinuity-Analyse der Wirkung der PPV23-Impfung auf nicht-invasive Pneumokokken-Pneumonie bei Erwachsenen über 60 Jahren in den Niederlanden zwischen 2016 und 2023.</w:t>
      </w:r>
    </w:p>
    <w:p>
      <w:r>
        <w:rPr>
          <w:b/>
        </w:rPr>
        <w:t xml:space="preserve">Ergebnis: </w:t>
      </w:r>
      <w:r>
        <w:t>Gesamtwirksamkeit 19,7 % (95%-KI 8,5–29,7). Die Schutzwirkung nahm über die Zeit seit Impfberechtigung ab, blieb aber auch nach drei Jahren deutlich vorhanden. Daten aus 14 Laboren mit geschätzter Abdeckung von 34,9 % der niederländischen Bevölkerung.</w:t>
      </w:r>
    </w:p>
    <w:p>
      <w:r>
        <w:rPr>
          <w:b/>
          <w:sz w:val="19"/>
        </w:rPr>
        <w:t xml:space="preserve">Übertragbarkeit: </w:t>
      </w:r>
      <w:r>
        <w:rPr>
          <w:sz w:val="19"/>
        </w:rPr>
        <w:t>Niederlande, vergleichbares Versicherungssystem und Laborregister</w:t>
      </w:r>
    </w:p>
    <w:p>
      <w:r>
        <w:rPr>
          <w:color w:val="5A7D3A"/>
          <w:sz w:val="18"/>
        </w:rPr>
        <w:t>https://pubmed.ncbi.nlm.nih.gov/42487216/</w:t>
      </w:r>
    </w:p>
    <w:p>
      <w:pPr>
        <w:pStyle w:val="Heading1"/>
      </w:pPr>
      <w:r>
        <w:t>Aufgenommen am 14.09.2026</w:t>
      </w:r>
    </w:p>
    <w:p>
      <w:pPr>
        <w:pStyle w:val="Heading2"/>
      </w:pPr>
      <w:r>
        <w:t>Impfkampagnen-Monitoring: Abweichungen zwischen Felderhebungen und Nachbarschafts-Umfragen</w:t>
      </w:r>
    </w:p>
    <w:p>
      <w:r>
        <w:rPr>
          <w:i/>
          <w:color w:val="666666"/>
          <w:sz w:val="18"/>
        </w:rPr>
        <w:t>Thakkar N  ·  Gates Open Res  ·  01.09.2026  ·  PMID 42732098</w:t>
      </w:r>
    </w:p>
    <w:p>
      <w:r>
        <w:t>Analyse von Impfteam-Tallies (tägliche Dokumentation Geimpfter) versus Post-Campaign Coverage Surveys (PCCS) in Kano-Kampagne 2023 (Masern, Nigeria) unter Verwendung von Capture-Recapture-Methoden.</w:t>
      </w:r>
    </w:p>
    <w:p>
      <w:r>
        <w:rPr>
          <w:b/>
        </w:rPr>
        <w:t xml:space="preserve">Ergebnis: </w:t>
      </w:r>
      <w:r>
        <w:t>Erhebliche Diskrepanzen zwischen Tally-basierten Recapture-Schätzungen und PCCS-Daten. Tally-Daten ermöglichen präzise, quasi-zeitgleiche Monitoring und hohe räumliche Auflösung. Verschiedene Verzerrungsmodelle erklären Abweichungen: Doppelzählungen, fehlende Dokumentation, Non-Response in PCCS. Tally-Sheets als unkonventionelle, aber nachvollziehbare Populationsstichprobe zur Echtzeitbewertung von Implementierungsqualität.</w:t>
      </w:r>
    </w:p>
    <w:p>
      <w:r>
        <w:rPr>
          <w:b/>
          <w:sz w:val="19"/>
        </w:rPr>
        <w:t xml:space="preserve">Übertragbarkeit: </w:t>
      </w:r>
      <w:r>
        <w:rPr>
          <w:sz w:val="19"/>
        </w:rPr>
        <w:t>Nigeria/Subsahara-Kontext, Methodik auf deutsche Kampagnen-Evaluation anwendbar, insbes. zur Echtzeit-Qualitätskontrolle.</w:t>
      </w:r>
    </w:p>
    <w:p>
      <w:r>
        <w:rPr>
          <w:color w:val="5A7D3A"/>
          <w:sz w:val="18"/>
        </w:rPr>
        <w:t>https://pubmed.ncbi.nlm.nih.gov/42732098/</w:t>
      </w:r>
    </w:p>
    <w:p>
      <w:pPr>
        <w:pStyle w:val="Heading2"/>
      </w:pPr>
      <w:r>
        <w:t>Verzögerte Impfungen: Globale Systeme erfassen Catch-up-Dosen unzureichend</w:t>
      </w:r>
    </w:p>
    <w:p>
      <w:r>
        <w:rPr>
          <w:i/>
          <w:color w:val="666666"/>
          <w:sz w:val="18"/>
        </w:rPr>
        <w:t>Danovaro-Holliday MC et al.  ·  Gates Open Res  ·  01.09.2026  ·  PMID 42732096</w:t>
      </w:r>
    </w:p>
    <w:p>
      <w:r>
        <w:t>Analyse von WHO/UNICEF-Daten aus 194 Ländern (2016–2022) zur Fähigkeit von Immunisierungssystemen, verzögerte (Catch-up-)Impfdosen zu dokumentieren und zu monitoren.</w:t>
      </w:r>
    </w:p>
    <w:p>
      <w:r>
        <w:rPr>
          <w:b/>
        </w:rPr>
        <w:t xml:space="preserve">Ergebnis: </w:t>
      </w:r>
      <w:r>
        <w:t>Nur 55,5–64,4 % der Länder verfügten über Systeme zur Erfassung verzögerter Dosen; in Amerika (AMR) 77,1–82,9 %. Median-Anteil verzögerter MCV1-Dosen: 4,4 %. Catch-up-Aktivitäten würden gemeldete Impfquoten um ca. 4 Prozentpunkte erhöhen. Erhebliche regionale Unterschiede je nach Einkommensstatus und Gavi-Teilnahme.</w:t>
      </w:r>
    </w:p>
    <w:p>
      <w:r>
        <w:rPr>
          <w:b/>
          <w:sz w:val="19"/>
        </w:rPr>
        <w:t xml:space="preserve">Übertragbarkeit: </w:t>
      </w:r>
      <w:r>
        <w:rPr>
          <w:sz w:val="19"/>
        </w:rPr>
        <w:t>Globale Systemanalyse, zeigt Schwächen in deutscher Impfdokumentation (Deutschland hat kein zentrales Impfregister).</w:t>
      </w:r>
    </w:p>
    <w:p>
      <w:r>
        <w:rPr>
          <w:color w:val="5A7D3A"/>
          <w:sz w:val="18"/>
        </w:rPr>
        <w:t>https://pubmed.ncbi.nlm.nih.gov/42732096/</w:t>
      </w:r>
    </w:p>
    <w:p>
      <w:pPr>
        <w:pStyle w:val="Heading2"/>
      </w:pPr>
      <w:r>
        <w:t>Masern als Messlatte: Warum Eradikation Impfsysteme stärkt</w:t>
      </w:r>
    </w:p>
    <w:p>
      <w:r>
        <w:rPr>
          <w:i/>
          <w:color w:val="666666"/>
          <w:sz w:val="18"/>
        </w:rPr>
        <w:t>Durrheim DN et al.  ·  Hum Vaccin Immunother  ·  12.09.2026  ·  PMID 42730634</w:t>
      </w:r>
    </w:p>
    <w:p>
      <w:r>
        <w:t>Perspektive zur strategischen Bedeutung von Masern-Eradikation als Katalysator für Aufbau stabiler Impfprogramme und Gesundheitssysteme, besonders im Kontext steigender Ausbrüche.</w:t>
      </w:r>
    </w:p>
    <w:p>
      <w:r>
        <w:rPr>
          <w:b/>
        </w:rPr>
        <w:t xml:space="preserve">Ergebnis: </w:t>
      </w:r>
      <w:r>
        <w:t>Masern-Eradikation erfordert und katalysiert Fähigkeiten, die auch grundlegend für resiliente Systeme sind: hohe Routineimpfquoten, sensitive Surveillance, qualitätsgesicherte Labornetzwerke, schnelle Ausbruchreaktion, Gemeinschaftsbeteiligung. Aktuelle Ausbrüche signalisieren Systemfragilitäten und bieten Gelegenheit zur Stärkung von Impfgerechtigkeit.</w:t>
      </w:r>
    </w:p>
    <w:p>
      <w:r>
        <w:rPr>
          <w:b/>
          <w:sz w:val="19"/>
        </w:rPr>
        <w:t xml:space="preserve">Übertragbarkeit: </w:t>
      </w:r>
      <w:r>
        <w:rPr>
          <w:sz w:val="19"/>
        </w:rPr>
        <w:t>Conceptual framework zur Systemstärkung, international anwendbar, besonders relevant für Länder mit Ausbrüchen.</w:t>
      </w:r>
    </w:p>
    <w:p>
      <w:r>
        <w:rPr>
          <w:color w:val="5A7D3A"/>
          <w:sz w:val="18"/>
        </w:rPr>
        <w:t>https://pubmed.ncbi.nlm.nih.gov/42730634/</w:t>
      </w:r>
    </w:p>
    <w:p>
      <w:pPr>
        <w:pStyle w:val="Heading2"/>
      </w:pPr>
      <w:r>
        <w:t>Sierra Leone: Von Impfstoff-Verfügbarkeit zur Bevölkerungsschutzung – Deployment Readiness</w:t>
      </w:r>
    </w:p>
    <w:p>
      <w:r>
        <w:rPr>
          <w:i/>
          <w:color w:val="666666"/>
          <w:sz w:val="18"/>
        </w:rPr>
        <w:t>Ikoona EN et al.  ·  Ann Glob Health  ·  07.09.2026  ·  PMID 42730077</w:t>
      </w:r>
    </w:p>
    <w:p>
      <w:r>
        <w:t>Vergleichende Analyse von Impfkampagnen-Implementierung in Sierra Leone (COVID-19 2021, Ebola 2024, Mpox 2025) zur Identifikation kritischer Faktoren zwischen Zulassung und Vakzinierungsbeginn.</w:t>
      </w:r>
    </w:p>
    <w:p>
      <w:r>
        <w:rPr>
          <w:b/>
        </w:rPr>
        <w:t xml:space="preserve">Ergebnis: </w:t>
      </w:r>
      <w:r>
        <w:t>COVID-19: 45 Tage von EMA-Zulassung bis Impfstart; 73,2–86,7 % Deckung in Zielgruppe. Ebola: 1.851 Tage bis Impfstart trotz globales Stockpile seit 2021. Mpox: 106 Tage nach Ausbruchbestätigung, 186.053 Personen erreicht. &gt;84 % der COVID-Dosen über Surge-Kampagnen. Produktverfügbarkeit allein unzureichend; nationale Aktivierung, Finanzierung und Anbindung an globale Vorgaben entscheidend.</w:t>
      </w:r>
    </w:p>
    <w:p>
      <w:r>
        <w:rPr>
          <w:b/>
          <w:sz w:val="19"/>
        </w:rPr>
        <w:t xml:space="preserve">Übertragbarkeit: </w:t>
      </w:r>
      <w:r>
        <w:rPr>
          <w:sz w:val="19"/>
        </w:rPr>
        <w:t>Niedrig-/mitteleinkommiges Land (WHO-EMRO), Implementierungs-Framework transferierbar auf deutsche Krise-Impf-Vorbereitung.</w:t>
      </w:r>
    </w:p>
    <w:p>
      <w:r>
        <w:rPr>
          <w:color w:val="5A7D3A"/>
          <w:sz w:val="18"/>
        </w:rPr>
        <w:t>https://pubmed.ncbi.nlm.nih.gov/42730077/</w:t>
      </w:r>
    </w:p>
    <w:p>
      <w:pPr>
        <w:pStyle w:val="Heading2"/>
      </w:pPr>
      <w:r>
        <w:t>Norovirus-Impfung in England: Kostenwirksam durch Vermeidung von Nierenschäden</w:t>
      </w:r>
    </w:p>
    <w:p>
      <w:r>
        <w:rPr>
          <w:i/>
          <w:color w:val="666666"/>
          <w:sz w:val="18"/>
        </w:rPr>
        <w:t>Bolt H et al.  ·  Epidemics  ·  28.07.2026  ·  PMID 42537313</w:t>
      </w:r>
    </w:p>
    <w:p>
      <w:r>
        <w:t>Modellierung der gesundheitsökonomischen Effekte einer Norovirus-Impfung in England, die Akutnierenschäden als Spätfolge berücksichtigt.</w:t>
      </w:r>
    </w:p>
    <w:p>
      <w:r>
        <w:rPr>
          <w:b/>
        </w:rPr>
        <w:t xml:space="preserve">Ergebnis: </w:t>
      </w:r>
      <w:r>
        <w:t>Kombinierte Impfstrategie für Kinder und Ältere reduzierte symptomatische Infektionen um 64–66 %. Mit akuten Nierenschäden war eine Impfstoffeffektivität von 35 % noch kosteneffektiv (Schwellenwert: £ 20.000 pro QALY). Ohne Berücksichtigung der Nierenschäden war keine Strategie kosteneffektiv.</w:t>
      </w:r>
    </w:p>
    <w:p>
      <w:r>
        <w:rPr>
          <w:b/>
          <w:sz w:val="19"/>
        </w:rPr>
        <w:t xml:space="preserve">Übertragbarkeit: </w:t>
      </w:r>
      <w:r>
        <w:rPr>
          <w:sz w:val="19"/>
        </w:rPr>
        <w:t>Englisches Versorgungssystem, vergleichbar mit deutschen Health Economics-Evaluationen.</w:t>
      </w:r>
    </w:p>
    <w:p>
      <w:r>
        <w:rPr>
          <w:color w:val="5A7D3A"/>
          <w:sz w:val="18"/>
        </w:rPr>
        <w:t>https://pubmed.ncbi.nlm.nih.gov/42537313/</w:t>
      </w:r>
    </w:p>
    <w:p>
      <w:pPr>
        <w:pStyle w:val="Heading2"/>
      </w:pPr>
      <w:r>
        <w:t>Viruslast-Dynamik und Varianten: Was Frankreichs Routinetests über Impfschutz verraten</w:t>
      </w:r>
    </w:p>
    <w:p>
      <w:r>
        <w:rPr>
          <w:i/>
          <w:color w:val="666666"/>
          <w:sz w:val="18"/>
        </w:rPr>
        <w:t>Beaulieu M et al.  ·  PLoS Comput Biol  ·  27.07.2026  ·  PMID 42507756</w:t>
      </w:r>
    </w:p>
    <w:p>
      <w:r>
        <w:t>Analysen von 322.218 PCR-Tests aus Frankreich 2021–2022 zur Erfassung der Viraldy­namik unter verschiedenen Varianten und Impfstatus bei symptomatic infection.</w:t>
      </w:r>
    </w:p>
    <w:p>
      <w:r>
        <w:rPr>
          <w:b/>
        </w:rPr>
        <w:t xml:space="preserve">Ergebnis: </w:t>
      </w:r>
      <w:r>
        <w:t>Alter ≥ 65 Jahre: längere Clearance-Zeit um 2–6 Tage. Geimpfte Personen: 2–4 Tage kürzere Clearance. Omicron: um 2–3 Ct niedrigere Peakviruslast und um 1–2 Tage kürzere Clearance als Delta. Gemeinschafts-PCR-Testdaten ermöglichen robuste Virusdynamik-Schätzungen.</w:t>
      </w:r>
    </w:p>
    <w:p>
      <w:r>
        <w:rPr>
          <w:b/>
          <w:sz w:val="19"/>
        </w:rPr>
        <w:t xml:space="preserve">Übertragbarkeit: </w:t>
      </w:r>
      <w:r>
        <w:rPr>
          <w:sz w:val="19"/>
        </w:rPr>
        <w:t>Frankreich, ähnliche Surveillance-Infrastruktur wie Deutschland, Methode auf deutsche Testdaten übertragbar.</w:t>
      </w:r>
    </w:p>
    <w:p>
      <w:r>
        <w:rPr>
          <w:color w:val="5A7D3A"/>
          <w:sz w:val="18"/>
        </w:rPr>
        <w:t>https://pubmed.ncbi.nlm.nih.gov/42507756/</w:t>
      </w:r>
    </w:p>
    <w:p>
      <w:pPr>
        <w:pStyle w:val="Heading1"/>
      </w:pPr>
      <w:r>
        <w:t>Aufgenommen am 13.09.2026</w:t>
      </w:r>
    </w:p>
    <w:p>
      <w:pPr>
        <w:pStyle w:val="Heading2"/>
      </w:pPr>
      <w:r>
        <w:t>Impflücken in Peru: Wissen und Angst beeinflussen Impfvollständigkeit bei Kindern</w:t>
      </w:r>
    </w:p>
    <w:p>
      <w:r>
        <w:rPr>
          <w:i/>
          <w:color w:val="666666"/>
          <w:sz w:val="18"/>
        </w:rPr>
        <w:t>Castro-Fuentes MN et al.  ·  Front Public Health  ·  26.08.2026  ·  PMID 42718735</w:t>
      </w:r>
    </w:p>
    <w:p>
      <w:r>
        <w:t>Querschnittsstudie bei 123 Familien in Sunampe, Peru: Assoziationen zwischen Impflücken bei Kindern unter fünf Jahren und mütterlichen Wahrnehmungen, Wissen und Angst.</w:t>
      </w:r>
    </w:p>
    <w:p>
      <w:r>
        <w:rPr>
          <w:b/>
        </w:rPr>
        <w:t xml:space="preserve">Ergebnis: </w:t>
      </w:r>
      <w:r>
        <w:t>Impfverweigerung (≥3 verpasste Schlüsseldosen bis 6 Monate): signifikante Prädiktoren waren Mangel an Wissen über Impfalter (OR: 10,96; p &lt; 0,001) und Nichtbesuch von Impfberatungssitzungen (OR: 3,32; p = 0,026). Angst vor Nebenwirkungen (99,2 % der Mütter berichteten sie) war nicht signifikant (Hinweis auf Antwortverzerrung). Modell: AUC = 0,852. Todesfälle unter 5 Jahren (2017–2022): 10 Fälle, davon 6 pneumokokkal-assoziierten.</w:t>
      </w:r>
    </w:p>
    <w:p>
      <w:r>
        <w:rPr>
          <w:b/>
          <w:sz w:val="19"/>
        </w:rPr>
        <w:t xml:space="preserve">Übertragbarkeit: </w:t>
      </w:r>
      <w:r>
        <w:rPr>
          <w:sz w:val="19"/>
        </w:rPr>
        <w:t>Peru – Befund zu Wissenslücken und Impfpfaden in untermotivierter Bevölkerung auf Deutschland nicht direkt übertragbar, aber qualitativ relevant für Migrationsgruppen</w:t>
      </w:r>
    </w:p>
    <w:p>
      <w:r>
        <w:rPr>
          <w:color w:val="5A7D3A"/>
          <w:sz w:val="18"/>
        </w:rPr>
        <w:t>https://pubmed.ncbi.nlm.nih.gov/42718735/</w:t>
      </w:r>
    </w:p>
    <w:p>
      <w:pPr>
        <w:pStyle w:val="Heading2"/>
      </w:pPr>
      <w:r>
        <w:t>Pneumokokkencolonisierung bei Kindern in Brasilien: Begrenzte Abdeckung durch PCV10</w:t>
      </w:r>
    </w:p>
    <w:p>
      <w:r>
        <w:rPr>
          <w:i/>
          <w:color w:val="666666"/>
          <w:sz w:val="18"/>
        </w:rPr>
        <w:t>Sousa IO et al.  ·  PLoS One  ·  09.09.2026  ·  PMID 42715187</w:t>
      </w:r>
    </w:p>
    <w:p>
      <w:r>
        <w:t>Querschnittstudie bei 400 Kindern (2–5 Jahre) in Salvador, Brasilien: Nasopharyngale Besiedlung mit Streptococcus pneumoniae und Serotypverteilung nach PCV10-GSK-Impfung im brasilianischen Routineprogramm.</w:t>
      </w:r>
    </w:p>
    <w:p>
      <w:r>
        <w:rPr>
          <w:b/>
        </w:rPr>
        <w:t xml:space="preserve">Ergebnis: </w:t>
      </w:r>
      <w:r>
        <w:t>Gesamtbesiedlungsrate: 39,5 %. Häufigste Serotypen: 6C (17,9 %), 19A (13,0 %), 11A (9,3 %). PCV10-GSK deckt nur 3,2 % der Serotypen ab; PCV20 würde 39,5 % abdecken. Penicillinresistenz in 21,8 % der Isolate, am höchsten bei 19A (71,4 %). Befund zeigt Impflücke bei nicht-PCV10-Serotypen trotz Impfung.</w:t>
      </w:r>
    </w:p>
    <w:p>
      <w:r>
        <w:rPr>
          <w:b/>
          <w:sz w:val="19"/>
        </w:rPr>
        <w:t xml:space="preserve">Übertragbarkeit: </w:t>
      </w:r>
      <w:r>
        <w:rPr>
          <w:sz w:val="19"/>
        </w:rPr>
        <w:t>Brasilien – Befund zur Serotyp-Abdeckung und Resistenzentwicklung unter Feldimpfung ist grundlegend übertragbar</w:t>
      </w:r>
    </w:p>
    <w:p>
      <w:r>
        <w:rPr>
          <w:color w:val="5A7D3A"/>
          <w:sz w:val="18"/>
        </w:rPr>
        <w:t>https://pubmed.ncbi.nlm.nih.gov/42715187/</w:t>
      </w:r>
    </w:p>
    <w:p>
      <w:pPr>
        <w:pStyle w:val="Heading2"/>
      </w:pPr>
      <w:r>
        <w:t>Pneumococcale Impfung (PCV21) verhindert invasive Erkrankungen bei Erwachsenen in Spanien</w:t>
      </w:r>
    </w:p>
    <w:p>
      <w:r>
        <w:rPr>
          <w:i/>
          <w:color w:val="666666"/>
          <w:sz w:val="18"/>
        </w:rPr>
        <w:t>Simuzingili M et al.  ·  Vaccine  ·  03.10.2026  ·  PMID 42669238</w:t>
      </w:r>
    </w:p>
    <w:p>
      <w:r>
        <w:t>Gesundheitsökonomische Modellstudie in Spanien: Der 21-valente pneumokokkale Konjugatimpfstoff (PCV21) wurde mit PCV20 verglichen hinsichtlich verhinderte IPD-Fälle und vermiedene Kosten.</w:t>
      </w:r>
    </w:p>
    <w:p>
      <w:r>
        <w:rPr>
          <w:b/>
        </w:rPr>
        <w:t xml:space="preserve">Ergebnis: </w:t>
      </w:r>
      <w:r>
        <w:t>Bei 45–64-jährigen: PCV21 verhindert 178 IPD-Fälle mehr und 20 Todesfälle mehr als PCV20; spart 0,7 Mio. EUR (10% Mehrersparnis). Bei ≥65-Jährigen: 2019 IPD-Fälle und 435 Todesfälle mehr verhindert; spart 257 Mio. EUR (25% Mehrersparnis). Beide Altersgruppen: PCV21 war in allen Szenarien kostenwirksam.</w:t>
      </w:r>
    </w:p>
    <w:p>
      <w:r>
        <w:rPr>
          <w:b/>
          <w:sz w:val="19"/>
        </w:rPr>
        <w:t xml:space="preserve">Übertragbarkeit: </w:t>
      </w:r>
      <w:r>
        <w:rPr>
          <w:sz w:val="19"/>
        </w:rPr>
        <w:t>Spanien, vergleichbares Versicherungssystem und Epidemiologie wie Deutschland</w:t>
      </w:r>
    </w:p>
    <w:p>
      <w:r>
        <w:rPr>
          <w:color w:val="5A7D3A"/>
          <w:sz w:val="18"/>
        </w:rPr>
        <w:t>https://pubmed.ncbi.nlm.nih.gov/42669238/</w:t>
      </w:r>
    </w:p>
    <w:p>
      <w:pPr>
        <w:pStyle w:val="Heading2"/>
      </w:pPr>
      <w:r>
        <w:t>RSV-Impfung für Neugeborene in Japan: Saisonale vs. ganzjährige Strategie</w:t>
      </w:r>
    </w:p>
    <w:p>
      <w:r>
        <w:rPr>
          <w:i/>
          <w:color w:val="666666"/>
          <w:sz w:val="18"/>
        </w:rPr>
        <w:t>Monoi A et al.  ·  Vaccine  ·  03.10.2026  ·  PMID 42648051</w:t>
      </w:r>
    </w:p>
    <w:p>
      <w:r>
        <w:t>Modellstudie: Vergleich saisonaler und ganzjähriger RSV-Immunisierung von Neugeborenen zur Prävention von Krankenhausaufenthalten.</w:t>
      </w:r>
    </w:p>
    <w:p>
      <w:r>
        <w:rPr>
          <w:b/>
        </w:rPr>
        <w:t xml:space="preserve">Ergebnis: </w:t>
      </w:r>
      <w:r>
        <w:t>Ganzjährige RSVpreF-Impfung: 46 % Reduktion der RSV-Hospitalisierungen (95% UR: 31–65%). Ganzjährig Nirsevimab: 58 % Reduktion (95% UR: 39–79%). Saisonale Programme: bei zeitgerechter Durchführung 56–61 % Reduktion. Effekt stark abhängig von Saisonalitätsprädiktion und logistischen Kapazitäten.</w:t>
      </w:r>
    </w:p>
    <w:p>
      <w:r>
        <w:rPr>
          <w:b/>
          <w:sz w:val="19"/>
        </w:rPr>
        <w:t xml:space="preserve">Übertragbarkeit: </w:t>
      </w:r>
      <w:r>
        <w:rPr>
          <w:sz w:val="19"/>
        </w:rPr>
        <w:t>Japan, anderer Kontext – Befund zur Saisonalität und Impfstoffhaltbarkeit aber grundsätzlich übertragbar</w:t>
      </w:r>
    </w:p>
    <w:p>
      <w:r>
        <w:rPr>
          <w:color w:val="5A7D3A"/>
          <w:sz w:val="18"/>
        </w:rPr>
        <w:t>https://pubmed.ncbi.nlm.nih.gov/42648051/</w:t>
      </w:r>
    </w:p>
    <w:p>
      <w:pPr>
        <w:pStyle w:val="Heading2"/>
      </w:pPr>
      <w:r>
        <w:t>Pneumokokken-Impfung bei Erwachsenen mit Diabetes: Verzögerte Aufnahme in Versorgung</w:t>
      </w:r>
    </w:p>
    <w:p>
      <w:r>
        <w:rPr>
          <w:i/>
          <w:color w:val="666666"/>
          <w:sz w:val="18"/>
        </w:rPr>
        <w:t>Lenzi J et al.  ·  Vaccine  ·  03.10.2026  ·  PMID 42612465</w:t>
      </w:r>
    </w:p>
    <w:p>
      <w:r>
        <w:t>Populationsbasierte Kohortenstudie in Romagna (Italien) mit administrativen Daten: Zeitliche Muster und verpasste Impfgelegenheiten der Pneumokokken-Impfung bei Diabetikern über sieben Jahre.</w:t>
      </w:r>
    </w:p>
    <w:p>
      <w:r>
        <w:rPr>
          <w:b/>
        </w:rPr>
        <w:t xml:space="preserve">Ergebnis: </w:t>
      </w:r>
      <w:r>
        <w:t>Durchimpfungsquote stieg von 7,2 % (Jan. 2017) auf 28,0 % (Juni 2024), blieb aber deutlich unter 30 %. In der Inzidenzkohorte: 4,4 % Impfung nach 1 Jahr, 12,6 % nach 3 Jahren, 34,8 % nach 7 Jahren – kein markanter Anstieg unmittelbar nach Diagnose. Fremdländerisches Herkunftsland assoziiiert mit deutlich niedrigerer Aufnahme (OR: 0,52). Muster deutet auf mangelnde Integration in Diabetes-Versorgungspfade hin.</w:t>
      </w:r>
    </w:p>
    <w:p>
      <w:r>
        <w:rPr>
          <w:b/>
          <w:sz w:val="19"/>
        </w:rPr>
        <w:t xml:space="preserve">Übertragbarkeit: </w:t>
      </w:r>
      <w:r>
        <w:rPr>
          <w:sz w:val="19"/>
        </w:rPr>
        <w:t>Italien, ähnliches Versicherungssystem; Befund zu Versorgungsintegration auf Deutschland übertragbar</w:t>
      </w:r>
    </w:p>
    <w:p>
      <w:r>
        <w:rPr>
          <w:color w:val="5A7D3A"/>
          <w:sz w:val="18"/>
        </w:rPr>
        <w:t>https://pubmed.ncbi.nlm.nih.gov/42612465/</w:t>
      </w:r>
    </w:p>
    <w:p>
      <w:pPr>
        <w:pStyle w:val="Heading2"/>
      </w:pPr>
      <w:r>
        <w:t>Sicherheit der Lebendimpfstoff-Influenzaimpfung in England: Acht Jahre Pharmakovigilanz</w:t>
      </w:r>
    </w:p>
    <w:p>
      <w:r>
        <w:rPr>
          <w:i/>
          <w:color w:val="666666"/>
          <w:sz w:val="18"/>
        </w:rPr>
        <w:t>Dhanda S et al.  ·  Vaccine  ·  03.10.2026  ·  PMID 42607627</w:t>
      </w:r>
    </w:p>
    <w:p>
      <w:r>
        <w:t>Verbesserte passive Sicherheitsüberwachung (EPSS) des intranasalen Lebendimpfstoffs Fluenz® Tetra bei Kindern über acht Grippesaisons in England, mit Sicherheitsberichtskarten in 38–49 Praxen und 25–50 Schulen pro Saison.</w:t>
      </w:r>
    </w:p>
    <w:p>
      <w:r>
        <w:rPr>
          <w:b/>
        </w:rPr>
        <w:t xml:space="preserve">Ergebnis: </w:t>
      </w:r>
      <w:r>
        <w:t>8753–17.922 Sicherheitsberichtskarten ausgegeben jährlich. Rücklaufquoten: 2015/2016: 1,9 %, sinkend auf 2022/2023: 0,4 %. Rhinorrhö am häufigsten gemeldet (0,1–0,6 %). Schwerwiegende unerwünschte Ereignisse selten. Befund unterstützt positives Nutzen-Risiko-Profil über alle acht Saisons.</w:t>
      </w:r>
    </w:p>
    <w:p>
      <w:r>
        <w:rPr>
          <w:b/>
          <w:sz w:val="19"/>
        </w:rPr>
        <w:t xml:space="preserve">Übertragbarkeit: </w:t>
      </w:r>
      <w:r>
        <w:rPr>
          <w:sz w:val="19"/>
        </w:rPr>
        <w:t>Großbritannien, vergleichbare Versorgungsinfrastruktur und Pharmakovigilanz-Standards</w:t>
      </w:r>
    </w:p>
    <w:p>
      <w:r>
        <w:rPr>
          <w:color w:val="5A7D3A"/>
          <w:sz w:val="18"/>
        </w:rPr>
        <w:t>https://pubmed.ncbi.nlm.nih.gov/42607627/</w:t>
      </w:r>
    </w:p>
    <w:p>
      <w:pPr>
        <w:pStyle w:val="Heading1"/>
      </w:pPr>
      <w:r>
        <w:t>Aufgenommen am 12.09.2026</w:t>
      </w:r>
    </w:p>
    <w:p>
      <w:pPr>
        <w:pStyle w:val="Heading2"/>
      </w:pPr>
      <w:r>
        <w:t>COVID-19-Sterblichkeit nach Einkommen: Vorbefunde schlagen Impfung um Faktor 3–5</w:t>
      </w:r>
    </w:p>
    <w:p>
      <w:r>
        <w:rPr>
          <w:i/>
          <w:color w:val="666666"/>
          <w:sz w:val="18"/>
        </w:rPr>
        <w:t>Milkovska E et al.  ·  Int J Epidemiol  ·  18.08.2026  ·  PMID 42727089</w:t>
      </w:r>
    </w:p>
    <w:p>
      <w:r>
        <w:t>Analyse niederländischer Administrativdaten (n = 6.619.699) zur Frage, inwieweit unterschiedliche Vorerkrankungen und Impfquoten die Sterblichkeitsungleichheit nach Einkommen im Jahr 2021 erklären.</w:t>
      </w:r>
    </w:p>
    <w:p>
      <w:r>
        <w:rPr>
          <w:b/>
        </w:rPr>
        <w:t xml:space="preserve">Ergebnis: </w:t>
      </w:r>
      <w:r>
        <w:t>Ärmstes Einkommensfünftel starb 3-mal häufiger an COVID-19 als reichstes. Unterschiede in Vorerkrankungen erklärten 46–67 % der Ungleichheit, Unterschiede in Impfquoten nur 14–19 %. Soziale Determinanten der Gesundheit waren das Haupttreiber.</w:t>
      </w:r>
    </w:p>
    <w:p>
      <w:r>
        <w:rPr>
          <w:b/>
          <w:sz w:val="19"/>
        </w:rPr>
        <w:t xml:space="preserve">Übertragbarkeit: </w:t>
      </w:r>
      <w:r>
        <w:rPr>
          <w:sz w:val="19"/>
        </w:rPr>
        <w:t>Niederländische Administrativdaten mit vergleichbarem Versicherungssystem zu Deutschland</w:t>
      </w:r>
    </w:p>
    <w:p>
      <w:r>
        <w:rPr>
          <w:color w:val="5A7D3A"/>
          <w:sz w:val="18"/>
        </w:rPr>
        <w:t>https://pubmed.ncbi.nlm.nih.gov/42727089/</w:t>
      </w:r>
    </w:p>
    <w:p>
      <w:pPr>
        <w:pStyle w:val="Heading2"/>
      </w:pPr>
      <w:r>
        <w:t>Mütterliche RSV-Impfung reduziert Bronchiolitis-Krankenhauseinweisungen bei Säuglingen um 62 %</w:t>
      </w:r>
    </w:p>
    <w:p>
      <w:r>
        <w:rPr>
          <w:i/>
          <w:color w:val="666666"/>
          <w:sz w:val="18"/>
        </w:rPr>
        <w:t>Broad J et al.  ·  Euro Surveill  ·  Sept. 2026  ·  PMID 42725370</w:t>
      </w:r>
    </w:p>
    <w:p>
      <w:r>
        <w:t>Zeitreihenanalyse zu Auswirkungen der mütterlichen RSV-Impfung auf Hospitalisierungen von Säuglingen unter 3 Monaten in England von September 2024 bis März 2026.</w:t>
      </w:r>
    </w:p>
    <w:p>
      <w:r>
        <w:rPr>
          <w:b/>
        </w:rPr>
        <w:t xml:space="preserve">Ergebnis: </w:t>
      </w:r>
      <w:r>
        <w:t>RSV-Bronchiolitis-Krankenhauseinweisungen sanken um 62,6 % (IRR 0,374; 95%-KI: 0,344–0,407), Bronchiolitis insgesamt um 39,3 %. Bei Impfquote von 55,1 % reduzierten sich Aufnahmen auf Intensivstationen um 41,0 %. Ein bedeutender Schutzeffekt unter realen Versorgungsbedingungen.</w:t>
      </w:r>
    </w:p>
    <w:p>
      <w:r>
        <w:rPr>
          <w:b/>
          <w:sz w:val="19"/>
        </w:rPr>
        <w:t xml:space="preserve">Übertragbarkeit: </w:t>
      </w:r>
      <w:r>
        <w:rPr>
          <w:sz w:val="19"/>
        </w:rPr>
        <w:t>England mit Impfregister; Datenverfügbarkeit ähnlich wie in Skandinavien, nicht Deutschland</w:t>
      </w:r>
    </w:p>
    <w:p>
      <w:r>
        <w:rPr>
          <w:color w:val="5A7D3A"/>
          <w:sz w:val="18"/>
        </w:rPr>
        <w:t>https://pubmed.ncbi.nlm.nih.gov/42725370/</w:t>
      </w:r>
    </w:p>
    <w:p>
      <w:pPr>
        <w:pStyle w:val="Heading2"/>
      </w:pPr>
      <w:r>
        <w:t>Impfskepsis in Pakistan: Datenschutzmethoden zeigen Underreporting bei sensiblen Fragen</w:t>
      </w:r>
    </w:p>
    <w:p>
      <w:r>
        <w:rPr>
          <w:i/>
          <w:color w:val="666666"/>
          <w:sz w:val="18"/>
        </w:rPr>
        <w:t>Shahid MI et al.  ·  Front Public Health  ·  27.08.2026  ·  PMID 42723770</w:t>
      </w:r>
    </w:p>
    <w:p>
      <w:r>
        <w:t>Querschnittsstudie mit 1.200 Teilnehmern in Punjab, Pakistan (Juni–August 2021), die Underreporting von COVID-19-Fällen und Impfskepsis mit privacy-wahrenden randomisierten Antworttechniken misst.</w:t>
      </w:r>
    </w:p>
    <w:p>
      <w:r>
        <w:rPr>
          <w:b/>
        </w:rPr>
        <w:t xml:space="preserve">Ergebnis: </w:t>
      </w:r>
      <w:r>
        <w:t>Direkt berichtete COVID-19-Fälle (städtisch 10,5 %, ländlich 13,7 %) lagen unter datenschutzgeschützten Schätzungen (städtisch 15,3–17,4 %, ländlich 16,7–19,5 %). Impfskepsis-Underreporting kleiner (26,3 % vs. 27,2–27,4 %). PRE &gt;100, bessere Effizienz als Benchmark-Modelle. Privacy-Methoden reduzieren Verzerrung bei sensiblen Outcomes.</w:t>
      </w:r>
    </w:p>
    <w:p>
      <w:r>
        <w:rPr>
          <w:b/>
          <w:sz w:val="19"/>
        </w:rPr>
        <w:t xml:space="preserve">Übertragbarkeit: </w:t>
      </w:r>
      <w:r>
        <w:rPr>
          <w:sz w:val="19"/>
        </w:rPr>
        <w:t>Pakistan, Niedrig-Ressourcen-Setting; Methode zur Verbesserung der Surveillancequalität in Ländern mit schwacher Dokumentation</w:t>
      </w:r>
    </w:p>
    <w:p>
      <w:r>
        <w:rPr>
          <w:color w:val="5A7D3A"/>
          <w:sz w:val="18"/>
        </w:rPr>
        <w:t>https://pubmed.ncbi.nlm.nih.gov/42723770/</w:t>
      </w:r>
    </w:p>
    <w:p>
      <w:pPr>
        <w:pStyle w:val="Heading2"/>
      </w:pPr>
      <w:r>
        <w:t>PCV21-Pneumokokken-Impfung für Risikopatienten 18–64 Jahre in der Schweiz kosteneffektiv</w:t>
      </w:r>
    </w:p>
    <w:p>
      <w:r>
        <w:rPr>
          <w:i/>
          <w:color w:val="666666"/>
          <w:sz w:val="18"/>
        </w:rPr>
        <w:t>Simuzingili M et al.  ·  J Med Econ  ·  10.09.2026  ·  PMID 42723339</w:t>
      </w:r>
    </w:p>
    <w:p>
      <w:r>
        <w:t>Markov-Modell zur Kosten-Effektivität einer PCV21-Impfung für Hochrisiko- und Risiko-Patienten (18–64 Jahre) in der Schweiz mit lebenslanger Perspektive.</w:t>
      </w:r>
    </w:p>
    <w:p>
      <w:r>
        <w:rPr>
          <w:b/>
        </w:rPr>
        <w:t xml:space="preserve">Ergebnis: </w:t>
      </w:r>
      <w:r>
        <w:t>Bei 60-prozentiger Impfquote wurden 518 Fälle invasiver Pneumokokkenerkrankung, 224 Todesfälle und 2.578 ambulant behandelte Pneumonien verhindert. Impfkosten (CHF 39,0 Mio.) überwogen Einsparungen (CHF 21,4 Mio.) um Netto-CHF 17,6 Mio. ICER: CHF 7.665/QALY (kosteneffektiv ab CHF 18.000/QALY-Schwelle). In Sensitivitätsanalyse 100 % Wahrscheinlichkeit Kosteneffektivität.</w:t>
      </w:r>
    </w:p>
    <w:p>
      <w:r>
        <w:rPr>
          <w:b/>
          <w:sz w:val="19"/>
        </w:rPr>
        <w:t xml:space="preserve">Übertragbarkeit: </w:t>
      </w:r>
      <w:r>
        <w:rPr>
          <w:sz w:val="19"/>
        </w:rPr>
        <w:t>Schweizer Gesundheitssystem; Kosten- und Nutzenstruktur ähnlich dem deutschen</w:t>
      </w:r>
    </w:p>
    <w:p>
      <w:r>
        <w:rPr>
          <w:color w:val="5A7D3A"/>
          <w:sz w:val="18"/>
        </w:rPr>
        <w:t>https://pubmed.ncbi.nlm.nih.gov/42723339/</w:t>
      </w:r>
    </w:p>
    <w:p>
      <w:pPr>
        <w:pStyle w:val="Heading2"/>
      </w:pPr>
      <w:r>
        <w:t>RSVpreF-Impfung in Frankreich: Empfohlene Strategie verhindert 7.620 Hospitalisierungen, kostengünstig</w:t>
      </w:r>
    </w:p>
    <w:p>
      <w:r>
        <w:rPr>
          <w:i/>
          <w:color w:val="666666"/>
          <w:sz w:val="18"/>
        </w:rPr>
        <w:t>Fahfouhi Y et al.  ·  Vaccine  ·  03.10.2026  ·  PMID 42628195</w:t>
      </w:r>
    </w:p>
    <w:p>
      <w:r>
        <w:t>Markov-Modell zur Gesundheits- und Kostenfolgen von vier nationalen RSVpreF-Impfstrategien für schwangere Frauen in Frankreich unter Verwendung von Daten zu 627.499 Geburten pro Jahr.</w:t>
      </w:r>
    </w:p>
    <w:p>
      <w:r>
        <w:rPr>
          <w:b/>
        </w:rPr>
        <w:t xml:space="preserve">Ergebnis: </w:t>
      </w:r>
      <w:r>
        <w:t>Ohne Impfung: 38.625 RSV-Hospitalisierungen pro Jahr (Kosten €120,0 Mio.). Empfohlene Strategie (Sept.–Jan.) verhinderte 7.620 Hospitalisierungen (−19,7 %), Kosten €126,4 Mio., €844/Hospitalisierung verhindert, NNV 21. Erweiterte Strategie (Mai–Jan.) zusätzlich 4.111 Fälle vermieden (−13,3 % zusätzlich), erhöhte Gesamtkosten auf €134,4 Mio. (+6,3 %).</w:t>
      </w:r>
    </w:p>
    <w:p>
      <w:r>
        <w:rPr>
          <w:b/>
          <w:sz w:val="19"/>
        </w:rPr>
        <w:t xml:space="preserve">Übertragbarkeit: </w:t>
      </w:r>
      <w:r>
        <w:rPr>
          <w:sz w:val="19"/>
        </w:rPr>
        <w:t>Frankreich, europäisches Versicherungssystem; Nationale Impfkalender und Gesundheitsvergütung vergleichbar</w:t>
      </w:r>
    </w:p>
    <w:p>
      <w:r>
        <w:rPr>
          <w:color w:val="5A7D3A"/>
          <w:sz w:val="18"/>
        </w:rPr>
        <w:t>https://pubmed.ncbi.nlm.nih.gov/42628195/</w:t>
      </w:r>
    </w:p>
    <w:p>
      <w:pPr>
        <w:pStyle w:val="Heading2"/>
      </w:pPr>
      <w:r>
        <w:t>HPV-Impfquote in Europa: 55–60 % im Jahr 5, Schulprogramme und Arztdichte entscheidend</w:t>
      </w:r>
    </w:p>
    <w:p>
      <w:r>
        <w:rPr>
          <w:i/>
          <w:color w:val="666666"/>
          <w:sz w:val="18"/>
        </w:rPr>
        <w:t>Pavia G et al.  ·  Vaccine  ·  03.10.2026  ·  PMID 42623713</w:t>
      </w:r>
    </w:p>
    <w:p>
      <w:r>
        <w:t>Längsschnittstudie über Impfquoten bei 15-jährigen Mädchen in 43 europäischen Ländern 2010–2023, mit Analyse von Prädiktoren und Assoziation mit Google-Suchvolumen.</w:t>
      </w:r>
    </w:p>
    <w:p>
      <w:r>
        <w:rPr>
          <w:b/>
        </w:rPr>
        <w:t xml:space="preserve">Ergebnis: </w:t>
      </w:r>
      <w:r>
        <w:t>Impfquote stieg nach Aufnahme ins nationale Programm auf ~40 % im Jahr 2 , stabilisierte sich bei 55–60 % im Jahr 5. Über 60 % in den meisten Ländern erreicht. Schulprogramme boten schnellere Kurven. Ärztedichte und niedrige öffentliche Skepsis waren signifikante Prädiktoren. WHO-Ziel von 90 % verfehlt.</w:t>
      </w:r>
    </w:p>
    <w:p>
      <w:r>
        <w:rPr>
          <w:b/>
          <w:sz w:val="19"/>
        </w:rPr>
        <w:t xml:space="preserve">Übertragbarkeit: </w:t>
      </w:r>
      <w:r>
        <w:rPr>
          <w:sz w:val="19"/>
        </w:rPr>
        <w:t>Europäische Länder, vergleichbare Systeme; Datenqualität variiert stark (kein deutsches Impfregister)</w:t>
      </w:r>
    </w:p>
    <w:p>
      <w:r>
        <w:rPr>
          <w:color w:val="5A7D3A"/>
          <w:sz w:val="18"/>
        </w:rPr>
        <w:t>https://pubmed.ncbi.nlm.nih.gov/42623713/</w:t>
      </w:r>
    </w:p>
    <w:p>
      <w:pPr>
        <w:pStyle w:val="Heading2"/>
      </w:pPr>
      <w:r>
        <w:t>Diphtherie in der Schweiz 1877–2022: Impfprogramme brachen Epidemie-Wellen</w:t>
      </w:r>
    </w:p>
    <w:p>
      <w:r>
        <w:rPr>
          <w:i/>
          <w:color w:val="666666"/>
          <w:sz w:val="18"/>
        </w:rPr>
        <w:t>Tuor SM et al.  ·  Vaccine  ·  03.10.2026  ·  PMID 42623711</w:t>
      </w:r>
    </w:p>
    <w:p>
      <w:r>
        <w:t>Historische Zeitreihenanalyse der Diphtherie-Morbidität und -Mortalität in der Schweiz über 145 Jahre, mit Bayesianischen Modellen zur Quantifizierung des Impfeffekts ab 1933.</w:t>
      </w:r>
    </w:p>
    <w:p>
      <w:r>
        <w:rPr>
          <w:b/>
        </w:rPr>
        <w:t xml:space="preserve">Ergebnis: </w:t>
      </w:r>
      <w:r>
        <w:t>Von 35.271 Diphtherietodesfällen (1877–2022) starben 99,5 % vor flächendeckender Impfung. Nach Einführung zwingender Impfung in Genf (1933) lagen Inzidenz und Mortalität konsistent unter gemodellten Gegenszenarios. Nach landesweiter Empfehlung (1943) sank Diphtherie schnell in allen Kantonen, aber früher und stärker in Kantonen mit Impfpflicht.</w:t>
      </w:r>
    </w:p>
    <w:p>
      <w:r>
        <w:rPr>
          <w:b/>
          <w:sz w:val="19"/>
        </w:rPr>
        <w:t xml:space="preserve">Übertragbarkeit: </w:t>
      </w:r>
      <w:r>
        <w:rPr>
          <w:sz w:val="19"/>
        </w:rPr>
        <w:t>Schweizer Klinik- und Todesursachendaten; DACH-System mit Dokumentationspflicht vergleichbar</w:t>
      </w:r>
    </w:p>
    <w:p>
      <w:r>
        <w:rPr>
          <w:color w:val="5A7D3A"/>
          <w:sz w:val="18"/>
        </w:rPr>
        <w:t>https://pubmed.ncbi.nlm.nih.gov/42623711/</w:t>
      </w:r>
    </w:p>
    <w:p>
      <w:pPr>
        <w:pStyle w:val="Heading1"/>
      </w:pPr>
      <w:r>
        <w:t>Aufgenommen am 11.09.2026</w:t>
      </w:r>
    </w:p>
    <w:p>
      <w:pPr>
        <w:pStyle w:val="Heading2"/>
      </w:pPr>
      <w:r>
        <w:t>Hebammensicht auf Impfskepsis und Impfverweigerung: Faktoren und Strategien</w:t>
      </w:r>
    </w:p>
    <w:p>
      <w:r>
        <w:rPr>
          <w:i/>
          <w:color w:val="666666"/>
          <w:sz w:val="18"/>
        </w:rPr>
        <w:t>Çatalgöl Ş et al.  ·  Rev Esc Enferm USP  ·  07.09.2026  ·  PMID 42721439</w:t>
      </w:r>
    </w:p>
    <w:p>
      <w:r>
        <w:t>Deskriptive Querschnittsstudie mit 81 Hebammen in türkischen Familien-Gesundheitszentren zu Faktoren der Impfskepsis und empfohlenen Lösungsstrategien.</w:t>
      </w:r>
    </w:p>
    <w:p>
      <w:r>
        <w:rPr>
          <w:b/>
        </w:rPr>
        <w:t xml:space="preserve">Ergebnis: </w:t>
      </w:r>
      <w:r>
        <w:t>Meistgenannte Faktoren der Impfskepsis: Anti-Impf-Websites (90,1 %), Sorgen um Impfstoff-Inhaltsstoffe (70,4 %), Einfluss von Gemeinschaftsführern (66,7 %), religiöse Bedenken (65,4 %). Empfohlene Strategien: Fernsehen-Inhalte zur Impfung (70,4 %), öffentliche Ankündigungen (67,9 %), Informationen durch Gesundheitsarbeiter (58,0 %).</w:t>
      </w:r>
    </w:p>
    <w:p>
      <w:r>
        <w:rPr>
          <w:b/>
          <w:sz w:val="19"/>
        </w:rPr>
        <w:t xml:space="preserve">Übertragbarkeit: </w:t>
      </w:r>
      <w:r>
        <w:rPr>
          <w:sz w:val="19"/>
        </w:rPr>
        <w:t>Türkei, ähnliche Herausforderungen wie deutschsprachige Länder; Rolle von Hebammen in Versorgung relevant</w:t>
      </w:r>
    </w:p>
    <w:p>
      <w:r>
        <w:rPr>
          <w:color w:val="5A7D3A"/>
          <w:sz w:val="18"/>
        </w:rPr>
        <w:t>https://pubmed.ncbi.nlm.nih.gov/42721439/</w:t>
      </w:r>
    </w:p>
    <w:p>
      <w:pPr>
        <w:pStyle w:val="Heading2"/>
      </w:pPr>
      <w:r>
        <w:t>Phase-1-COVID-19-Vakzin-Studien: Flüssige Entscheidungsfindung unter wechselndem Pandemikontext</w:t>
      </w:r>
    </w:p>
    <w:p>
      <w:r>
        <w:rPr>
          <w:i/>
          <w:color w:val="666666"/>
          <w:sz w:val="18"/>
        </w:rPr>
        <w:t>Halperin DM et al.  ·  Hum Vaccin Immunother  ·  10.09.2026  ·  PMID 42721118</w:t>
      </w:r>
    </w:p>
    <w:p>
      <w:r>
        <w:t>Qualitative Studie zur Untersuchung von Faktoren, die Einschluss und Verbleib in Phase-1-COVID-19-Vakzin-Studien beeinflussen, mit semi-strukturierten Interviews bei Teilnehmern und Nicht-Teilnehmern.</w:t>
      </w:r>
    </w:p>
    <w:p>
      <w:r>
        <w:rPr>
          <w:b/>
        </w:rPr>
        <w:t xml:space="preserve">Ergebnis: </w:t>
      </w:r>
      <w:r>
        <w:t>Teilnahmeentscheidungen sind flüssig, nicht einmalig; Teilnehmer bewerteten Prioritäten kontinuierlich neu in Abhängigkeit von öffentlich zugelassenen Impfstoffen, Mandaten und COVID-19-Fallzahlen. Protokoll-Anpassung mit Erlaubnis zur PHAV-Gabe unterstützte Verbleib bis Studienende.</w:t>
      </w:r>
    </w:p>
    <w:p>
      <w:r>
        <w:rPr>
          <w:b/>
          <w:sz w:val="19"/>
        </w:rPr>
        <w:t xml:space="preserve">Übertragbarkeit: </w:t>
      </w:r>
      <w:r>
        <w:rPr>
          <w:sz w:val="19"/>
        </w:rPr>
        <w:t>Kanada, ähnliche Versorgungsstrukturen; qualitative Erkenntnisse auf Impfstoff-Vertrauen übertragbar</w:t>
      </w:r>
    </w:p>
    <w:p>
      <w:r>
        <w:rPr>
          <w:color w:val="5A7D3A"/>
          <w:sz w:val="18"/>
        </w:rPr>
        <w:t>https://pubmed.ncbi.nlm.nih.gov/42721118/</w:t>
      </w:r>
    </w:p>
    <w:p>
      <w:pPr>
        <w:pStyle w:val="Heading2"/>
      </w:pPr>
      <w:r>
        <w:t>Erweiterte HPV-Impfung in Polen: Gesundheitsgewinne und Kosteneffizienz</w:t>
      </w:r>
    </w:p>
    <w:p>
      <w:r>
        <w:rPr>
          <w:i/>
          <w:color w:val="666666"/>
          <w:sz w:val="18"/>
        </w:rPr>
        <w:t>Jaworski R et al.  ·  J Med Econ  ·  09.09.2026  ·  PMID 42717549</w:t>
      </w:r>
    </w:p>
    <w:p>
      <w:r>
        <w:t>Kosten-Nutzen-Analyse zur Erweiterung der HPV-Impfung auf Jungen und Mädchen im Alter 9–17 Jahren in Polen.</w:t>
      </w:r>
    </w:p>
    <w:p>
      <w:r>
        <w:rPr>
          <w:b/>
        </w:rPr>
        <w:t xml:space="preserve">Ergebnis: </w:t>
      </w:r>
      <w:r>
        <w:t>Erhöhung der Impfquoten von 20 % auf 60 % reduziert HPV-assoziierte Erkrankungen um 16 % und Todesfälle um 13 %; bei 90 % Abdeckung Reduktion um 33 % bzw. 27 %. Jeder investierte EUR 1,00 erbringt EUR 4,2 (Gesellschaft) bzw. EUR 2,2 (Fiskus) bei 60 % Abdeckung; EUR 4,6 bzw. EUR 2,4 bei 90 %.</w:t>
      </w:r>
    </w:p>
    <w:p>
      <w:r>
        <w:rPr>
          <w:b/>
          <w:sz w:val="19"/>
        </w:rPr>
        <w:t xml:space="preserve">Übertragbarkeit: </w:t>
      </w:r>
      <w:r>
        <w:rPr>
          <w:sz w:val="19"/>
        </w:rPr>
        <w:t>Polen, europäisches Sozialversicherungssystem, Impfkalender-Modellierung</w:t>
      </w:r>
    </w:p>
    <w:p>
      <w:r>
        <w:rPr>
          <w:color w:val="5A7D3A"/>
          <w:sz w:val="18"/>
        </w:rPr>
        <w:t>https://pubmed.ncbi.nlm.nih.gov/42717549/</w:t>
      </w:r>
    </w:p>
    <w:p>
      <w:pPr>
        <w:pStyle w:val="Heading2"/>
      </w:pPr>
      <w:r>
        <w:t>EV-A71-Impfung in Shanghai: 89,9 % Effektivität, Verschiebung zu Nicht-EV-A71-Serotypen</w:t>
      </w:r>
    </w:p>
    <w:p>
      <w:r>
        <w:rPr>
          <w:i/>
          <w:color w:val="666666"/>
          <w:sz w:val="18"/>
        </w:rPr>
        <w:t>Xu Z et al.  ·  Hum Vaccin Immunother  ·  09.09.2026  ·  PMID 42714139</w:t>
      </w:r>
    </w:p>
    <w:p>
      <w:r>
        <w:t>Test-Negative-Design-Studie zur Wirksamkeit der EV-A71-Impfung gegen Hand-Fuß-Mund-Krankheit in Shanghai 2009–2023, mit Vergleich prä- und post-Impfprogramm-Epidemiologie.</w:t>
      </w:r>
    </w:p>
    <w:p>
      <w:r>
        <w:rPr>
          <w:b/>
        </w:rPr>
        <w:t xml:space="preserve">Ergebnis: </w:t>
      </w:r>
      <w:r>
        <w:t>Gesamtwirksamkeit gegen EV-A71-assoziierte HFMD und Herpangina: 89,9 % (95%-KI: 74,5–96,0) für Zwei-Dosen-Serie, 67,9 % (95%-KI: 2,6–89,6) für Einzeldosis. Nach Impfprogramm-Einführung: Inzidenz-Reduktion 56,7 %, Schweregradreduktion 95,2 %, null Todesfälle (von 3 auf 0).</w:t>
      </w:r>
    </w:p>
    <w:p>
      <w:r>
        <w:rPr>
          <w:b/>
          <w:sz w:val="19"/>
        </w:rPr>
        <w:t xml:space="preserve">Übertragbarkeit: </w:t>
      </w:r>
      <w:r>
        <w:rPr>
          <w:sz w:val="19"/>
        </w:rPr>
        <w:t>China-Daten, aber Versorgungseffektivität in realer Welt gut dokumentiert; Serotyp-Shift hat globale Relevanz</w:t>
      </w:r>
    </w:p>
    <w:p>
      <w:r>
        <w:rPr>
          <w:color w:val="5A7D3A"/>
          <w:sz w:val="18"/>
        </w:rPr>
        <w:t>https://pubmed.ncbi.nlm.nih.gov/42714139/</w:t>
      </w:r>
    </w:p>
    <w:p>
      <w:pPr>
        <w:pStyle w:val="Heading2"/>
      </w:pPr>
      <w:r>
        <w:t>mRNA-Impfung verursacht reproduzierbare Transkript-Isoform-Verschiebungen</w:t>
      </w:r>
    </w:p>
    <w:p>
      <w:r>
        <w:rPr>
          <w:i/>
          <w:color w:val="666666"/>
          <w:sz w:val="18"/>
        </w:rPr>
        <w:t>Riemann L et al.  ·  Eur J Immunol  ·  Sept. 2026  ·  PMID 42670157</w:t>
      </w:r>
    </w:p>
    <w:p>
      <w:r>
        <w:t>Analyse longitudinaler RNA-Sequenzierungs-Daten zur Charakterisierung von Veränderungen in der Transkript-Isoform-Nutzung nach mRNA-Impfung.</w:t>
      </w:r>
    </w:p>
    <w:p>
      <w:r>
        <w:rPr>
          <w:b/>
        </w:rPr>
        <w:t xml:space="preserve">Ergebnis: </w:t>
      </w:r>
      <w:r>
        <w:t>mRNA-Impfung induziert schnelle und transiente Welle differentieller Transkript-Nutzung, die 24 h post-Impfung mit 131 veränderten Isoformen über 107 Gene gipfelt, vor Auflösung bis Tag 14. Muster reproduzierbar über mehrere Impfstoff-Kohorten (MVA-basiert, Influenza, Ebola).</w:t>
      </w:r>
    </w:p>
    <w:p>
      <w:r>
        <w:rPr>
          <w:b/>
          <w:sz w:val="19"/>
        </w:rPr>
        <w:t xml:space="preserve">Übertragbarkeit: </w:t>
      </w:r>
      <w:r>
        <w:rPr>
          <w:sz w:val="19"/>
        </w:rPr>
        <w:t>Grundlagenforschung ohne klinischen Endpunkt, nicht geeignet für Versorgungsanalyse</w:t>
      </w:r>
    </w:p>
    <w:p>
      <w:r>
        <w:rPr>
          <w:color w:val="5A7D3A"/>
          <w:sz w:val="18"/>
        </w:rPr>
        <w:t>https://pubmed.ncbi.nlm.nih.gov/42670157/</w:t>
      </w:r>
    </w:p>
    <w:p>
      <w:pPr>
        <w:pStyle w:val="Heading2"/>
      </w:pPr>
      <w:r>
        <w:t>Influenza- und Herpes-Zoster-Impfeffektivität bei Autoimmunerkrankungen: keine Unterschiede zu Gesunden</w:t>
      </w:r>
    </w:p>
    <w:p>
      <w:r>
        <w:rPr>
          <w:i/>
          <w:color w:val="666666"/>
          <w:sz w:val="18"/>
        </w:rPr>
        <w:t>Denz R et al.  ·  J Infect Public Health  ·  02.07.2026  ·  PMID 42398453</w:t>
      </w:r>
    </w:p>
    <w:p>
      <w:r>
        <w:t>Emulierte Zielstudien mit Anspruchsdaten einer großen deutschen Krankenkasse zur Vergleichbarkeit der Impfwirksamkeit zwischen Personen mit und ohne Autoimmunerkrankungen (MS, IBD, CIRD).</w:t>
      </w:r>
    </w:p>
    <w:p>
      <w:r>
        <w:rPr>
          <w:b/>
        </w:rPr>
        <w:t xml:space="preserve">Ergebnis: </w:t>
      </w:r>
      <w:r>
        <w:t>Herpes-Zoster-Wirksamkeit: 68,73 % (95%-KI: 55,75–77,91) bei AID, 60,30 % (55,59–64,52) ohne AID; Wirksamkeitsverhältnis 1,14 (0,93–1,30). Influenza-Wirksamkeit ohne relevante Unterschiede über vier Saisonen; alle Wirksamkeitsverhältnisse nahe 1.</w:t>
      </w:r>
    </w:p>
    <w:p>
      <w:r>
        <w:rPr>
          <w:b/>
          <w:sz w:val="19"/>
        </w:rPr>
        <w:t xml:space="preserve">Übertragbarkeit: </w:t>
      </w:r>
      <w:r>
        <w:rPr>
          <w:sz w:val="19"/>
        </w:rPr>
        <w:t>Deutsche Anspruchsdaten, vergleichbar mit Routine-Versorgung; MS, IBD, CIRD-Patienten relevant für Versorgung</w:t>
      </w:r>
    </w:p>
    <w:p>
      <w:r>
        <w:rPr>
          <w:color w:val="5A7D3A"/>
          <w:sz w:val="18"/>
        </w:rPr>
        <w:t>https://pubmed.ncbi.nlm.nih.gov/42398453/</w:t>
      </w:r>
    </w:p>
    <w:p>
      <w:pPr>
        <w:pStyle w:val="Heading1"/>
      </w:pPr>
      <w:r>
        <w:t>Aufgenommen am 10.09.2026</w:t>
      </w:r>
    </w:p>
    <w:p>
      <w:pPr>
        <w:pStyle w:val="Heading2"/>
      </w:pPr>
      <w:r>
        <w:t>RSV-Impfskepsis bei chinesischen Eltern: Informationssuche dominiert, nicht Vertrauen</w:t>
      </w:r>
    </w:p>
    <w:p>
      <w:r>
        <w:rPr>
          <w:i/>
          <w:color w:val="666666"/>
          <w:sz w:val="18"/>
        </w:rPr>
        <w:t>Zhu Y et al.  ·  Hum Vaccin Immunother  ·  31.12.2026  ·  PMID 42714313</w:t>
      </w:r>
    </w:p>
    <w:p>
      <w:r>
        <w:t>Querschnittstudie mit 4.422 Paaren (Schwangere und Partner) in acht chinesischen Provinzen zur Analyse psychologischer Vorstufen der Vaccine Hesitancy gegenüber RSV-Impfstoffen und RSV-Antikörpern.</w:t>
      </w:r>
    </w:p>
    <w:p>
      <w:r>
        <w:rPr>
          <w:b/>
        </w:rPr>
        <w:t xml:space="preserve">Ergebnis: </w:t>
      </w:r>
      <w:r>
        <w:t>Frauen zeigten marginal niedrigere 5C-Werte als Partner für mütterliche Impfung (45,88 vs. 46,25; Cohen's d = −0,06). Älteres Alter, ländlicher Wohnort und niedriges Einkommen waren unabhängig mit höherer Hesitancy assoziiert. 'Calculation' (aktive Informationssuche) scorte bei beiden Gruppen am höchsten.</w:t>
      </w:r>
    </w:p>
    <w:p>
      <w:r>
        <w:rPr>
          <w:b/>
          <w:sz w:val="19"/>
        </w:rPr>
        <w:t xml:space="preserve">Übertragbarkeit: </w:t>
      </w:r>
      <w:r>
        <w:rPr>
          <w:sz w:val="19"/>
        </w:rPr>
        <w:t>China-Studie; Psychologische Grundmuster der Vaccine Hesitancy international relevant.</w:t>
      </w:r>
    </w:p>
    <w:p>
      <w:r>
        <w:rPr>
          <w:color w:val="5A7D3A"/>
          <w:sz w:val="18"/>
        </w:rPr>
        <w:t>https://pubmed.ncbi.nlm.nih.gov/42714313/</w:t>
      </w:r>
    </w:p>
    <w:p>
      <w:pPr>
        <w:pStyle w:val="Heading2"/>
      </w:pPr>
      <w:r>
        <w:t>Gesundheitskommunikation gegen Impfskepsis bei Kinderimpfungen in Nigeria – Systematische Übersicht</w:t>
      </w:r>
    </w:p>
    <w:p>
      <w:r>
        <w:rPr>
          <w:i/>
          <w:color w:val="666666"/>
          <w:sz w:val="18"/>
        </w:rPr>
        <w:t>Ike TJ et al.  ·  Front Public Health  ·  25.08.2026  ·  PMID 42713528</w:t>
      </w:r>
    </w:p>
    <w:p>
      <w:r>
        <w:t>Systematische Übersicht mit thematischer Synthese von 12 Studien (2017–2026) zu Kommunikationsstrategien gegen elterliche Vaccine Hesitancy bei Kinderimpfungen in Nigeria.</w:t>
      </w:r>
    </w:p>
    <w:p>
      <w:r>
        <w:rPr>
          <w:b/>
        </w:rPr>
        <w:t xml:space="preserve">Ergebnis: </w:t>
      </w:r>
      <w:r>
        <w:t>Vier Strategietypen identifiziert: Medienkampagnen, staatlich gesponserte Kommunikation, Gemeinde-zentrierte Ansätze und telefonische Interventionen. Kulturelle Anpassung, Einbindung vertrauter Führungspersonen (religiöse/traditionelle Leader), Multi-Kanal-Ansatz und Responsivität auf strukturelle Barrieren und Informationsbedarf waren erfolgskritisch.</w:t>
      </w:r>
    </w:p>
    <w:p>
      <w:r>
        <w:rPr>
          <w:b/>
          <w:sz w:val="19"/>
        </w:rPr>
        <w:t xml:space="preserve">Übertragbarkeit: </w:t>
      </w:r>
      <w:r>
        <w:rPr>
          <w:sz w:val="19"/>
        </w:rPr>
        <w:t>Nigeria, niedriges Einkommen; Kommunikationsprinzipien zu Vaccine Hesitancy aber universal relevant.</w:t>
      </w:r>
    </w:p>
    <w:p>
      <w:r>
        <w:rPr>
          <w:color w:val="5A7D3A"/>
          <w:sz w:val="18"/>
        </w:rPr>
        <w:t>https://pubmed.ncbi.nlm.nih.gov/42713528/</w:t>
      </w:r>
    </w:p>
    <w:p>
      <w:pPr>
        <w:pStyle w:val="Heading2"/>
      </w:pPr>
      <w:r>
        <w:t>HPV-Impfquote 70% in Shenzhen: Psychologische Modelle verlieren Erklärungskraft, Kosten bleiben Barriere</w:t>
      </w:r>
    </w:p>
    <w:p>
      <w:r>
        <w:rPr>
          <w:i/>
          <w:color w:val="666666"/>
          <w:sz w:val="18"/>
        </w:rPr>
        <w:t>Liu Y et al.  ·  Front Public Health  ·  25.08.2026  ·  PMID 42712616</w:t>
      </w:r>
    </w:p>
    <w:p>
      <w:r>
        <w:t>Querschnittstudie mit 1.257 Frauen in Shenzhen zur Diskriminanzvalidität von Health Belief Model und 3C-Modell bei Restimpfverweigerung nach bereits 70% HPV-Impfquote.</w:t>
      </w:r>
    </w:p>
    <w:p>
      <w:r>
        <w:rPr>
          <w:b/>
        </w:rPr>
        <w:t xml:space="preserve">Ergebnis: </w:t>
      </w:r>
      <w:r>
        <w:t>Bei 70% Durchimpfung zeigten HBM und 3C-Skalen begrenzte Diskriminanzvalidität zwischen Geimpften und Ungeimpften (nur 2 von 10 Konstrukten signifikant, triviale Effektgrößen d=0,13). Hauptgründe für Nicht-Impfung: hohe Kosten (42,3%) und Sicherheitsbedenken (33,8%). Hukou moderierte wahrgenommene Barrieren suggestiv (nicht signifikant).</w:t>
      </w:r>
    </w:p>
    <w:p>
      <w:r>
        <w:rPr>
          <w:b/>
          <w:sz w:val="19"/>
        </w:rPr>
        <w:t xml:space="preserve">Übertragbarkeit: </w:t>
      </w:r>
      <w:r>
        <w:rPr>
          <w:sz w:val="19"/>
        </w:rPr>
        <w:t>China, hochquoten-Setting; zeigt, dass psychologische Standardmodelle bei Hochquoten an Grenzen stoßen.</w:t>
      </w:r>
    </w:p>
    <w:p>
      <w:r>
        <w:rPr>
          <w:color w:val="5A7D3A"/>
          <w:sz w:val="18"/>
        </w:rPr>
        <w:t>https://pubmed.ncbi.nlm.nih.gov/42712616/</w:t>
      </w:r>
    </w:p>
    <w:p>
      <w:pPr>
        <w:pStyle w:val="Heading2"/>
      </w:pPr>
      <w:r>
        <w:t>COVID-19-Impfung in Irland: Barrieren und Förderfaktoren im Implementierungsprozess</w:t>
      </w:r>
    </w:p>
    <w:p>
      <w:r>
        <w:rPr>
          <w:i/>
          <w:color w:val="666666"/>
          <w:sz w:val="18"/>
        </w:rPr>
        <w:t>Kandulu CC et al.  ·  Vaccine  ·  30.08.2026  ·  PMID 42407300</w:t>
      </w:r>
    </w:p>
    <w:p>
      <w:r>
        <w:t>Qualitative Studie mit 16 Stakeholdern zur Identifikation von Faktoren, die die Umsetzung des COVID-19-Impfprogramms in Irland auf nationaler, regionaler und lokaler Ebene beeinflussten.</w:t>
      </w:r>
    </w:p>
    <w:p>
      <w:r>
        <w:rPr>
          <w:b/>
        </w:rPr>
        <w:t xml:space="preserve">Ergebnis: </w:t>
      </w:r>
      <w:r>
        <w:t>Verzögerte oder sich ändernde Evidenz, Komplexität der Impfstoffe und Anpassung der Bereitstellungskonzepte (Skalierung auf Massenimpfzentren) waren kritische Faktoren. Ressourcenverfügbarkeit, organisatorische Infrastruktur, Policy-Rahmen, Kommunikation und Fachkompetenz waren entscheidend für die Umsetzung.</w:t>
      </w:r>
    </w:p>
    <w:p>
      <w:r>
        <w:rPr>
          <w:b/>
          <w:sz w:val="19"/>
        </w:rPr>
        <w:t xml:space="preserve">Übertragbarkeit: </w:t>
      </w:r>
      <w:r>
        <w:rPr>
          <w:sz w:val="19"/>
        </w:rPr>
        <w:t>Irland, vergleichbares europäisches Gesundheitssystem mit dezentraler Struktur.</w:t>
      </w:r>
    </w:p>
    <w:p>
      <w:r>
        <w:rPr>
          <w:color w:val="5A7D3A"/>
          <w:sz w:val="18"/>
        </w:rPr>
        <w:t>https://pubmed.ncbi.nlm.nih.gov/42407300/</w:t>
      </w:r>
    </w:p>
    <w:p>
      <w:pPr>
        <w:pStyle w:val="Heading2"/>
      </w:pPr>
      <w:r>
        <w:t>SARS-CoV-2-Auffrischimpfungen schützen Menschen mit Autoimmunerkrankungen vor schwerer COVID-19</w:t>
      </w:r>
    </w:p>
    <w:p>
      <w:r>
        <w:rPr>
          <w:i/>
          <w:color w:val="666666"/>
          <w:sz w:val="18"/>
        </w:rPr>
        <w:t>Kukreja NS et al.  ·  RMD Open  ·  03.07.2026  ·  PMID 42399080</w:t>
      </w:r>
    </w:p>
    <w:p>
      <w:r>
        <w:t>Nested Case-Control-Studie mit englischen Primärversorgungs- und Krankenhausdaten zu Schutzwirkung von COVID-19-Auffrischimpfungen bei erwachsenen Patienten mit immunmediierter Entzündungserkrankung (IMID).</w:t>
      </w:r>
    </w:p>
    <w:p>
      <w:r>
        <w:rPr>
          <w:b/>
        </w:rPr>
        <w:t xml:space="preserve">Ergebnis: </w:t>
      </w:r>
      <w:r>
        <w:t>Drei Auffrischimpfungen reduzierten Hospitalisierung/Tod um 80% (aOR 0,20; 95%-KI 0,15–0,28), zwei Dosen um 71% (aOR 0,29; 95%-KI 0,23–0,36), eine Dosis um 44% (aOR 0,56; 95%-KI 0,48–0,65). Schutz bestand innerhalb 365 Tage nach Impfung; Impfungen &gt;365 Tage alt zeigten keinen signifikanten Schutz.</w:t>
      </w:r>
    </w:p>
    <w:p>
      <w:r>
        <w:rPr>
          <w:b/>
          <w:sz w:val="19"/>
        </w:rPr>
        <w:t xml:space="preserve">Übertragbarkeit: </w:t>
      </w:r>
      <w:r>
        <w:rPr>
          <w:sz w:val="19"/>
        </w:rPr>
        <w:t>Englische primärärztliche Flächendaten mit Impfquoten und Krankenhausdokumentation, auf deutsches System übertragbar.</w:t>
      </w:r>
    </w:p>
    <w:p>
      <w:r>
        <w:rPr>
          <w:color w:val="5A7D3A"/>
          <w:sz w:val="18"/>
        </w:rPr>
        <w:t>https://pubmed.ncbi.nlm.nih.gov/42399080/</w:t>
      </w:r>
    </w:p>
    <w:p>
      <w:pPr>
        <w:pStyle w:val="Heading1"/>
      </w:pPr>
      <w:r>
        <w:t>Aufgenommen am 09.09.2026</w:t>
      </w:r>
    </w:p>
    <w:p>
      <w:pPr>
        <w:pStyle w:val="Heading2"/>
      </w:pPr>
      <w:r>
        <w:t>Eltern akzeptieren Meningokokken-B-Impfung für Säuglinge unter fachlicher Empfehlung</w:t>
      </w:r>
    </w:p>
    <w:p>
      <w:r>
        <w:rPr>
          <w:i/>
          <w:color w:val="666666"/>
          <w:sz w:val="18"/>
        </w:rPr>
        <w:t>Herrera-Restrepo O et al.  ·  Hum Vaccin Immunother  ·  08.09.2026  ·  PMID 42709765</w:t>
      </w:r>
    </w:p>
    <w:p>
      <w:r>
        <w:t>US-Online-Befragung von 1.051 Eltern mit Kindern ≤18 Monaten zu Impfbereitschaft gegen Meningokokken B.</w:t>
      </w:r>
    </w:p>
    <w:p>
      <w:r>
        <w:rPr>
          <w:b/>
        </w:rPr>
        <w:t xml:space="preserve">Ergebnis: </w:t>
      </w:r>
      <w:r>
        <w:t>73,4% Kinder vollständig geimpft. Von 266 mit unvollständiger Impfung: 59,8% besorgt um Nebenwirkungen. Ohne Fachempfehlung: 66,3% würden MenB-Impfung akzeptieren, mit Krankheitsinformation: 72,1%. Fachperson-Kommunikation war Schlüsselfaktor.</w:t>
      </w:r>
    </w:p>
    <w:p>
      <w:r>
        <w:rPr>
          <w:b/>
          <w:sz w:val="19"/>
        </w:rPr>
        <w:t xml:space="preserve">Übertragbarkeit: </w:t>
      </w:r>
      <w:r>
        <w:rPr>
          <w:sz w:val="19"/>
        </w:rPr>
        <w:t>USA-System, aber Bedeutung der Fachperson-Kommunikation universal anwendbar, nicht auf Registerdaten übertragbar.</w:t>
      </w:r>
    </w:p>
    <w:p>
      <w:r>
        <w:rPr>
          <w:color w:val="5A7D3A"/>
          <w:sz w:val="18"/>
        </w:rPr>
        <w:t>https://pubmed.ncbi.nlm.nih.gov/42709765/</w:t>
      </w:r>
    </w:p>
    <w:p>
      <w:pPr>
        <w:pStyle w:val="Heading2"/>
      </w:pPr>
      <w:r>
        <w:t>Pneumokokken-Impfung ab 50 Jahren hätte 520.000 Erkrankungsfälle verhindern können</w:t>
      </w:r>
    </w:p>
    <w:p>
      <w:r>
        <w:rPr>
          <w:i/>
          <w:color w:val="666666"/>
          <w:sz w:val="18"/>
        </w:rPr>
        <w:t>Sharomi O et al.  ·  Hum Vaccin Immunother  ·  08.09.2026  ·  PMID 42708971</w:t>
      </w:r>
    </w:p>
    <w:p>
      <w:r>
        <w:t>Modellrechnung zu epidemiologischen Effekten einer Senkung der Impfaltersgrenze für Erwachsene von 60 auf 50 Jahre in Deutschland mit V116 oder PCV20.</w:t>
      </w:r>
    </w:p>
    <w:p>
      <w:r>
        <w:rPr>
          <w:b/>
        </w:rPr>
        <w:t xml:space="preserve">Ergebnis: </w:t>
      </w:r>
      <w:r>
        <w:t>Bei Impfquote von 30%: V116 ab 50 Jahren führte zu 520.128 weniger Pneumokokkus-Erkrankungsfällen, PCV20 zu 325.694 weniger. IPD-Inzidenz im Jahr 10 mit V116 ab 50 Jahren: 20,5 pro 100.000 (vs. 22,1 ab 60 Jahren).</w:t>
      </w:r>
    </w:p>
    <w:p>
      <w:r>
        <w:rPr>
          <w:b/>
          <w:sz w:val="19"/>
        </w:rPr>
        <w:t xml:space="preserve">Übertragbarkeit: </w:t>
      </w:r>
      <w:r>
        <w:rPr>
          <w:sz w:val="19"/>
        </w:rPr>
        <w:t>Deutschland, Modellierung mit deutschen Serotyphaten und Epidemiologie, aber keine empirische Versorgungsdatenbasis.</w:t>
      </w:r>
    </w:p>
    <w:p>
      <w:r>
        <w:rPr>
          <w:color w:val="5A7D3A"/>
          <w:sz w:val="18"/>
        </w:rPr>
        <w:t>https://pubmed.ncbi.nlm.nih.gov/42708971/</w:t>
      </w:r>
    </w:p>
    <w:p>
      <w:pPr>
        <w:pStyle w:val="Heading2"/>
      </w:pPr>
      <w:r>
        <w:t>Mütter wählen Impfungen nach Sicherheit – Information und Vertrauen entscheidend</w:t>
      </w:r>
    </w:p>
    <w:p>
      <w:r>
        <w:rPr>
          <w:i/>
          <w:color w:val="666666"/>
          <w:sz w:val="18"/>
        </w:rPr>
        <w:t>Xing R et al.  ·  Front Public Health  ·  24.08.2026  ·  PMID 42707176</w:t>
      </w:r>
    </w:p>
    <w:p>
      <w:r>
        <w:t>Qualitative Studie mit 16 Müttern in China zu Entscheidungsfaktoren bei selbstgezahlten Kinderimpfungen.</w:t>
      </w:r>
    </w:p>
    <w:p>
      <w:r>
        <w:rPr>
          <w:b/>
        </w:rPr>
        <w:t xml:space="preserve">Ergebnis: </w:t>
      </w:r>
      <w:r>
        <w:t>Sicherheit war Voraussetzung vor Nutzenabwägung. Mütter navigierten asymmetrische Informationen, balancierten Vertrauen in Fachpersonen mit unabhängiger Verifikation. Kosten wirkten als Filter oder Priorisierungsmechanismus. Kommunikationsqualität mit Anbieter:innen prägte Vertrauensaufbau; unzureichende Beratung erhöhte Unsicherheit.</w:t>
      </w:r>
    </w:p>
    <w:p>
      <w:r>
        <w:rPr>
          <w:b/>
          <w:sz w:val="19"/>
        </w:rPr>
        <w:t xml:space="preserve">Übertragbarkeit: </w:t>
      </w:r>
      <w:r>
        <w:rPr>
          <w:sz w:val="19"/>
        </w:rPr>
        <w:t>China, aber Entscheidungsprozesse universal; Qualitätskriterien für Beratung auf deutsches System übertragbar.</w:t>
      </w:r>
    </w:p>
    <w:p>
      <w:r>
        <w:rPr>
          <w:color w:val="5A7D3A"/>
          <w:sz w:val="18"/>
        </w:rPr>
        <w:t>https://pubmed.ncbi.nlm.nih.gov/42707176/</w:t>
      </w:r>
    </w:p>
    <w:p>
      <w:pPr>
        <w:pStyle w:val="Heading2"/>
      </w:pPr>
      <w:r>
        <w:t>Impfkampagne in Onkologie erhöht Impfquoten deutlich</w:t>
      </w:r>
    </w:p>
    <w:p>
      <w:r>
        <w:rPr>
          <w:i/>
          <w:color w:val="666666"/>
          <w:sz w:val="18"/>
        </w:rPr>
        <w:t>Markus T et al.  ·  BMC Public Health  ·  07.09.2026  ·  PMID 42706520</w:t>
      </w:r>
    </w:p>
    <w:p>
      <w:r>
        <w:t>Kölner Universitätsklinik testete eine Interventionsstudie mit Patientenaufklärung, Personalschulung und vor-Ort-Impfung über 1,5 Jahre.</w:t>
      </w:r>
    </w:p>
    <w:p>
      <w:r>
        <w:rPr>
          <w:b/>
        </w:rPr>
        <w:t xml:space="preserve">Ergebnis: </w:t>
      </w:r>
      <w:r>
        <w:t>Gesamtimpfquote stieg von 43% auf 49%, Influenza von 37% auf 48%, Pneumokokken von 16% auf 36%, Herpes zoster von 22% auf 33%. Anteil vollständig geimpfter Patienten: 6% auf 16%.</w:t>
      </w:r>
    </w:p>
    <w:p>
      <w:r>
        <w:rPr>
          <w:b/>
          <w:sz w:val="19"/>
        </w:rPr>
        <w:t xml:space="preserve">Übertragbarkeit: </w:t>
      </w:r>
      <w:r>
        <w:rPr>
          <w:sz w:val="19"/>
        </w:rPr>
        <w:t>Deutschland, Universitätsklinik mit vergleichbarem Dokumentationssystem, Patient:innen mit Malignomen.</w:t>
      </w:r>
    </w:p>
    <w:p>
      <w:r>
        <w:rPr>
          <w:color w:val="5A7D3A"/>
          <w:sz w:val="18"/>
        </w:rPr>
        <w:t>https://pubmed.ncbi.nlm.nih.gov/42706520/</w:t>
      </w:r>
    </w:p>
    <w:p>
      <w:pPr>
        <w:pStyle w:val="Heading2"/>
      </w:pPr>
      <w:r>
        <w:t>COVID-19-Impfstoffsicherheit: Präklinische und klinische Pharmakovigilanz verglichen</w:t>
      </w:r>
    </w:p>
    <w:p>
      <w:r>
        <w:rPr>
          <w:i/>
          <w:color w:val="666666"/>
          <w:sz w:val="18"/>
        </w:rPr>
        <w:t>Gonin C et al.  ·  Regul Toxicol Pharmacol  ·  11.07.2026  ·  PMID 42435835</w:t>
      </w:r>
    </w:p>
    <w:p>
      <w:r>
        <w:t>Französische Behörde (ANSM) verglich Sicherheitsdaten aus Laborstudien und Arzneimittelüberwachung für fünf COVID-19-Impfstoffe auf Reaktogenität, Myokarditis und Thrombose.</w:t>
      </w:r>
    </w:p>
    <w:p>
      <w:r>
        <w:rPr>
          <w:b/>
        </w:rPr>
        <w:t xml:space="preserve">Ergebnis: </w:t>
      </w:r>
      <w:r>
        <w:t>Virale Vektorimpfstoffe zeigten höhere Reaktogenität. Myokarditis und Thrombose-Thrombozytopenie wurden nicht in präklinischen Studien vorhergesagt. Biomarker wie Troponin waren klinisch aussagekräftig; keine Korrelation zwischen präklinischen Parametern und klinischen Ergebnissen.</w:t>
      </w:r>
    </w:p>
    <w:p>
      <w:r>
        <w:rPr>
          <w:b/>
          <w:sz w:val="19"/>
        </w:rPr>
        <w:t xml:space="preserve">Übertragbarkeit: </w:t>
      </w:r>
      <w:r>
        <w:rPr>
          <w:sz w:val="19"/>
        </w:rPr>
        <w:t>Frankreich, nationale Pharmakovigilanz mit europäischem Zulassungskontext, auf Deutschland übertragbar.</w:t>
      </w:r>
    </w:p>
    <w:p>
      <w:r>
        <w:rPr>
          <w:color w:val="5A7D3A"/>
          <w:sz w:val="18"/>
        </w:rPr>
        <w:t>https://pubmed.ncbi.nlm.nih.gov/42435835/</w:t>
      </w:r>
    </w:p>
    <w:p>
      <w:pPr>
        <w:pStyle w:val="Heading2"/>
      </w:pPr>
      <w:r>
        <w:t>COVID-19- und Influenza-Impfung sequenziell in Dialyse-Patienten: Immunogenität stabil</w:t>
      </w:r>
    </w:p>
    <w:p>
      <w:r>
        <w:rPr>
          <w:i/>
          <w:color w:val="666666"/>
          <w:sz w:val="18"/>
        </w:rPr>
        <w:t>Bronder S et al.  ·  Sci Rep  ·  06.07.2026  ·  PMID 42410167</w:t>
      </w:r>
    </w:p>
    <w:p>
      <w:r>
        <w:t>Beobachtungsstudie mit 113 dialysepflichtigen Patienten zu sequenzieller Gabe von XBB.1.5-COVID-19-Impfung und Influenza-Impfung im Abstand von 14 Tagen.</w:t>
      </w:r>
    </w:p>
    <w:p>
      <w:r>
        <w:rPr>
          <w:b/>
        </w:rPr>
        <w:t xml:space="preserve">Ergebnis: </w:t>
      </w:r>
      <w:r>
        <w:t>Nach beiden Impfungen: robuste Steigerung humoraler und zellulärer Antworten. Influenza-Impfung beeinträchtigte Spike-spezifische Antikörper oder T-Zell-Antworten nicht. Spike-Reaktionen blieben 6 Monate stabil und über Niveau ungeimpfter Kontrollen.</w:t>
      </w:r>
    </w:p>
    <w:p>
      <w:r>
        <w:rPr>
          <w:b/>
          <w:sz w:val="19"/>
        </w:rPr>
        <w:t xml:space="preserve">Übertragbarkeit: </w:t>
      </w:r>
      <w:r>
        <w:rPr>
          <w:sz w:val="19"/>
        </w:rPr>
        <w:t>Deutschland, vergleichbares Dialyse-System, aber kleine Kohorte; Transfer auf Hochrisiko-Populationen möglich.</w:t>
      </w:r>
    </w:p>
    <w:p>
      <w:r>
        <w:rPr>
          <w:color w:val="5A7D3A"/>
          <w:sz w:val="18"/>
        </w:rPr>
        <w:t>https://pubmed.ncbi.nlm.nih.gov/42410167/</w:t>
      </w:r>
    </w:p>
    <w:p>
      <w:pPr>
        <w:pStyle w:val="Heading1"/>
      </w:pPr>
      <w:r>
        <w:t>Aufgenommen am 08.09.2026</w:t>
      </w:r>
    </w:p>
    <w:p>
      <w:pPr>
        <w:pStyle w:val="Heading2"/>
      </w:pPr>
      <w:r>
        <w:t>Influenzaimpfung in der Schwangerschaft: Wahrnehmungen, Barrieren und Einflussfaktoren im Iran</w:t>
      </w:r>
    </w:p>
    <w:p>
      <w:r>
        <w:rPr>
          <w:i/>
          <w:color w:val="666666"/>
          <w:sz w:val="18"/>
        </w:rPr>
        <w:t>Yousefi M et al.  ·  Hum Vaccin Immunother  ·  07.09.2026  ·  PMID 42704733</w:t>
      </w:r>
    </w:p>
    <w:p>
      <w:r>
        <w:t>Querschnittsbefragung von 630 schwangeren Frauen zu Determinanten der Influenzaimpfakzeptanz mittels kombiniertem Health Belief Model und Theory of Planned Behavior.</w:t>
      </w:r>
    </w:p>
    <w:p>
      <w:r>
        <w:rPr>
          <w:b/>
        </w:rPr>
        <w:t xml:space="preserve">Ergebnis: </w:t>
      </w:r>
      <w:r>
        <w:t>73% wurden während Schwangerschaft geimpft. Wahrgenommene Anfälligkeit und positive Einstellung waren Prädiktoren für Impfintention (β=0,18 bzw. 0,13), wahrgenommene Barrieren wirkten negativ (β=-0,15). Häufigste Barrieren: Nebenwirkungsangst (49,4%), eingeschränkter Zugang (28,2%), fehlende Ärztempfehlung (27,1%), unzureichende Information (34,1%).</w:t>
      </w:r>
    </w:p>
    <w:p>
      <w:r>
        <w:rPr>
          <w:b/>
          <w:sz w:val="19"/>
        </w:rPr>
        <w:t xml:space="preserve">Übertragbarkeit: </w:t>
      </w:r>
      <w:r>
        <w:rPr>
          <w:sz w:val="19"/>
        </w:rPr>
        <w:t>Iran; Erkenntnisse zu Kommunikationsbarrieren in Ländern mit schwächerer Gesundheitsinfrastruktur teilweise übertragbar</w:t>
      </w:r>
    </w:p>
    <w:p>
      <w:r>
        <w:rPr>
          <w:color w:val="5A7D3A"/>
          <w:sz w:val="18"/>
        </w:rPr>
        <w:t>https://pubmed.ncbi.nlm.nih.gov/42704733/</w:t>
      </w:r>
    </w:p>
    <w:p>
      <w:pPr>
        <w:pStyle w:val="Heading2"/>
      </w:pPr>
      <w:r>
        <w:t>Schulisches Engagement für HPV-Impfbewusstsein steigert Akzeptanz bei Mädchen in Malawi</w:t>
      </w:r>
    </w:p>
    <w:p>
      <w:r>
        <w:rPr>
          <w:i/>
          <w:color w:val="666666"/>
          <w:sz w:val="18"/>
        </w:rPr>
        <w:t>Lubanga AF et al.  ·  Hum Vaccin Immunother  ·  07.09.2026  ·  PMID 42703762</w:t>
      </w:r>
    </w:p>
    <w:p>
      <w:r>
        <w:t>Implementierungsfallstudie einer zweitägigen Schulen- und Gemeinde-Engagementinitiative zur HPV-Impfförderung in Lilongwe, Malawi (2025–2026).</w:t>
      </w:r>
    </w:p>
    <w:p>
      <w:r>
        <w:rPr>
          <w:b/>
        </w:rPr>
        <w:t xml:space="preserve">Ergebnis: </w:t>
      </w:r>
      <w:r>
        <w:t>Über 500 Mädchen (9–14 Jahre) wurden durch schulische Aufklärung erreicht, 45 Gemeindeakteure eingebunden, 100 berechtigte Mädchen geimpft. Zentrale Erfolgsfaktoren: Vertrauen zu Impfpersonal, Schulbeteiligung, Dialogformate, Unterstützung von Gemeindeleitern. Identifizierte Bedenken: Fertilitätsangst, Impfstoffsicherheit, Geschlechtszielung.</w:t>
      </w:r>
    </w:p>
    <w:p>
      <w:r>
        <w:rPr>
          <w:b/>
          <w:sz w:val="19"/>
        </w:rPr>
        <w:t xml:space="preserve">Übertragbarkeit: </w:t>
      </w:r>
      <w:r>
        <w:rPr>
          <w:sz w:val="19"/>
        </w:rPr>
        <w:t>Subsahara-Afrika; Strategien für vertrauensbasierte Gemeindemobilisierung teilweise auf Deutschland übertragbar</w:t>
      </w:r>
    </w:p>
    <w:p>
      <w:r>
        <w:rPr>
          <w:color w:val="5A7D3A"/>
          <w:sz w:val="18"/>
        </w:rPr>
        <w:t>https://pubmed.ncbi.nlm.nih.gov/42703762/</w:t>
      </w:r>
    </w:p>
    <w:p>
      <w:pPr>
        <w:pStyle w:val="Heading2"/>
      </w:pPr>
      <w:r>
        <w:t>COVID-19-Auffrischungsimpfung: Ländliche und städtische Disparitäten in Südbangladesh</w:t>
      </w:r>
    </w:p>
    <w:p>
      <w:r>
        <w:rPr>
          <w:i/>
          <w:color w:val="666666"/>
          <w:sz w:val="18"/>
        </w:rPr>
        <w:t>Nath Roy D et al.  ·  Risk Anal  ·  Sept. 2026  ·  PMID 42702940</w:t>
      </w:r>
    </w:p>
    <w:p>
      <w:r>
        <w:t>Querschnittsbeobachtungsstudie (Dezember 2023–März 2024) zu Akzeptanz und Prädiktoren der Auffrischungsimpfung in ländlichen (n=379) und städtischen (n=328) Populationen in Südbangladesh.</w:t>
      </w:r>
    </w:p>
    <w:p>
      <w:r>
        <w:rPr>
          <w:b/>
        </w:rPr>
        <w:t xml:space="preserve">Ergebnis: </w:t>
      </w:r>
      <w:r>
        <w:t>Akzeptanzquote 69,9% insgesamt, ländlich 62,5% (95%-KI: 60,6–64,8) vs. urban 78,4% (95%-KI: 76,2–80,6; p&lt;0,001). Nebenwirkungsangst negativ assoziiert in beiden Settings. Ländlich: Kommunikation, Vertrauen, sozialer Einfluss positiv assoziiert. Urban: Gemeinschaftsschutz und Risiko-Nutzen-Verhältnis signifikant; Unabhängigkeit von Nicht-Pharmaka negativ assoziiert.</w:t>
      </w:r>
    </w:p>
    <w:p>
      <w:r>
        <w:rPr>
          <w:b/>
          <w:sz w:val="19"/>
        </w:rPr>
        <w:t xml:space="preserve">Übertragbarkeit: </w:t>
      </w:r>
      <w:r>
        <w:rPr>
          <w:sz w:val="19"/>
        </w:rPr>
        <w:t>Bangladesch; Erkenntnisse zu Vertrauenslücken und Kommunikationshindernissen in Ländern mit niedriger Impfquote</w:t>
      </w:r>
    </w:p>
    <w:p>
      <w:r>
        <w:rPr>
          <w:color w:val="5A7D3A"/>
          <w:sz w:val="18"/>
        </w:rPr>
        <w:t>https://pubmed.ncbi.nlm.nih.gov/42702940/</w:t>
      </w:r>
    </w:p>
    <w:p>
      <w:pPr>
        <w:pStyle w:val="Heading2"/>
      </w:pPr>
      <w:r>
        <w:t>COVID-19-Impfquote bei Psychiatriepatienten in Bayern deutlich höher als in der Bevölkerung</w:t>
      </w:r>
    </w:p>
    <w:p>
      <w:r>
        <w:rPr>
          <w:i/>
          <w:color w:val="666666"/>
          <w:sz w:val="18"/>
        </w:rPr>
        <w:t>Aksar A et al.  ·  J Psychiatr Res  ·  12.08.2026  ·  PMID 42603342</w:t>
      </w:r>
    </w:p>
    <w:p>
      <w:r>
        <w:t>Retrospektive Analyse der COVID-19-Impfquoten bei psychiatrischen Patienten in stationärer und ambulanter Behandlung in Südostbayern (2022–2023) im Vergleich zur Allgemeinbevölkerung.</w:t>
      </w:r>
    </w:p>
    <w:p>
      <w:r>
        <w:rPr>
          <w:b/>
        </w:rPr>
        <w:t xml:space="preserve">Ergebnis: </w:t>
      </w:r>
      <w:r>
        <w:t>Ungeimpftenquote in der Studiengruppe (n=3.734 Fälle) 13,6% vs. Bayerndurchschnitt 15–20%; höhere Quoten bei älteren und weiblichen Patienten, niedrigere bei Alkohol- und Substanzabhängigen. Ergebnis deuted auf positive Effekte von stationären Impfangeboten hin, bedarf aber weiterer Erforschung.</w:t>
      </w:r>
    </w:p>
    <w:p>
      <w:r>
        <w:rPr>
          <w:b/>
          <w:sz w:val="19"/>
        </w:rPr>
        <w:t xml:space="preserve">Übertragbarkeit: </w:t>
      </w:r>
      <w:r>
        <w:rPr>
          <w:sz w:val="19"/>
        </w:rPr>
        <w:t>Deutsche Klinikdaten, eigene Impfdokumentation ohne Registeranbindung</w:t>
      </w:r>
    </w:p>
    <w:p>
      <w:r>
        <w:rPr>
          <w:color w:val="5A7D3A"/>
          <w:sz w:val="18"/>
        </w:rPr>
        <w:t>https://pubmed.ncbi.nlm.nih.gov/42603342/</w:t>
      </w:r>
    </w:p>
    <w:p>
      <w:pPr>
        <w:pStyle w:val="Heading2"/>
      </w:pPr>
      <w:r>
        <w:t>Neustart in der RSV-Prävention: Nirsevimab und mütterliche Vakzination reduzieren Hospitalisierungen</w:t>
      </w:r>
    </w:p>
    <w:p>
      <w:r>
        <w:rPr>
          <w:i/>
          <w:color w:val="666666"/>
          <w:sz w:val="18"/>
        </w:rPr>
        <w:t>Marchetti F  ·  Recenti Prog Med  ·  Juli 2026  ·  PMID 42459097</w:t>
      </w:r>
    </w:p>
    <w:p>
      <w:r>
        <w:t>Narrativer Übersichtsartikel zur neuen Ärade der RSV-Prävention in früher Kindheit durch langwirksames monoklonales Antikörper Nirsevimab und mütterliche RSVpreF-Impfung basierend auf Real-World Evidence.</w:t>
      </w:r>
    </w:p>
    <w:p>
      <w:r>
        <w:rPr>
          <w:b/>
        </w:rPr>
        <w:t xml:space="preserve">Ergebnis: </w:t>
      </w:r>
      <w:r>
        <w:t>Großangelegte bevölkerungsbasierte Studien (z.B. französische Studie mit &gt;160.000 Säuglingen) belegen wesentliche Reduktion von RSV-bedingten Hospitalisierungen, intensivmedizinischer Aufnahmen und Beatmungsbedarf bei Nirsevimab-geimpften Säuglingen. Mütterliche Impfung schützt transplazentar bei optimaler Timing; Nirsevimab bietet unabhängige Vorhersagbarkeit.</w:t>
      </w:r>
    </w:p>
    <w:p>
      <w:r>
        <w:rPr>
          <w:b/>
          <w:sz w:val="19"/>
        </w:rPr>
        <w:t xml:space="preserve">Übertragbarkeit: </w:t>
      </w:r>
      <w:r>
        <w:rPr>
          <w:sz w:val="19"/>
        </w:rPr>
        <w:t>Frankreich und europäische Daten zur Implementierungserfahrung; nationales Impfprogramm für Deutschland noch zu entwickeln</w:t>
      </w:r>
    </w:p>
    <w:p>
      <w:r>
        <w:rPr>
          <w:color w:val="5A7D3A"/>
          <w:sz w:val="18"/>
        </w:rPr>
        <w:t>https://pubmed.ncbi.nlm.nih.gov/42459097/</w:t>
      </w:r>
    </w:p>
    <w:p>
      <w:pPr>
        <w:pStyle w:val="Heading2"/>
      </w:pPr>
      <w:r>
        <w:t>Immunitätslücken bei Diphtherie, Tetanus und Keuchhusten in Norwegen</w:t>
      </w:r>
    </w:p>
    <w:p>
      <w:r>
        <w:rPr>
          <w:i/>
          <w:color w:val="666666"/>
          <w:sz w:val="18"/>
        </w:rPr>
        <w:t>Aase A et al.  ·  Vaccine  ·  30.08.2026  ·  PMID 42413320</w:t>
      </w:r>
    </w:p>
    <w:p>
      <w:r>
        <w:t>Serologische Querschnittsstudie an repräsentativer norwegischer Bevölkerung (n=3.051, Alter 2–95 Jahre) zur Antikörperprävalenz gegen sieben Impfkrankheiten.</w:t>
      </w:r>
    </w:p>
    <w:p>
      <w:r>
        <w:rPr>
          <w:b/>
        </w:rPr>
        <w:t xml:space="preserve">Ergebnis: </w:t>
      </w:r>
      <w:r>
        <w:t>39,8% der Frauen und 25,0% der Männer ≥60 Jahre unter Schutzwert Diphtherie; 76,5% bzw. 41,7% unter Schutzwert Tetanus. Bei 6-Jährigen: 20,7% unter Diphtherie-, 25,0% unter Tetanus-Schutzwert vor Auffrischung. Masern und Röteln ausreichend protektiv in allen Altersgruppen.</w:t>
      </w:r>
    </w:p>
    <w:p>
      <w:r>
        <w:rPr>
          <w:b/>
          <w:sz w:val="19"/>
        </w:rPr>
        <w:t xml:space="preserve">Übertragbarkeit: </w:t>
      </w:r>
      <w:r>
        <w:rPr>
          <w:sz w:val="19"/>
        </w:rPr>
        <w:t>Nordeuropäisches Impfregister ermöglicht präzise Kohortenabfrage; Empfehlungskalender und Auffrischungsintervalle nicht direkt auf Deutschland übertragbar</w:t>
      </w:r>
    </w:p>
    <w:p>
      <w:r>
        <w:rPr>
          <w:color w:val="5A7D3A"/>
          <w:sz w:val="18"/>
        </w:rPr>
        <w:t>https://pubmed.ncbi.nlm.nih.gov/42413320/</w:t>
      </w:r>
    </w:p>
    <w:p>
      <w:pPr>
        <w:pStyle w:val="Heading1"/>
      </w:pPr>
      <w:r>
        <w:t>Aufgenommen am 07.09.2026</w:t>
      </w:r>
    </w:p>
    <w:p>
      <w:pPr>
        <w:pStyle w:val="Heading2"/>
      </w:pPr>
      <w:r>
        <w:t>HPV-Impfbereitschaft männlicher Studierender: Krankheitserkennung stärker als Dienstleistungsbewusstsein</w:t>
      </w:r>
    </w:p>
    <w:p>
      <w:r>
        <w:rPr>
          <w:i/>
          <w:color w:val="666666"/>
          <w:sz w:val="18"/>
        </w:rPr>
        <w:t>Zhang Y et al.  ·  Front Public Health  ·  21.08.2026  ·  PMID 42698614</w:t>
      </w:r>
    </w:p>
    <w:p>
      <w:r>
        <w:t>Querschnittsumfrage mit 4.260 männlichen Studierenden in China (Festland, Hongkong, Macau, Ausland) zur Bereitschaft für Grenzüberschreitungs-HPV-Impfung (2025–2026).</w:t>
      </w:r>
    </w:p>
    <w:p>
      <w:r>
        <w:rPr>
          <w:b/>
        </w:rPr>
        <w:t xml:space="preserve">Ergebnis: </w:t>
      </w:r>
      <w:r>
        <w:t>74,7% (3.182/4.260) zeigten Bereitschaft für Grenzüberschreitung. Krankheitserkennung war dominantester Faktor: Teilnehmer ohne Erkennung ≥1 HPV-assoziierter Erkrankung hatten deutlich niedrigere Quote (aOR=0,041, 95%-KI 0,017–0,095, p&lt;0,001). Bewusstsein für Grenzüberschreitungsangebot schwach positiv (aOR=1,233, p=0,008). Schulische HPV-Aufklärung (aOR=1,203, p=0,044) und höheres Klassenniveau (aOR=1,111 pro Stufe, p=0,012) assoziiert.</w:t>
      </w:r>
    </w:p>
    <w:p>
      <w:r>
        <w:rPr>
          <w:b/>
          <w:sz w:val="19"/>
        </w:rPr>
        <w:t xml:space="preserve">Übertragbarkeit: </w:t>
      </w:r>
      <w:r>
        <w:rPr>
          <w:sz w:val="19"/>
        </w:rPr>
        <w:t>China – kulturell/system-spezifisch, Erkenntnisse zu Edukationsbedarf und männlicher Impfskepsis aber verallgemeinerbar</w:t>
      </w:r>
    </w:p>
    <w:p>
      <w:r>
        <w:rPr>
          <w:color w:val="5A7D3A"/>
          <w:sz w:val="18"/>
        </w:rPr>
        <w:t>https://pubmed.ncbi.nlm.nih.gov/42698614/</w:t>
      </w:r>
    </w:p>
    <w:p>
      <w:pPr>
        <w:pStyle w:val="Heading2"/>
      </w:pPr>
      <w:r>
        <w:t>Neutralisierende Antikörper senken Risiko für schwere COVID-19 um durchschnittlich 43 %</w:t>
      </w:r>
    </w:p>
    <w:p>
      <w:r>
        <w:rPr>
          <w:i/>
          <w:color w:val="666666"/>
          <w:sz w:val="18"/>
        </w:rPr>
        <w:t>Elias KM et al.  ·  PLoS Med  ·  02.09.2026  ·  PMID 42685247</w:t>
      </w:r>
    </w:p>
    <w:p>
      <w:r>
        <w:t>Meta-Analyse von 25 klinischen Studien zur Wirksamkeit vakzininduzierten Neutralisierungstitern gegen Progression zu schwerem COVID-19 bei Infizierten.</w:t>
      </w:r>
    </w:p>
    <w:p>
      <w:r>
        <w:rPr>
          <w:b/>
        </w:rPr>
        <w:t xml:space="preserve">Ergebnis: </w:t>
      </w:r>
      <w:r>
        <w:t>Zehnfacher Anstieg der Neutralisierungstiter senkt relatives Progressionsrisiko zu schwerer Erkrankung um 43% (RR 0,57, 95%-KI [0,51–0,64], p&lt;0,001). Schutz durch Impfung übertrifft passiv verabreichte Antikörper, deutet aber auch auf zusätzliche T-Zell-Mechanismen hin.</w:t>
      </w:r>
    </w:p>
    <w:p>
      <w:r>
        <w:rPr>
          <w:b/>
          <w:sz w:val="19"/>
        </w:rPr>
        <w:t xml:space="preserve">Übertragbarkeit: </w:t>
      </w:r>
      <w:r>
        <w:rPr>
          <w:sz w:val="19"/>
        </w:rPr>
        <w:t>Australien/international – laborbasierte Korrelate, mechanistischer Befund übertragbar auf deutsche Population</w:t>
      </w:r>
    </w:p>
    <w:p>
      <w:r>
        <w:rPr>
          <w:color w:val="5A7D3A"/>
          <w:sz w:val="18"/>
        </w:rPr>
        <w:t>https://pubmed.ncbi.nlm.nih.gov/42685247/</w:t>
      </w:r>
    </w:p>
    <w:p>
      <w:pPr>
        <w:pStyle w:val="Heading2"/>
      </w:pPr>
      <w:r>
        <w:t>Pneumokokken-Impfquote bei immunsupprimierten Personen in England deutlich unter Zielwert</w:t>
      </w:r>
    </w:p>
    <w:p>
      <w:r>
        <w:rPr>
          <w:i/>
          <w:color w:val="666666"/>
          <w:sz w:val="18"/>
        </w:rPr>
        <w:t>Meza B et al.  ·  JMIR Res Protoc  ·  09.07.2026  ·  PMID 42424613</w:t>
      </w:r>
    </w:p>
    <w:p>
      <w:r>
        <w:t>Retrospektive Kohortenstudie mit Registerdaten von 2025 bis 2026 zur Impfquote bei Erwachsenen mit Immunsuppression in primärärztlicher Versorgung (Oxford-RCGP-Netzwerk).</w:t>
      </w:r>
    </w:p>
    <w:p>
      <w:r>
        <w:rPr>
          <w:b/>
        </w:rPr>
        <w:t xml:space="preserve">Ergebnis: </w:t>
      </w:r>
      <w:r>
        <w:t>Pneumokokken-Impfquote in der immunsupprimierten Population bleibt eine Unbekannte, die Studie befindet sich noch in Analyse (Ergebnisse für 2026 erwartet). Ziel: Disaggregierte Berichte über Impfquoten nach Immunsuppression-Grund, sozioökonomischem Gradienten und ethnischer Gruppe. Erkenntes Problem: Breite Lücke bei hochrisikogruppenspezifischen Impfquoten-Daten.</w:t>
      </w:r>
    </w:p>
    <w:p>
      <w:r>
        <w:rPr>
          <w:b/>
          <w:sz w:val="19"/>
        </w:rPr>
        <w:t xml:space="preserve">Übertragbarkeit: </w:t>
      </w:r>
      <w:r>
        <w:rPr>
          <w:sz w:val="19"/>
        </w:rPr>
        <w:t>Großbritannien – vergleichbares NHS-System, aber kein deutsches Impfregister; Qualität hängt von Registerdatenverfügbarkeit ab</w:t>
      </w:r>
    </w:p>
    <w:p>
      <w:r>
        <w:rPr>
          <w:color w:val="5A7D3A"/>
          <w:sz w:val="18"/>
        </w:rPr>
        <w:t>https://pubmed.ncbi.nlm.nih.gov/42424613/</w:t>
      </w:r>
    </w:p>
    <w:p>
      <w:pPr>
        <w:pStyle w:val="Heading2"/>
      </w:pPr>
      <w:r>
        <w:t>COVID-Impfmandates als Anreiz-Instrumente: 7S-Rahmen für Mandatspolitik</w:t>
      </w:r>
    </w:p>
    <w:p>
      <w:r>
        <w:rPr>
          <w:i/>
          <w:color w:val="666666"/>
          <w:sz w:val="18"/>
        </w:rPr>
        <w:t>Duong H et al.  ·  Glob Public Health  ·  31.12.2026  ·  PMID 42421423</w:t>
      </w:r>
    </w:p>
    <w:p>
      <w:r>
        <w:t>Qualitative Analyse von Impfmandaten in sechs Ländern (Australien, Frankreich, Israel, Malaysia, Singapur, Vietnam) zur Unterscheidung zwischen Zwang und Anreizen.</w:t>
      </w:r>
    </w:p>
    <w:p>
      <w:r>
        <w:rPr>
          <w:b/>
        </w:rPr>
        <w:t xml:space="preserve">Ergebnis: </w:t>
      </w:r>
      <w:r>
        <w:t>Mandate funktionierten überwiegend als Anreize zur Wiederherstellung von Grundrechten (Arbeit, Reisen, öffentliche Räume), die durch Lockdowns entzogen wurden. Theoretischer Rahmen zeigt: Konzeptionelle Definition muss zwischen «Entziehung-Wiederherstellung» und echtem Zwang unterscheiden. Kernaussage für Mandatsforschung: Kontext von Pandemie-Restriktionen prägt Wahrnehmung und Effektivität erheblich.</w:t>
      </w:r>
    </w:p>
    <w:p>
      <w:r>
        <w:rPr>
          <w:b/>
          <w:sz w:val="19"/>
        </w:rPr>
        <w:t xml:space="preserve">Übertragbarkeit: </w:t>
      </w:r>
      <w:r>
        <w:rPr>
          <w:sz w:val="19"/>
        </w:rPr>
        <w:t>Internationale Perspektive – Policyanalyse, weniger direkt auf deutsches System übertragbar, aber konzeptuell relevant für Impfpflicht-Debatten</w:t>
      </w:r>
    </w:p>
    <w:p>
      <w:r>
        <w:rPr>
          <w:color w:val="5A7D3A"/>
          <w:sz w:val="18"/>
        </w:rPr>
        <w:t>https://pubmed.ncbi.nlm.nih.gov/42421423/</w:t>
      </w:r>
    </w:p>
    <w:p>
      <w:pPr>
        <w:pStyle w:val="Heading2"/>
      </w:pPr>
      <w:r>
        <w:t>Video-Intervention steigert Impfbewusstsein bei psychischen Erkrankungen, nicht Impfbereitschaft</w:t>
      </w:r>
    </w:p>
    <w:p>
      <w:r>
        <w:rPr>
          <w:i/>
          <w:color w:val="666666"/>
          <w:sz w:val="18"/>
        </w:rPr>
        <w:t>Huth D et al.  ·  Front Public Health  ·  23.06.2026  ·  PMID 42415765</w:t>
      </w:r>
    </w:p>
    <w:p>
      <w:r>
        <w:t>Randomisierte Online-Studie mit 639 deutschsprachigen Teilnehmern (24,4% mit selbstberichteter psychischer Störung) zur Wirkung eines Aufklärungsvideos auf COVID-19-Impfakzeptanz bei vulnerablen Gruppen.</w:t>
      </w:r>
    </w:p>
    <w:p>
      <w:r>
        <w:rPr>
          <w:b/>
        </w:rPr>
        <w:t xml:space="preserve">Ergebnis: </w:t>
      </w:r>
      <w:r>
        <w:t>Video erhöhte Risikobewusstsein signifikant (p=0,010, d=0,21) und Verständnis für Impfung bei psychischen Erkrankungen (p=0,033, d=0,17), steigerte aber nicht die Impfbereitschaft. Versorgungslücke bleibt offen: Psychisch kranke Menschen zeigen höhere wahrgenommene Anfälligkeit (p=0,032, d=0,36), aber Aufklärung allein führt zu keinem Verhaltenswechsel.</w:t>
      </w:r>
    </w:p>
    <w:p>
      <w:r>
        <w:rPr>
          <w:b/>
          <w:sz w:val="19"/>
        </w:rPr>
        <w:t xml:space="preserve">Übertragbarkeit: </w:t>
      </w:r>
      <w:r>
        <w:rPr>
          <w:sz w:val="19"/>
        </w:rPr>
        <w:t>Deutschland – Teilnehmer aus deutscher Bevölkerung, lokale Vulnerabilitätsgruppen</w:t>
      </w:r>
    </w:p>
    <w:p>
      <w:r>
        <w:rPr>
          <w:color w:val="5A7D3A"/>
          <w:sz w:val="18"/>
        </w:rPr>
        <w:t>https://pubmed.ncbi.nlm.nih.gov/42415765/</w:t>
      </w:r>
    </w:p>
    <w:p>
      <w:pPr>
        <w:pStyle w:val="Heading1"/>
      </w:pPr>
      <w:r>
        <w:t>Aufgenommen am 06.09.2026</w:t>
      </w:r>
    </w:p>
    <w:p>
      <w:pPr>
        <w:pStyle w:val="Heading2"/>
      </w:pPr>
      <w:r>
        <w:t>Tetanus-Schutzimpfungen bei Frauen in Afghanistan: massive Deckungslücken</w:t>
      </w:r>
    </w:p>
    <w:p>
      <w:r>
        <w:rPr>
          <w:i/>
          <w:color w:val="666666"/>
          <w:sz w:val="18"/>
        </w:rPr>
        <w:t>Stanikzai MH et al.  ·  Hum Vaccin Immunother  ·  02.09.2026  ·  PMID 42683523</w:t>
      </w:r>
    </w:p>
    <w:p>
      <w:r>
        <w:t>Nationale Survey mit 12450 verheirateten Frauen in Afghanistan untersuchte Tetanus-Impfquoten und deren Assoziationen.</w:t>
      </w:r>
    </w:p>
    <w:p>
      <w:r>
        <w:rPr>
          <w:b/>
        </w:rPr>
        <w:t xml:space="preserve">Ergebnis: </w:t>
      </w:r>
      <w:r>
        <w:t>Nur 49,9% mit adäquater TT-Immunisierung. Höhere Quote bei sekundärer/höherer Bildung (AOR=1,57), bei ≥4 Antenatal-Care-Besuchen (AOR=4,67), in Regionen mit besserer Infrastruktur. Geringere Quote bei Frauen ≥40 Jahren (AOR=0,76) und in Ost- und Westregionen. Zeigt massive Ungleichheit.</w:t>
      </w:r>
    </w:p>
    <w:p>
      <w:r>
        <w:rPr>
          <w:b/>
          <w:sz w:val="19"/>
        </w:rPr>
        <w:t xml:space="preserve">Übertragbarkeit: </w:t>
      </w:r>
      <w:r>
        <w:rPr>
          <w:sz w:val="19"/>
        </w:rPr>
        <w:t>Afghanistan-spezifisch, aber Methode zur Identifikation von Zugangsbarrieren übertragbar</w:t>
      </w:r>
    </w:p>
    <w:p>
      <w:r>
        <w:rPr>
          <w:color w:val="5A7D3A"/>
          <w:sz w:val="18"/>
        </w:rPr>
        <w:t>https://pubmed.ncbi.nlm.nih.gov/42683523/</w:t>
      </w:r>
    </w:p>
    <w:p>
      <w:pPr>
        <w:pStyle w:val="Heading2"/>
      </w:pPr>
      <w:r>
        <w:t>Masern-Antikörperwaning gefährdet Herdenimmunität trotz hoher Impfquoten</w:t>
      </w:r>
    </w:p>
    <w:p>
      <w:r>
        <w:rPr>
          <w:i/>
          <w:color w:val="666666"/>
          <w:sz w:val="18"/>
        </w:rPr>
        <w:t>Wang W et al.  ·  Front Immunol  ·  18.08.2026  ·  PMID 42682682</w:t>
      </w:r>
    </w:p>
    <w:p>
      <w:r>
        <w:t>Chinesische Serologie-Studie mit 2083 Teilnehmern untersuchte Masern-Antikörper-Persistenz und Immunitätslücken nach Elimination des Wildvirus.</w:t>
      </w:r>
    </w:p>
    <w:p>
      <w:r>
        <w:rPr>
          <w:b/>
        </w:rPr>
        <w:t xml:space="preserve">Ergebnis: </w:t>
      </w:r>
      <w:r>
        <w:t>Gesamte Seropositiv-Quote 84,59%, aber Antikörper-Spiegel zeigten nicht-linearen Rückgang mit Zeit. Kinder 8–17 Monate: nur 28,13% Seropositiv. Jedes Jahr seit letzter Impfung erhöhte Seronegativi-Risiko um 11% (AOR=1,11). Dies zeigt erhebliche Immunitätslücken trotz hoher MCV-Abdeckung.</w:t>
      </w:r>
    </w:p>
    <w:p>
      <w:r>
        <w:rPr>
          <w:b/>
          <w:sz w:val="19"/>
        </w:rPr>
        <w:t xml:space="preserve">Übertragbarkeit: </w:t>
      </w:r>
      <w:r>
        <w:rPr>
          <w:sz w:val="19"/>
        </w:rPr>
        <w:t>Epidemiologische Erkenntnisse übertragbar auf systematische Surveillance-Überwachung</w:t>
      </w:r>
    </w:p>
    <w:p>
      <w:r>
        <w:rPr>
          <w:color w:val="5A7D3A"/>
          <w:sz w:val="18"/>
        </w:rPr>
        <w:t>https://pubmed.ncbi.nlm.nih.gov/42682682/</w:t>
      </w:r>
    </w:p>
    <w:p>
      <w:pPr>
        <w:pStyle w:val="Heading2"/>
      </w:pPr>
      <w:r>
        <w:t>HPV-Impfschutz bestätigt trotz hoher Prävalenz nicht-geimpfter Typen</w:t>
      </w:r>
    </w:p>
    <w:p>
      <w:r>
        <w:rPr>
          <w:i/>
          <w:color w:val="666666"/>
          <w:sz w:val="18"/>
        </w:rPr>
        <w:t>Gross S et al.  ·  Arch Virol  ·  28.08.2026  ·  PMID 42663706</w:t>
      </w:r>
    </w:p>
    <w:p>
      <w:r>
        <w:t>Französische Studie untersuchte HPV-Genotypen bei 464 geimpften Frauen zur Bewertung der Impfeffektivität unter Alltagsbedingungen.</w:t>
      </w:r>
    </w:p>
    <w:p>
      <w:r>
        <w:rPr>
          <w:b/>
        </w:rPr>
        <w:t xml:space="preserve">Ergebnis: </w:t>
      </w:r>
      <w:r>
        <w:t>HPV16/18-Prävalenz lag bei nur 4,3%, was die Impfeffektivität bestätigt. Allerdings wurden hochrisiko-HPV-Typen (52, 51, 56) in 8,2–5,8% nachgewiesen, die nicht in Bivalent- oder Quadrivalent-Impfstoffen enthalten sind. Dies unterstreicht die Überlegenheit nonavalenter Impfstoffe.</w:t>
      </w:r>
    </w:p>
    <w:p>
      <w:r>
        <w:rPr>
          <w:b/>
          <w:sz w:val="19"/>
        </w:rPr>
        <w:t xml:space="preserve">Übertragbarkeit: </w:t>
      </w:r>
      <w:r>
        <w:rPr>
          <w:sz w:val="19"/>
        </w:rPr>
        <w:t>Frankreich, vergleichbares Versicherungssystem, Screening-Daten verfügbar</w:t>
      </w:r>
    </w:p>
    <w:p>
      <w:r>
        <w:rPr>
          <w:color w:val="5A7D3A"/>
          <w:sz w:val="18"/>
        </w:rPr>
        <w:t>https://pubmed.ncbi.nlm.nih.gov/42663706/</w:t>
      </w:r>
    </w:p>
    <w:p>
      <w:pPr>
        <w:pStyle w:val="Heading2"/>
      </w:pPr>
      <w:r>
        <w:t>HBV-Therapeutische Impfung zeigt Immunantwort, aber keine funktionale Heilung</w:t>
      </w:r>
    </w:p>
    <w:p>
      <w:r>
        <w:rPr>
          <w:i/>
          <w:color w:val="666666"/>
          <w:sz w:val="18"/>
        </w:rPr>
        <w:t>Jeng WJ et al.  ·  Hepatol Commun  ·  01.09.2026  ·  PMID 42623526</w:t>
      </w:r>
    </w:p>
    <w:p>
      <w:r>
        <w:t>Phase-1/2-RCT mit 134 Patienten mit chronischer Hepatitis B unter Nukleos(t)id-Analoga testete heterologe prime-boost Impfstrategie.</w:t>
      </w:r>
    </w:p>
    <w:p>
      <w:r>
        <w:rPr>
          <w:b/>
        </w:rPr>
        <w:t xml:space="preserve">Ergebnis: </w:t>
      </w:r>
      <w:r>
        <w:t>Kein HBsAg-Verlust oder ≥1-log-Reduktion bei allen 134 Patienten (primärer Endpunkt verfehlt). Co-Gabe induzierte stärkste Anti-HBs-Antwort (73,7% ≥10 mIU/mL vs. 40% sequential). Grade-3-AE häufiger bei Co-Gabe (59,3% systemisch). CD4+/CD8+ T-Zell-Antworten nachgewiesen, aber begrenzte klinische Wirksamkeit.</w:t>
      </w:r>
    </w:p>
    <w:p>
      <w:r>
        <w:rPr>
          <w:b/>
          <w:sz w:val="19"/>
        </w:rPr>
        <w:t xml:space="preserve">Übertragbarkeit: </w:t>
      </w:r>
      <w:r>
        <w:rPr>
          <w:sz w:val="19"/>
        </w:rPr>
        <w:t>Europäische und internationale Zentren, vergleichbar mit deutschem Versicherungssystem</w:t>
      </w:r>
    </w:p>
    <w:p>
      <w:r>
        <w:rPr>
          <w:color w:val="5A7D3A"/>
          <w:sz w:val="18"/>
        </w:rPr>
        <w:t>https://pubmed.ncbi.nlm.nih.gov/42623526/</w:t>
      </w:r>
    </w:p>
    <w:p>
      <w:pPr>
        <w:pStyle w:val="Heading2"/>
      </w:pPr>
      <w:r>
        <w:t>Computergestützte Prognosen in Schwedens COVID-Impfphase: Forschung ohne Politikbezug</w:t>
      </w:r>
    </w:p>
    <w:p>
      <w:r>
        <w:rPr>
          <w:i/>
          <w:color w:val="666666"/>
          <w:sz w:val="18"/>
        </w:rPr>
        <w:t>Jöud AS et al.  ·  BMC Health Serv Res  ·  10.07.2026  ·  PMID 42432642</w:t>
      </w:r>
    </w:p>
    <w:p>
      <w:r>
        <w:t>Systematische Literaturübersicht bewertete 6 peer-reviewte Computerprognosestudien mit Schwedendaten zur COVID-19-Impfphase 2020–2023.</w:t>
      </w:r>
    </w:p>
    <w:p>
      <w:r>
        <w:rPr>
          <w:b/>
        </w:rPr>
        <w:t xml:space="preserve">Ergebnis: </w:t>
      </w:r>
      <w:r>
        <w:t>Alle 6 Studien zeigten Bayesianische Kalibrierung als Methode, aber keine externe Modellvalidation. Kein einziger Artikel bezog sich auf Politikentscheidungen als primären Forschungskontext. Schluss: Computergestützte Forschung diente Modellentwicklung, nicht Politikunterstützung – Kluft zwischen Forschung und Versorgungsbedarf.</w:t>
      </w:r>
    </w:p>
    <w:p>
      <w:r>
        <w:rPr>
          <w:b/>
          <w:sz w:val="19"/>
        </w:rPr>
        <w:t xml:space="preserve">Übertragbarkeit: </w:t>
      </w:r>
      <w:r>
        <w:rPr>
          <w:sz w:val="19"/>
        </w:rPr>
        <w:t>Schweden, zeigte methodische Lücke bei Verankerung von Forschung in Versorgungspraxis</w:t>
      </w:r>
    </w:p>
    <w:p>
      <w:r>
        <w:rPr>
          <w:color w:val="5A7D3A"/>
          <w:sz w:val="18"/>
        </w:rPr>
        <w:t>https://pubmed.ncbi.nlm.nih.gov/42432642/</w:t>
      </w:r>
    </w:p>
    <w:p>
      <w:pPr>
        <w:pStyle w:val="Heading2"/>
      </w:pPr>
      <w:r>
        <w:t>PCV21 kosteneffektiver als PCV20 in Dänemarks Pneumokokken-Impfprogramm</w:t>
      </w:r>
    </w:p>
    <w:p>
      <w:r>
        <w:rPr>
          <w:i/>
          <w:color w:val="666666"/>
          <w:sz w:val="18"/>
        </w:rPr>
        <w:t>Sharomi O et al.  ·  Expert Rev Pharmacoecon Outcomes Res  ·  10.07.2026  ·  PMID 42421526</w:t>
      </w:r>
    </w:p>
    <w:p>
      <w:r>
        <w:t>Dänemark: Modellanalyse verglich 100-Jahres-Gesundheitsfolgen von PCV21- vs. PCV20-Programm für Erwachsene ≥65 Jahre.</w:t>
      </w:r>
    </w:p>
    <w:p>
      <w:r>
        <w:rPr>
          <w:b/>
        </w:rPr>
        <w:t xml:space="preserve">Ergebnis: </w:t>
      </w:r>
      <w:r>
        <w:t>PCV21 gegenüber PCV20: 29309 NBPP-Fälle, 627 IPD-Fälle und 1312 Todesfälle vermieden über 100 Jahre. 835,2 Mio. dänische Kronen Kosteneinsparung, 759 QALY-Gewinn. ICER-Wert zeigt kostenspannung dominante Strategie (dominant = Einsparungen + bessere Outcomes).</w:t>
      </w:r>
    </w:p>
    <w:p>
      <w:r>
        <w:rPr>
          <w:b/>
          <w:sz w:val="19"/>
        </w:rPr>
        <w:t xml:space="preserve">Übertragbarkeit: </w:t>
      </w:r>
      <w:r>
        <w:rPr>
          <w:sz w:val="19"/>
        </w:rPr>
        <w:t>Dänemark, vergleichbares nordeuropäisches Versicherungssystem und Impfkalender</w:t>
      </w:r>
    </w:p>
    <w:p>
      <w:r>
        <w:rPr>
          <w:color w:val="5A7D3A"/>
          <w:sz w:val="18"/>
        </w:rPr>
        <w:t>https://pubmed.ncbi.nlm.nih.gov/42421526/</w:t>
      </w:r>
    </w:p>
    <w:p>
      <w:pPr>
        <w:pStyle w:val="Heading1"/>
      </w:pPr>
      <w:r>
        <w:t>Aufgenommen am 05.09.2026</w:t>
      </w:r>
    </w:p>
    <w:p>
      <w:pPr>
        <w:pStyle w:val="Heading2"/>
      </w:pPr>
      <w:r>
        <w:t>Influenza-Impfeffektivität gegen Hospitalisierung bei Erwachsenen mit chronischen Erkrankungen</w:t>
      </w:r>
    </w:p>
    <w:p>
      <w:r>
        <w:rPr>
          <w:i/>
          <w:color w:val="666666"/>
          <w:sz w:val="18"/>
        </w:rPr>
        <w:t>Toledo D et al.  ·  Influenza Other Respir Viruses  ·  Sept. 2026  ·  PMID 42693773</w:t>
      </w:r>
    </w:p>
    <w:p>
      <w:r>
        <w:t>Multizentrisches Fall-Kontroll-Verfahren aus 17 spanischen Krankenhäusern zur Bestimmung der klinischen Effektivität der saisonalen Influenzaimpfung bei hospitalisiert behandelten Erwachsenen (15–64 Jahre) mit vorbestehenden medizinischen Erkrankungen über drei Influenzajahreszeiten.</w:t>
      </w:r>
    </w:p>
    <w:p>
      <w:r>
        <w:rPr>
          <w:b/>
        </w:rPr>
        <w:t xml:space="preserve">Ergebnis: </w:t>
      </w:r>
      <w:r>
        <w:t>Von 1.220 hospitalisierten Erwachsenen waren 25,2 % geimpft. Die Impfeffektivität variierte nach Saison, Altersgruppe und Virus-Subtyp; statistisch signifikanter Schutz wurde für alle Jahreszeiten gemeinsam gegen A(H3N2) beobachtet, einzelne Jahreszeiten zeigten keine signifikanten Unterschiede. Die Studie unterstreicht geringe saisonale Influenzaimpfquoten in dieser Bevölkerungsgruppe und die Notwendigkeit verbesserter Impfstrategien.</w:t>
      </w:r>
    </w:p>
    <w:p>
      <w:r>
        <w:rPr>
          <w:b/>
          <w:sz w:val="19"/>
        </w:rPr>
        <w:t xml:space="preserve">Übertragbarkeit: </w:t>
      </w:r>
      <w:r>
        <w:rPr>
          <w:sz w:val="19"/>
        </w:rPr>
        <w:t>Spanien, vergleichbares Gesundheitssystem; Hospitalisierungsdaten messbar</w:t>
      </w:r>
    </w:p>
    <w:p>
      <w:r>
        <w:rPr>
          <w:color w:val="5A7D3A"/>
          <w:sz w:val="18"/>
        </w:rPr>
        <w:t>https://pubmed.ncbi.nlm.nih.gov/42693773/</w:t>
      </w:r>
    </w:p>
    <w:p>
      <w:pPr>
        <w:pStyle w:val="Heading2"/>
      </w:pPr>
      <w:r>
        <w:t>Klima und Impfung als Determinanten für Durchfall-Morbidität in afrikanischen Ländern</w:t>
      </w:r>
    </w:p>
    <w:p>
      <w:r>
        <w:rPr>
          <w:i/>
          <w:color w:val="666666"/>
          <w:sz w:val="18"/>
        </w:rPr>
        <w:t>Kowalcyk M et al.  ·  Nat Commun  ·  06.08.2026  ·  PMID 42693103</w:t>
      </w:r>
    </w:p>
    <w:p>
      <w:r>
        <w:t>Sekundäranalyse der Global Enteric Multicenter Study (GEMS) und VIDA-Studie zur Rolle von Klima und sozioökonomischen Vulnerabilitätsfaktoren bei der Vorhersage pathogenspezifischer Durchfall-Erkrankungen bei Kindern in Gambia, Kenia und Mali.</w:t>
      </w:r>
    </w:p>
    <w:p>
      <w:r>
        <w:rPr>
          <w:b/>
        </w:rPr>
        <w:t xml:space="preserve">Ergebnis: </w:t>
      </w:r>
      <w:r>
        <w:t>Soziodemografische Vulnerabilität (Transport-, Fernseh-, Stromzugang) und Rotavirus-Impfeinführung modifizierten die Assoziation zwischen Wetter und moderatem-schwerem Durchfall. Diese Modifikationen waren standort- und pathogenspezifisch. Bevölkerungszahl war stärkster Prädiktor (SHAP mean absolute 0,167 für Inzidenz). Die Studie zeigt, dass Vulnerabilitätsfaktoren mit variable pathogenspezifischen Erkrankungsrisiken korreliert sind.</w:t>
      </w:r>
    </w:p>
    <w:p>
      <w:r>
        <w:rPr>
          <w:b/>
          <w:sz w:val="19"/>
        </w:rPr>
        <w:t xml:space="preserve">Übertragbarkeit: </w:t>
      </w:r>
      <w:r>
        <w:rPr>
          <w:sz w:val="19"/>
        </w:rPr>
        <w:t>Afrika; Vulnerabilität und Impfprogramme, Versorgungsforschung in ressourcenlimitierten Settings</w:t>
      </w:r>
    </w:p>
    <w:p>
      <w:r>
        <w:rPr>
          <w:color w:val="5A7D3A"/>
          <w:sz w:val="18"/>
        </w:rPr>
        <w:t>https://pubmed.ncbi.nlm.nih.gov/42693103/</w:t>
      </w:r>
    </w:p>
    <w:p>
      <w:pPr>
        <w:pStyle w:val="Heading2"/>
      </w:pPr>
      <w:r>
        <w:t>Barrieren und Beförderer der HPV-Impfakzeptanz in Pakistan vor Programmstart</w:t>
      </w:r>
    </w:p>
    <w:p>
      <w:r>
        <w:rPr>
          <w:i/>
          <w:color w:val="666666"/>
          <w:sz w:val="18"/>
        </w:rPr>
        <w:t>Noreen K et al.  ·  Hum Vaccin Immunother  ·  03.09.2026  ·  PMID 42692950</w:t>
      </w:r>
    </w:p>
    <w:p>
      <w:r>
        <w:t>Qualitative Studie mit Fokusgruppen und Interviews bei Community Worker, Gesundheitspersonal, Lehrkräften, Mädchen und Eltern zur Erfassung von Hemmnissen und Förderungsfaktoren der HPV-Impfakzeptanz vor dem ersten nationalen HPV-Impfprogramm in Pakistan.</w:t>
      </w:r>
    </w:p>
    <w:p>
      <w:r>
        <w:rPr>
          <w:b/>
        </w:rPr>
        <w:t xml:space="preserve">Ergebnis: </w:t>
      </w:r>
      <w:r>
        <w:t>Barrieren: Furcht vor Nebenwirkungen, Impfskepsis, Fehlinformation über soziale Medien, religiöse Wahrnehmungen, patriarchale Entscheidungsfindung, Wartezeitprobleme, Widerstand in der Gemeinde. Beförderer: Erkenntnis des Impfnutzens, unterstützende Familie und Gemeinschaftsnormen, Gesundheitsfachleute-Beratung, religiöse Argumente, aufsuchende Dienste und Vertrauenspersonen wie Schulleitung. Die Befunde unterstreichen Bedarf für kulturell sensible, vertrauensaufbauende Strategien über klinischen Ansatz hinaus.</w:t>
      </w:r>
    </w:p>
    <w:p>
      <w:r>
        <w:rPr>
          <w:b/>
          <w:sz w:val="19"/>
        </w:rPr>
        <w:t xml:space="preserve">Übertragbarkeit: </w:t>
      </w:r>
      <w:r>
        <w:rPr>
          <w:sz w:val="19"/>
        </w:rPr>
        <w:t>Pakistan; Implementierungsforschung für Programmstart nötig, nicht direkt auf Deutschland übertragbar</w:t>
      </w:r>
    </w:p>
    <w:p>
      <w:r>
        <w:rPr>
          <w:color w:val="5A7D3A"/>
          <w:sz w:val="18"/>
        </w:rPr>
        <w:t>https://pubmed.ncbi.nlm.nih.gov/42692950/</w:t>
      </w:r>
    </w:p>
    <w:p>
      <w:pPr>
        <w:pStyle w:val="Heading2"/>
      </w:pPr>
      <w:r>
        <w:t>Monitoring von Impfabbrüchen: Effekt auf Durchimpfungsquoten im ländlichen Südsudan</w:t>
      </w:r>
    </w:p>
    <w:p>
      <w:r>
        <w:rPr>
          <w:i/>
          <w:color w:val="666666"/>
          <w:sz w:val="18"/>
        </w:rPr>
        <w:t>Igga DOM et al.  ·  PLoS One  ·  03.09.2026  ·  PMID 42691046</w:t>
      </w:r>
    </w:p>
    <w:p>
      <w:r>
        <w:t>Prospektive Kohortenstudie über drei Monate in 14 Gesundheitseinrichtungen im Maridi County (Südsudan) zur Wirksamkeit von Monitoring-Mechanismen zur Reduzierung von Impfausfällen bei Säuglingen und Kleinkindern.</w:t>
      </w:r>
    </w:p>
    <w:p>
      <w:r>
        <w:rPr>
          <w:b/>
        </w:rPr>
        <w:t xml:space="preserve">Ergebnis: </w:t>
      </w:r>
      <w:r>
        <w:t>Einrichtungen mit aktualisierten Monitoring-Charts hatten signifikant niedrigere Ausfallquoten (Spearman r = -0,725, p = 0,003). Boma Health Worker (Community-Helfer zur Verfolgung ausstehender Impfungen) waren in 64 % der Einrichtungen präsent; 91,7 % der Einrichtungen mit niedrigen Ausfallquoten hatten Helfer, gegenüber 37,5 % mit hohen Ausfallquoten. Kombinierte Facility- und Community-basierte Monitoring-Mechanismen zeigten komplementären Effekt. Ausfallquoten über 10 % sanken über drei Monate um 9,6 Prozentpunkte.</w:t>
      </w:r>
    </w:p>
    <w:p>
      <w:r>
        <w:rPr>
          <w:b/>
          <w:sz w:val="19"/>
        </w:rPr>
        <w:t xml:space="preserve">Übertragbarkeit: </w:t>
      </w:r>
      <w:r>
        <w:rPr>
          <w:sz w:val="19"/>
        </w:rPr>
        <w:t>Südsudan; Monitoring-Muster auch für Deutschland relevant, aber Gesundheitssystem-Kontext verschieden</w:t>
      </w:r>
    </w:p>
    <w:p>
      <w:r>
        <w:rPr>
          <w:color w:val="5A7D3A"/>
          <w:sz w:val="18"/>
        </w:rPr>
        <w:t>https://pubmed.ncbi.nlm.nih.gov/42691046/</w:t>
      </w:r>
    </w:p>
    <w:p>
      <w:pPr>
        <w:pStyle w:val="Heading2"/>
      </w:pPr>
      <w:r>
        <w:t>Quoten bei Jugendlichen-Impfung USA 2025: HPV stagniert, Tdap und MenACWY leicht gesunken</w:t>
      </w:r>
    </w:p>
    <w:p>
      <w:r>
        <w:rPr>
          <w:i/>
          <w:color w:val="666666"/>
          <w:sz w:val="18"/>
        </w:rPr>
        <w:t>Pingali C et al.  ·  MMWR Morb Mortal Wkly Rep  ·  03.09.2026  ·  PMID 42691006</w:t>
      </w:r>
    </w:p>
    <w:p>
      <w:r>
        <w:t>Analyse der 2025 National Immunization Survey-Teen für 18.692 Adoleszente (13–17 Jahre) zur Erfassung von Trends bei Tetanus-Diptherie-Pertussis (Tdap), Meningokokken- und HPV-Impfquoten in den USA.</w:t>
      </w:r>
    </w:p>
    <w:p>
      <w:r>
        <w:rPr>
          <w:b/>
        </w:rPr>
        <w:t xml:space="preserve">Ergebnis: </w:t>
      </w:r>
      <w:r>
        <w:t>Tdap und MenACWY 2025 zu ca. 90 %, leicht gesunken gegenüber 2024. HPV-Impfquoten (≥1 Dosis und Serie-Vollständigkeit) stiegen zum vierten Jahr nicht an und blieben deutlich unter Tdap/MenACWY. HPV-Quote in ländlich geprägten Gebieten 12,0 Prozentpunkte niedriger als in städtischen Gegenden. Größte Variation zwischen Bundesländern bei HPV. Geografische und regionale Disparitäten persistent.</w:t>
      </w:r>
    </w:p>
    <w:p>
      <w:r>
        <w:rPr>
          <w:b/>
          <w:sz w:val="19"/>
        </w:rPr>
        <w:t xml:space="preserve">Übertragbarkeit: </w:t>
      </w:r>
      <w:r>
        <w:rPr>
          <w:sz w:val="19"/>
        </w:rPr>
        <w:t>USA; Quoten nicht direkt übertragbar, aber Disparitätsmuster ländlich/urban ähnlich Deutschland</w:t>
      </w:r>
    </w:p>
    <w:p>
      <w:r>
        <w:rPr>
          <w:color w:val="5A7D3A"/>
          <w:sz w:val="18"/>
        </w:rPr>
        <w:t>https://pubmed.ncbi.nlm.nih.gov/42691006/</w:t>
      </w:r>
    </w:p>
    <w:p>
      <w:pPr>
        <w:pStyle w:val="Heading2"/>
      </w:pPr>
      <w:r>
        <w:t>Impfassoziierte Belastung: Implementierung canadischer Leitlinien in Niederländisches Impfprogramm</w:t>
      </w:r>
    </w:p>
    <w:p>
      <w:r>
        <w:rPr>
          <w:i/>
          <w:color w:val="666666"/>
          <w:sz w:val="18"/>
        </w:rPr>
        <w:t>Huijten DCM et al.  ·  Clin J Pain  ·  01.08.2026  ·  PMID 42444177</w:t>
      </w:r>
    </w:p>
    <w:p>
      <w:r>
        <w:t>Erfahrungsbericht zur kulturellen Anpassung des CARD-Systems (Comfort-Ask-Relax-Distract) aus Kanada für das Niederländische Nationale Impfprogramm, um impfassoziierte Stress-Reaktionen (Schmerz, Nadelangst) zu reduzieren und Quote zu erhöhen.</w:t>
      </w:r>
    </w:p>
    <w:p>
      <w:r>
        <w:rPr>
          <w:b/>
        </w:rPr>
        <w:t xml:space="preserve">Ergebnis: </w:t>
      </w:r>
      <w:r>
        <w:t>Der CARD-Multikomponenten-Ansatz kombiniert Edukation mit mehreren Interventionen zur Stressreduktion (prozessual, physisch, pharmakologisch, psychologisch). Systematische Anpassung mittels EPIS-Rahmenwerk (Exploration-Preparation-Implementation-Sustainment) wurde durchgeführt. Das Konzept zeigt, dass Effektivität in einem Kontext (Kanada) nicht automatisch in anderem (Niederlande) funktioniert. Pilotstudie im niederländischen Kontext geplant.</w:t>
      </w:r>
    </w:p>
    <w:p>
      <w:r>
        <w:rPr>
          <w:b/>
          <w:sz w:val="19"/>
        </w:rPr>
        <w:t xml:space="preserve">Übertragbarkeit: </w:t>
      </w:r>
      <w:r>
        <w:rPr>
          <w:sz w:val="19"/>
        </w:rPr>
        <w:t>Niederlande, vergleichbares Impfprogramm; übertragbar auf Deutsche Impfkompetenz-Schulung</w:t>
      </w:r>
    </w:p>
    <w:p>
      <w:r>
        <w:rPr>
          <w:color w:val="5A7D3A"/>
          <w:sz w:val="18"/>
        </w:rPr>
        <w:t>https://pubmed.ncbi.nlm.nih.gov/42444177/</w:t>
      </w:r>
    </w:p>
    <w:p>
      <w:pPr>
        <w:pStyle w:val="Heading1"/>
      </w:pPr>
      <w:r>
        <w:t>Aufgenommen am 04.09.2026</w:t>
      </w:r>
    </w:p>
    <w:p>
      <w:pPr>
        <w:pStyle w:val="Heading2"/>
      </w:pPr>
      <w:r>
        <w:t>HPV-Impfbewusstsein in indigenen Gemeinschaften Kanadas niedrig</w:t>
      </w:r>
    </w:p>
    <w:p>
      <w:r>
        <w:rPr>
          <w:i/>
          <w:color w:val="666666"/>
          <w:sz w:val="18"/>
        </w:rPr>
        <w:t>Omidimorad A et al.  ·  PLoS One  ·  03.09.2026  ·  PMID 42691150</w:t>
      </w:r>
    </w:p>
    <w:p>
      <w:r>
        <w:t>Community-based participatory research in 11 indigenen Gemeinschaften der Northwest Territories (Kanada, n=221 Erwachsene ≥18 Jahre): Quantitative und qualitative Befragung zu HPV- und HPV-Impfbewusstsein; Multiple logistische Regression und thematische Analyse zu Nicht-Impfungs-Gründen.</w:t>
      </w:r>
    </w:p>
    <w:p>
      <w:r>
        <w:rPr>
          <w:b/>
        </w:rPr>
        <w:t xml:space="preserve">Ergebnis: </w:t>
      </w:r>
      <w:r>
        <w:t>Etwa 50% hatten von HPV gehört, &lt;1/3 von HPV-Impfstoff. Bildung signifikant assoziiert: Niedrigere Bildung → niedrigeres HPV-Bewusstsein (p&lt;0,001). Alter, Geschlecht, Bildung prädizieren Impfstoff-Bewusstsein (Frauen, höhere Bildung, jünger: höher). Nur 26,3% der Geimpften ≤26 Jahre. Qualitativ: Mangelndes Wissen und unzureichende Information sind Hauptbarrieren.</w:t>
      </w:r>
    </w:p>
    <w:p>
      <w:r>
        <w:rPr>
          <w:b/>
          <w:sz w:val="19"/>
        </w:rPr>
        <w:t xml:space="preserve">Übertragbarkeit: </w:t>
      </w:r>
      <w:r>
        <w:rPr>
          <w:sz w:val="19"/>
        </w:rPr>
        <w:t>Kanada, indigene Populations-spezifik; Lessons für deutsche Gesundheitsungleichheit relevant.</w:t>
      </w:r>
    </w:p>
    <w:p>
      <w:r>
        <w:rPr>
          <w:color w:val="5A7D3A"/>
          <w:sz w:val="18"/>
        </w:rPr>
        <w:t>https://pubmed.ncbi.nlm.nih.gov/42691150/</w:t>
      </w:r>
    </w:p>
    <w:p>
      <w:pPr>
        <w:pStyle w:val="Heading2"/>
      </w:pPr>
      <w:r>
        <w:t>Peer-Education durch Medizinstudierende steigert HPV-Impfwissen bei japanischen Jugendlichen</w:t>
      </w:r>
    </w:p>
    <w:p>
      <w:r>
        <w:rPr>
          <w:i/>
          <w:color w:val="666666"/>
          <w:sz w:val="18"/>
        </w:rPr>
        <w:t>Nakajima K et al.  ·  Hum Vaccin Immunother  ·  02.09.2026  ·  PMID 42687414</w:t>
      </w:r>
    </w:p>
    <w:p>
      <w:r>
        <w:t>Explorative Interventionsstudie (Feb 2022–März 2024): Medizinstudierende gaben 1-Stunden-Schulungen zu HPV-Transmission, Gebärmutterhalskrebs-Prävention und Impfwirksamkeit in japanischen Schulen; Folgeerhebung 1–2 Wochen später zu Wissen, Haltung und Impfverhalten.</w:t>
      </w:r>
    </w:p>
    <w:p>
      <w:r>
        <w:rPr>
          <w:b/>
        </w:rPr>
        <w:t xml:space="preserve">Ergebnis: </w:t>
      </w:r>
      <w:r>
        <w:t>864 Schüler teilgenommen, 332 gefolgt. Von 248 Ungeimpften vor Session: 10 Mädchen (7,5%) und 1 Junge (0,9%) erhielten HPV-Impfung innerhalb von 2 Wochen. Schüler mit positiver Impfabsicht zeigten höhere Verständnis-Scores. Geimpfte identifizierten HPV-verhinderbare Krebsarten häufiger korrekt.</w:t>
      </w:r>
    </w:p>
    <w:p>
      <w:r>
        <w:rPr>
          <w:b/>
          <w:sz w:val="19"/>
        </w:rPr>
        <w:t xml:space="preserve">Übertragbarkeit: </w:t>
      </w:r>
      <w:r>
        <w:rPr>
          <w:sz w:val="19"/>
        </w:rPr>
        <w:t>Japan-Daten; Near-Peer-Modell könnte für deutsches Schulimpf-Setting adaptierbar sein.</w:t>
      </w:r>
    </w:p>
    <w:p>
      <w:r>
        <w:rPr>
          <w:color w:val="5A7D3A"/>
          <w:sz w:val="18"/>
        </w:rPr>
        <w:t>https://pubmed.ncbi.nlm.nih.gov/42687414/</w:t>
      </w:r>
    </w:p>
    <w:p>
      <w:pPr>
        <w:pStyle w:val="Heading2"/>
      </w:pPr>
      <w:r>
        <w:t>HPV-Impfbereitschaft bei Eltern in ethnischen Autonomie-Bezirken Chinas</w:t>
      </w:r>
    </w:p>
    <w:p>
      <w:r>
        <w:rPr>
          <w:i/>
          <w:color w:val="666666"/>
          <w:sz w:val="18"/>
        </w:rPr>
        <w:t>Li X et al.  ·  Hum Vaccin Immunother  ·  01.09.2026  ·  PMID 42678389</w:t>
      </w:r>
    </w:p>
    <w:p>
      <w:r>
        <w:t>Querschnittsbefragung in Qinghai-Provinz (Dezember 2024–Februar 2025): Erziehungsberechtigte von Schulkindern zu HPV-Impfbereitschaft; Theorien: Health Belief Model und Theory of Planned Behavior (TPB); Hierarchische Regressionsmodelle.</w:t>
      </w:r>
    </w:p>
    <w:p>
      <w:r>
        <w:rPr>
          <w:b/>
        </w:rPr>
        <w:t xml:space="preserve">Ergebnis: </w:t>
      </w:r>
      <w:r>
        <w:t>Hui-Ethnie vs. Han-Ethnie: niedrigere Impfbereitschaft (B=−0,229, p=0,003). Positive Assoziationen mit: Aktionsimpulsen (β=0,121), wahrgenommenen Barrieren (β=0,128), Einstellungen (β=0,203), wahrgenommenem Verhaltenskontrolle (β=0,107), Subjektiven Normen (β=0,323). Bildung und mittleres Einkommen prädizierten höhere Bereitschaft.</w:t>
      </w:r>
    </w:p>
    <w:p>
      <w:r>
        <w:rPr>
          <w:b/>
          <w:sz w:val="19"/>
        </w:rPr>
        <w:t xml:space="preserve">Übertragbarkeit: </w:t>
      </w:r>
      <w:r>
        <w:rPr>
          <w:sz w:val="19"/>
        </w:rPr>
        <w:t>China, kollektive Health-Literacy-Strukturen; Barrieren für deutsche Migrantengruppen vergleichbar.</w:t>
      </w:r>
    </w:p>
    <w:p>
      <w:r>
        <w:rPr>
          <w:color w:val="5A7D3A"/>
          <w:sz w:val="18"/>
        </w:rPr>
        <w:t>https://pubmed.ncbi.nlm.nih.gov/42678389/</w:t>
      </w:r>
    </w:p>
    <w:p>
      <w:pPr>
        <w:pStyle w:val="Heading2"/>
      </w:pPr>
      <w:r>
        <w:t>Geospatial mapping reveals Zero-Dose concentrations in low- und lower-middle-income countries</w:t>
      </w:r>
    </w:p>
    <w:p>
      <w:r>
        <w:rPr>
          <w:i/>
          <w:color w:val="666666"/>
          <w:sz w:val="18"/>
        </w:rPr>
        <w:t>Njogu AM et al.  ·  Vaccine  ·  30.08.2026  ·  PMID 42442083</w:t>
      </w:r>
    </w:p>
    <w:p>
      <w:r>
        <w:t>Scoping Review zu räumlichen Modellierungsmethoden für Impfquoten in Ländern mit niedrigem Einkommen: 102 Artikel analysiert, hauptsächlich zu Routineimpfungen; nur 19,6% zu Zero-Dose-Prävalenz.</w:t>
      </w:r>
    </w:p>
    <w:p>
      <w:r>
        <w:rPr>
          <w:b/>
        </w:rPr>
        <w:t xml:space="preserve">Ergebnis: </w:t>
      </w:r>
      <w:r>
        <w:t>70% der Studien stammen aus 2021-2024. Die meisten nutzen Befragungsdaten statt Routinedaten. Größte Defizite: uneinheitliche Zero-Dose-Definitionen, begrenzte Routinedaten-Nutzung, Unterrepräsentation marginalisierter Gruppen. Geospatiale Kartierung expandiert, aber explorativ statt präzise genug zum gezielten Targeting.</w:t>
      </w:r>
    </w:p>
    <w:p>
      <w:r>
        <w:rPr>
          <w:b/>
          <w:sz w:val="19"/>
        </w:rPr>
        <w:t xml:space="preserve">Übertragbarkeit: </w:t>
      </w:r>
      <w:r>
        <w:rPr>
          <w:sz w:val="19"/>
        </w:rPr>
        <w:t>Entwicklungsländer-Fokus; Erkenntnisse für deutsche Registerentwicklung nicht direkt übertragbar.</w:t>
      </w:r>
    </w:p>
    <w:p>
      <w:r>
        <w:rPr>
          <w:color w:val="5A7D3A"/>
          <w:sz w:val="18"/>
        </w:rPr>
        <w:t>https://pubmed.ncbi.nlm.nih.gov/42442083/</w:t>
      </w:r>
    </w:p>
    <w:p>
      <w:pPr>
        <w:pStyle w:val="Heading2"/>
      </w:pPr>
      <w:r>
        <w:t>Antikörperpersistenz nach Kinderimpfungen mit maternaler Tdap-Exposition</w:t>
      </w:r>
    </w:p>
    <w:p>
      <w:r>
        <w:rPr>
          <w:i/>
          <w:color w:val="666666"/>
          <w:sz w:val="18"/>
        </w:rPr>
        <w:t>De Weerdt L et al.  ·  Vaccine  ·  13.08.2026  ·  PMID 42430876</w:t>
      </w:r>
    </w:p>
    <w:p>
      <w:r>
        <w:t>Längsschnittstudie an belgischen Kindern (Term und Frühgeborene) zu Antikörperpersistenz nach sechsvalenter DTaP-IPV-HB-PRP-Impfung und Antwort auf Auffrischung im Schulalter; Maternale Tdap-Impfung während Schwangerschaft als Exposition.</w:t>
      </w:r>
    </w:p>
    <w:p>
      <w:r>
        <w:rPr>
          <w:b/>
        </w:rPr>
        <w:t xml:space="preserve">Ergebnis: </w:t>
      </w:r>
      <w:r>
        <w:t>128 Kinder bei 3 Jahren, 106 bei 5 Jahren, 94 mit Schulauffrischung. Antikörperspiegel sanken zwischen Jahr 3 und 5, Schutzraten blieben hoch (außer Anti-HB: sinkend). Nach Auffrischung: 100% Seroschutz für Diphtherie/Tetanus/Polio Typ 1, ≥96% für Polio Typ 2+3, ≥93% Pertussis-Serokonversion. Maternale Tdap-Strategie wird gestützt.</w:t>
      </w:r>
    </w:p>
    <w:p>
      <w:r>
        <w:rPr>
          <w:b/>
          <w:sz w:val="19"/>
        </w:rPr>
        <w:t xml:space="preserve">Übertragbarkeit: </w:t>
      </w:r>
      <w:r>
        <w:rPr>
          <w:sz w:val="19"/>
        </w:rPr>
        <w:t>Belgien, vergleichbares Versicherungssystem; Impfkalender-Struktur ähnlich.</w:t>
      </w:r>
    </w:p>
    <w:p>
      <w:r>
        <w:rPr>
          <w:color w:val="5A7D3A"/>
          <w:sz w:val="18"/>
        </w:rPr>
        <w:t>https://pubmed.ncbi.nlm.nih.gov/42430876/</w:t>
      </w:r>
    </w:p>
    <w:p>
      <w:pPr>
        <w:pStyle w:val="Heading2"/>
      </w:pPr>
      <w:r>
        <w:t>COVID-19-Impfakzeptanz variiert nach Herkunftsregion in Schweden</w:t>
      </w:r>
    </w:p>
    <w:p>
      <w:r>
        <w:rPr>
          <w:i/>
          <w:color w:val="666666"/>
          <w:sz w:val="18"/>
        </w:rPr>
        <w:t>Hassan M et al.  ·  Front Public Health  ·  24.06.2026  ·  PMID 42422674</w:t>
      </w:r>
    </w:p>
    <w:p>
      <w:r>
        <w:t>Querschnittsbefragung in Schweden (n=3.281) zur COVID-19-Impfbereitschaft stratifiziert nach Geburtsregion: Schweden, Westländer, Nicht-Westländer. Sechs Domänen (Vertrauensdomänen, Normen, Erreichbarkeit) gemessen.</w:t>
      </w:r>
    </w:p>
    <w:p>
      <w:r>
        <w:rPr>
          <w:b/>
        </w:rPr>
        <w:t xml:space="preserve">Ergebnis: </w:t>
      </w:r>
      <w:r>
        <w:t>Geimpfte aus Schweden und Westländern hatten 9,5 bzw. 8,9 Punkte höhere Akzeptanzscores als Ungeimpfte; bei Nicht-Westländern nur 2,8 Punkte Unterschied. Bei Schweden/Westländern: ‚Deskriptive Normen' und ‚Vertrauen in Impfstoffe' stärkste Prädiktoren (OR 2,5–3,6). Bei Nicht-Westländern nur ‚Vertrauen' und ‚Nutzen-Risiko' relevant (OR 1,6–1,7).</w:t>
      </w:r>
    </w:p>
    <w:p>
      <w:r>
        <w:rPr>
          <w:b/>
          <w:sz w:val="19"/>
        </w:rPr>
        <w:t xml:space="preserve">Übertragbarkeit: </w:t>
      </w:r>
      <w:r>
        <w:rPr>
          <w:sz w:val="19"/>
        </w:rPr>
        <w:t>Skandinavien, Public-Health-System ähnlich; zeigt Defizit bei Migranten-Outreach.</w:t>
      </w:r>
    </w:p>
    <w:p>
      <w:r>
        <w:rPr>
          <w:color w:val="5A7D3A"/>
          <w:sz w:val="18"/>
        </w:rPr>
        <w:t>https://pubmed.ncbi.nlm.nih.gov/42422674/</w:t>
      </w:r>
    </w:p>
    <w:p>
      <w:pPr>
        <w:pStyle w:val="Heading1"/>
      </w:pPr>
      <w:r>
        <w:t>Aufgenommen am 03.09.2026</w:t>
      </w:r>
    </w:p>
    <w:p>
      <w:pPr>
        <w:pStyle w:val="Heading2"/>
      </w:pPr>
      <w:r>
        <w:t>Grippeimpf-Bewusstsein und -Quote bei Frauen im gebärfähigen Alter in Shanghai</w:t>
      </w:r>
    </w:p>
    <w:p>
      <w:r>
        <w:rPr>
          <w:i/>
          <w:color w:val="666666"/>
          <w:sz w:val="18"/>
        </w:rPr>
        <w:t>Liu P et al.  ·  Hum Vaccin Immunother  ·  16.07.2026  ·  PMID 42684141</w:t>
      </w:r>
    </w:p>
    <w:p>
      <w:r>
        <w:t>Bevölkerungsbasierte Querschnittsstudie zur Impfbereitschaft gegen Influenza bei Frauen im Alter von 15–49 Jahren in Shanghai (Pudong), einschließlich Schwangerenszenarien.</w:t>
      </w:r>
    </w:p>
    <w:p>
      <w:r>
        <w:rPr>
          <w:b/>
        </w:rPr>
        <w:t xml:space="preserve">Ergebnis: </w:t>
      </w:r>
      <w:r>
        <w:t>Wissenswert: 60,61 % zu Influenza, 56,46 % zu Grippeimpfstoff. Gesundheitsberufe hatten höchste Kompetenz. Bei hypothetischer Schwangerschaft: Injektionspräferenz fiel von 41,25 % auf 13,31 %, Nasenspray stieg von 10,60 % auf 23,17 %, Ablehnung von 10,19 % auf 35,58 %. Schwangere bevorzugten Nasenspray (41,67 %). 87,63 % würden Empfehlungen von Frauenärzten folgen.</w:t>
      </w:r>
    </w:p>
    <w:p>
      <w:r>
        <w:rPr>
          <w:b/>
          <w:sz w:val="19"/>
        </w:rPr>
        <w:t xml:space="preserve">Übertragbarkeit: </w:t>
      </w:r>
      <w:r>
        <w:rPr>
          <w:sz w:val="19"/>
        </w:rPr>
        <w:t>China, aber zeigt Muster zur Impfentscheidung in Schwangerschaft anwendbar auf deutsche Kommunikation</w:t>
      </w:r>
    </w:p>
    <w:p>
      <w:r>
        <w:rPr>
          <w:color w:val="5A7D3A"/>
          <w:sz w:val="18"/>
        </w:rPr>
        <w:t>https://pubmed.ncbi.nlm.nih.gov/42684141/</w:t>
      </w:r>
    </w:p>
    <w:p>
      <w:pPr>
        <w:pStyle w:val="Heading2"/>
      </w:pPr>
      <w:r>
        <w:t>Influenza-Impfquoten bei Ärztinnen und Pflegekräften: Deutschland und China im Vergleich</w:t>
      </w:r>
    </w:p>
    <w:p>
      <w:r>
        <w:rPr>
          <w:i/>
          <w:color w:val="666666"/>
          <w:sz w:val="18"/>
        </w:rPr>
        <w:t>Sanftenberg L et al.  ·  BMC Public Health  ·  01.09.2026  ·  PMID 42681616</w:t>
      </w:r>
    </w:p>
    <w:p>
      <w:r>
        <w:t>Vergleichende Querschnittsstudie zu psychologischen und strukturellen Barrieren für die Grippeimpfung bei Gesundheitspersonal in Deutschland (8.351 Arbeitskräfte, 72 Krankenhäuser) und China (689 Arbeitskräfte, 9 Krankenhäuser) 2024–2025.</w:t>
      </w:r>
    </w:p>
    <w:p>
      <w:r>
        <w:rPr>
          <w:b/>
        </w:rPr>
        <w:t xml:space="preserve">Ergebnis: </w:t>
      </w:r>
      <w:r>
        <w:t>Deutsche Ärzte: 80,9 % geimpft, deutsche Pflegekräfte 48,7 %; chinesische Ärzte: 28,8 %, chinesische Pflegekräfte 32,2 %. Vertrauen und Eigenverantwortung waren wichtige Treiber in beiden Ländern. Deutsche Profis nannten individuelle Gründe für Ablehnung, chinesische hingegen Hürden in der Einrichtung (Zeitmangel). Effektive Interventionen: kostenlose Impfung, Bildung, organisatorische Maßnahmen.</w:t>
      </w:r>
    </w:p>
    <w:p>
      <w:r>
        <w:rPr>
          <w:b/>
          <w:sz w:val="19"/>
        </w:rPr>
        <w:t xml:space="preserve">Übertragbarkeit: </w:t>
      </w:r>
      <w:r>
        <w:rPr>
          <w:sz w:val="19"/>
        </w:rPr>
        <w:t>Deutsche Klinikdaten, vergleichbares Versicherungssystem und Gesundheitsberuferegeln</w:t>
      </w:r>
    </w:p>
    <w:p>
      <w:r>
        <w:rPr>
          <w:color w:val="5A7D3A"/>
          <w:sz w:val="18"/>
        </w:rPr>
        <w:t>https://pubmed.ncbi.nlm.nih.gov/42681616/</w:t>
      </w:r>
    </w:p>
    <w:p>
      <w:pPr>
        <w:pStyle w:val="Heading2"/>
      </w:pPr>
      <w:r>
        <w:t>COVID-19-Impfung bei fortgeschrittenem Lungenkarzinom und Immuntherapie: Real-World-Daten aus Rumänien</w:t>
      </w:r>
    </w:p>
    <w:p>
      <w:r>
        <w:rPr>
          <w:i/>
          <w:color w:val="666666"/>
          <w:sz w:val="18"/>
        </w:rPr>
        <w:t>Gheorghiță V et al.  ·  Medicina (Kaunas)  ·  18.08.2026  ·  PMID 42654486</w:t>
      </w:r>
    </w:p>
    <w:p>
      <w:r>
        <w:t>Retrospektive Kohortenstudie an 139 Patienten mit Stadium-IV-Nicht-Kleinzellkarzinom, die Immun-Checkpoint-Inhibitoren erhielten, stratifiziert nach COVID-19-Impfstatus (0–1 vs. ≥2 Dosen).</w:t>
      </w:r>
    </w:p>
    <w:p>
      <w:r>
        <w:rPr>
          <w:b/>
        </w:rPr>
        <w:t xml:space="preserve">Ergebnis: </w:t>
      </w:r>
      <w:r>
        <w:t>Geimpfte Patienten: längeres progressionsfreies Überleben (13,0 vs. 11,0 Monate) und Gesamtüberleben (29,0 vs. 24,0 Monate; beide p&lt;0,001). Nach Multivariablenkalibrierung abgeschwächt, aber Grenzwertbereich (OS HR=0,83; PFS HR=0,79). ≥2 Dosen assoziiert mit besseren Ergebnissen (PFS 14,0 vs. 12,0 Monate, OS 30,0 vs. 24,0 Monate). Höhere Odds für Grad-1/2-Toxizität mit ≥2 Dosen (OR=2,47, p=0,037), aber keine Grade-4/5-Ereignisse.</w:t>
      </w:r>
    </w:p>
    <w:p>
      <w:r>
        <w:rPr>
          <w:b/>
          <w:sz w:val="19"/>
        </w:rPr>
        <w:t xml:space="preserve">Übertragbarkeit: </w:t>
      </w:r>
      <w:r>
        <w:rPr>
          <w:sz w:val="19"/>
        </w:rPr>
        <w:t>Rumänien, aber Sicherheit in vulnerabler Patientengruppe mit Immuntherapie untersucht</w:t>
      </w:r>
    </w:p>
    <w:p>
      <w:r>
        <w:rPr>
          <w:color w:val="5A7D3A"/>
          <w:sz w:val="18"/>
        </w:rPr>
        <w:t>https://pubmed.ncbi.nlm.nih.gov/42654486/</w:t>
      </w:r>
    </w:p>
    <w:p>
      <w:pPr>
        <w:pStyle w:val="Heading2"/>
      </w:pPr>
      <w:r>
        <w:t>Jennerian-Vakzination in Europa (1799–1810): Transnational verbreitete Arznei und Wissen</w:t>
      </w:r>
    </w:p>
    <w:p>
      <w:r>
        <w:rPr>
          <w:i/>
          <w:color w:val="666666"/>
          <w:sz w:val="18"/>
        </w:rPr>
        <w:t>Tuells J  ·  Vaccine  ·  17.09.2026  ·  PMID 42600246</w:t>
      </w:r>
    </w:p>
    <w:p>
      <w:r>
        <w:t>Historische Studie zur frühen Verbreitung der Kuhpockenvakzination in Europa durch ein Netzwerk von Ärzten, anhand von Korrespondenz und Materialflüssen zwischen London, Wien und Genf.</w:t>
      </w:r>
    </w:p>
    <w:p>
      <w:r>
        <w:rPr>
          <w:b/>
        </w:rPr>
        <w:t xml:space="preserve">Ergebnis: </w:t>
      </w:r>
      <w:r>
        <w:t>Jean de Carro, ein Genfer Arzt in Wien, fungierte als Vermittler für die Verbreitung von Vakzinationswissen und Impfstoff-Lymphe. Das Netzwerk ermöglichte die rasche Ausbreitung von 1799 bis 1810 in Richtung Ottomanisches Reich und Indien. Vakzination verbreitete sich nicht allein durch staatliche Kampagnen, sondern durch transnationale ärztliche Netzwerke.</w:t>
      </w:r>
    </w:p>
    <w:p>
      <w:r>
        <w:rPr>
          <w:b/>
          <w:sz w:val="19"/>
        </w:rPr>
        <w:t xml:space="preserve">Übertragbarkeit: </w:t>
      </w:r>
      <w:r>
        <w:rPr>
          <w:sz w:val="19"/>
        </w:rPr>
        <w:t>Historische Perspektive auf Vakzinationsverbreitung durch Netzwerke und persönliche Verbindungen</w:t>
      </w:r>
    </w:p>
    <w:p>
      <w:r>
        <w:rPr>
          <w:color w:val="5A7D3A"/>
          <w:sz w:val="18"/>
        </w:rPr>
        <w:t>https://pubmed.ncbi.nlm.nih.gov/42600246/</w:t>
      </w:r>
    </w:p>
    <w:p>
      <w:pPr>
        <w:pStyle w:val="Heading2"/>
      </w:pPr>
      <w:r>
        <w:t>Mütterliche Sechsfach-Streptococcus-B-Impfung: Phase-1/2-Studie bei nicht-schwangeren und schwangeren Frauen</w:t>
      </w:r>
    </w:p>
    <w:p>
      <w:r>
        <w:rPr>
          <w:i/>
          <w:color w:val="666666"/>
          <w:sz w:val="18"/>
        </w:rPr>
        <w:t>Madhi SA et al.  ·  Nat Med  ·  28.07.2026  ·  PMID 42521820</w:t>
      </w:r>
    </w:p>
    <w:p>
      <w:r>
        <w:t>Randomisierte Phase-1/2-Studie zur Sicherheit, Verträglichkeit und Immunogenität einer hexavalenten Polysaccharid-Protein-Konjugat-GBS-Vakzine (GBS6) in nicht-schwangeren Frauen und schwangeren Frauen sowie deren Neugeborenen.</w:t>
      </w:r>
    </w:p>
    <w:p>
      <w:r>
        <w:rPr>
          <w:b/>
        </w:rPr>
        <w:t xml:space="preserve">Ergebnis: </w:t>
      </w:r>
      <w:r>
        <w:t>Stadium 1 (n=66 nicht-schwanger): GBS6, GBS6+AlPO4 oder Placebo. Subgruppe erhielt Booster ~2 Jahre später. Stadium 3 (n=216 schwanger, 209 Neugeborene): GBS6 oder Placebo (Woche 24–36 Schwangerschaft). Fast alle Reaktogenizität-Ereignisse mild oder moderat. SAE/MAE ähnlich zwischen GBS6 und Placebo bei Müttern und Neugeborenen. GBS6 induzierte robuste Immunantworten; serotyp-spezifische Antikörper in Neugeborenen, deren Mütter GBS6 erhielten. Zwei neonatale Sepsis-Todesfälle (je einer in GBS6 und Placebo), keiner als vakzine-bedingt bewertet.</w:t>
      </w:r>
    </w:p>
    <w:p>
      <w:r>
        <w:rPr>
          <w:b/>
          <w:sz w:val="19"/>
        </w:rPr>
        <w:t xml:space="preserve">Übertragbarkeit: </w:t>
      </w:r>
      <w:r>
        <w:rPr>
          <w:sz w:val="19"/>
        </w:rPr>
        <w:t>Südafrika, USA, UK – erste klinische Daten zu maternaler GBS-Vakzination für neonatalen Schutz</w:t>
      </w:r>
    </w:p>
    <w:p>
      <w:r>
        <w:rPr>
          <w:color w:val="5A7D3A"/>
          <w:sz w:val="18"/>
        </w:rPr>
        <w:t>https://pubmed.ncbi.nlm.nih.gov/42521820/</w:t>
      </w:r>
    </w:p>
    <w:p>
      <w:pPr>
        <w:pStyle w:val="Heading2"/>
      </w:pPr>
      <w:r>
        <w:t>Hochdosis-Grippeimpfstoff in Spanien: Einführung, Anwendung und Evidenz</w:t>
      </w:r>
    </w:p>
    <w:p>
      <w:r>
        <w:rPr>
          <w:i/>
          <w:color w:val="666666"/>
          <w:sz w:val="18"/>
        </w:rPr>
        <w:t>Sanz-Muñoz I et al.  ·  Front Immunol  ·  30.06.2026  ·  PMID 42454050</w:t>
      </w:r>
    </w:p>
    <w:p>
      <w:r>
        <w:t>Narrative Synthese der klinischen Evidenz und Analyse von Vakzinierungsstrategien in spanischen autonomen Gemeinschaften seit Einführung von Hochdosis-Grippeimpfstoffen während der COVID-19-Pandemie.</w:t>
      </w:r>
    </w:p>
    <w:p>
      <w:r>
        <w:rPr>
          <w:b/>
        </w:rPr>
        <w:t xml:space="preserve">Ergebnis: </w:t>
      </w:r>
      <w:r>
        <w:t>Hochdosis-Grippeimpfstoffe zeigen überlegene Effektivität gegen schwere Influenza, Lungenentzündung und Mortalität bei Erwachsenen ≥60 Jahren in randomisierten Studien und Real-World-Daten. Heterogene regionale Aufnahme: manche Regionen priorisierten Institutionalisierte, andere erweiterten auf Community-Bewohner ≥60 Jahre. Trend zu breiter Adoption und Senkung des Altersgrenzwerts.</w:t>
      </w:r>
    </w:p>
    <w:p>
      <w:r>
        <w:rPr>
          <w:b/>
          <w:sz w:val="19"/>
        </w:rPr>
        <w:t xml:space="preserve">Übertragbarkeit: </w:t>
      </w:r>
      <w:r>
        <w:rPr>
          <w:sz w:val="19"/>
        </w:rPr>
        <w:t>Spanien, vergleichbare Gesundheitssysteme in Europa und Altersstruktur-Problematik</w:t>
      </w:r>
    </w:p>
    <w:p>
      <w:r>
        <w:rPr>
          <w:color w:val="5A7D3A"/>
          <w:sz w:val="18"/>
        </w:rPr>
        <w:t>https://pubmed.ncbi.nlm.nih.gov/42454050/</w:t>
      </w:r>
    </w:p>
    <w:p>
      <w:pPr>
        <w:pStyle w:val="Heading1"/>
      </w:pPr>
      <w:r>
        <w:t>Aufgenommen am 02.09.2026</w:t>
      </w:r>
    </w:p>
    <w:p>
      <w:pPr>
        <w:pStyle w:val="Heading2"/>
      </w:pPr>
      <w:r>
        <w:t>Grippeimpfstoff-Wirksamkeit gegen mild und schwer verlaufende Infektionen in Portugal</w:t>
      </w:r>
    </w:p>
    <w:p>
      <w:r>
        <w:rPr>
          <w:i/>
          <w:color w:val="666666"/>
          <w:sz w:val="18"/>
        </w:rPr>
        <w:t>Mourao F et al.  ·  Influenza Other Respir Viruses  ·  Sept. 2026  ·  PMID 42675936</w:t>
      </w:r>
    </w:p>
    <w:p>
      <w:r>
        <w:t>Testvergleichsstudie an 3.393 PCR-getesteten Patienten in Portugal (2015/16–2023/24) zur Grippeimpfstoff-Effektivität (IVE) gegen leichte und schwere Erkrankung.</w:t>
      </w:r>
    </w:p>
    <w:p>
      <w:r>
        <w:rPr>
          <w:b/>
        </w:rPr>
        <w:t xml:space="preserve">Ergebnis: </w:t>
      </w:r>
      <w:r>
        <w:t>IVE betrug 40,4 % (KI 22,7–54,0) bei ambulanten Patienten und 38,7 % (KI 17,6–54,5) bei hospitalisierten Fällen; Unterschied von 1,7 % war statistisch nicht signifikant (KI −22,0; 26,8). Keine relevanten Unterschiede in Subgruppen (≥65 Jahre, Komorbiditäten, Influenza-A-Subtypen). Impfstoff schützt über Versorgungssettings hinweg ähnlich gut.</w:t>
      </w:r>
    </w:p>
    <w:p>
      <w:r>
        <w:rPr>
          <w:b/>
          <w:sz w:val="19"/>
        </w:rPr>
        <w:t xml:space="preserve">Übertragbarkeit: </w:t>
      </w:r>
      <w:r>
        <w:rPr>
          <w:sz w:val="19"/>
        </w:rPr>
        <w:t>Portugal, EU-Nachbarland, Gesundheitssystem vergleichbar mit Deutschland</w:t>
      </w:r>
    </w:p>
    <w:p>
      <w:r>
        <w:rPr>
          <w:color w:val="5A7D3A"/>
          <w:sz w:val="18"/>
        </w:rPr>
        <w:t>https://pubmed.ncbi.nlm.nih.gov/42675936/</w:t>
      </w:r>
    </w:p>
    <w:p>
      <w:pPr>
        <w:pStyle w:val="Heading2"/>
      </w:pPr>
      <w:r>
        <w:t>HPV-Impfprogramme weltweit: Schulgebundenes Impfen erzielte höchste Quoten</w:t>
      </w:r>
    </w:p>
    <w:p>
      <w:r>
        <w:rPr>
          <w:i/>
          <w:color w:val="666666"/>
          <w:sz w:val="18"/>
        </w:rPr>
        <w:t>Kyei GK et al.  ·  J Nurs Scholarsh  ·  Sept. 2026  ·  PMID 42670010</w:t>
      </w:r>
    </w:p>
    <w:p>
      <w:r>
        <w:t>Qualitative Vergleichsanalyse von HPV-Impfrichtlinien in acht Ländern (Australien, Brasilien, Japan, Nigeria, Ruanda, Schweden, Großbritannien, USA) zur Identifikation von Einflussfaktoren auf Impfquoten.</w:t>
      </w:r>
    </w:p>
    <w:p>
      <w:r>
        <w:rPr>
          <w:b/>
        </w:rPr>
        <w:t xml:space="preserve">Ergebnis: </w:t>
      </w:r>
      <w:r>
        <w:t>Fünf Programmarchetypen identifiziert. Schulgebundene universelle Programme mit Pflegekräfte-Unterstützung erzielten höchste und gerechteste Abdeckung. Ruanda erreichte trotz Mädchen-fokussiertem, Donor-finanziertem Modell 98 % (Governance und Vertrauen überwogen Programmdesign). Transition zu Ein-Dosis-Impfung erfordert landesspezifische Anpassung.</w:t>
      </w:r>
    </w:p>
    <w:p>
      <w:r>
        <w:rPr>
          <w:b/>
          <w:sz w:val="19"/>
        </w:rPr>
        <w:t xml:space="preserve">Übertragbarkeit: </w:t>
      </w:r>
      <w:r>
        <w:rPr>
          <w:sz w:val="19"/>
        </w:rPr>
        <w:t>Programm-Vergleich, Strukturmerkmale übertragbar, insbesondere schulbasierte Systeme</w:t>
      </w:r>
    </w:p>
    <w:p>
      <w:r>
        <w:rPr>
          <w:color w:val="5A7D3A"/>
          <w:sz w:val="18"/>
        </w:rPr>
        <w:t>https://pubmed.ncbi.nlm.nih.gov/42670010/</w:t>
      </w:r>
    </w:p>
    <w:p>
      <w:pPr>
        <w:pStyle w:val="Heading2"/>
      </w:pPr>
      <w:r>
        <w:t>ChAdOx1 nCoV-19: Langzeitsicherheit bei 4.470 Probanden über 11,77 Monate</w:t>
      </w:r>
    </w:p>
    <w:p>
      <w:r>
        <w:rPr>
          <w:i/>
          <w:color w:val="666666"/>
          <w:sz w:val="18"/>
        </w:rPr>
        <w:t>Ebrahimi N et al.  ·  Vaccine  ·  13.08.2026  ·  PMID 42472497</w:t>
      </w:r>
    </w:p>
    <w:p>
      <w:r>
        <w:t>Prospektive Kohortenstudie von Probanden aus ChAdOx1-nCoV-19-Originalstudien mit follow-up September 2021–April 2022, Erfassung schwerwiegender unerwünschter Ereignisse (SAE) und Ereignisse von besonderem Interesse (AESI) nach Brighton-Collaboration-Definitionen.</w:t>
      </w:r>
    </w:p>
    <w:p>
      <w:r>
        <w:rPr>
          <w:b/>
        </w:rPr>
        <w:t xml:space="preserve">Ergebnis: </w:t>
      </w:r>
      <w:r>
        <w:t>4.470 Teilnehmer, 3.845 (86,0 %) Studienabschluss. Mediane Nachbeobachtung 11,77 Monate, 48.116 Personenmonate Gesamtnachbeobachtung. 174 SAE und 71 AESI (33 als beide registriert) bei 195 Teilnehmern, darunter 5 Todesfälle. Gesamtimmunglobulin-IgG gegen trimeres SARS-CoV-2-Spike-Protein zeigte Anstiegstendenz während Studie. Keine emergenten Sicherheitssignale; kontinuierliche Pharmakovigilanz bleibt essentiell, besonders für neurologische Störungen.</w:t>
      </w:r>
    </w:p>
    <w:p>
      <w:r>
        <w:rPr>
          <w:b/>
          <w:sz w:val="19"/>
        </w:rPr>
        <w:t xml:space="preserve">Übertragbarkeit: </w:t>
      </w:r>
      <w:r>
        <w:rPr>
          <w:sz w:val="19"/>
        </w:rPr>
        <w:t>Großbritannien, Oxford-Studie, NHS-basierte Kohortenverfolgung, vergleichbar mit deutschen Versorgungsdaten</w:t>
      </w:r>
    </w:p>
    <w:p>
      <w:r>
        <w:rPr>
          <w:color w:val="5A7D3A"/>
          <w:sz w:val="18"/>
        </w:rPr>
        <w:t>https://pubmed.ncbi.nlm.nih.gov/42472497/</w:t>
      </w:r>
    </w:p>
    <w:p>
      <w:pPr>
        <w:pStyle w:val="Heading2"/>
      </w:pPr>
      <w:r>
        <w:t>Hochdosis-Grippeimpfung für Senioren in Skandinavien: Kostenwirksamkeit und Nutzen</w:t>
      </w:r>
    </w:p>
    <w:p>
      <w:r>
        <w:rPr>
          <w:i/>
          <w:color w:val="666666"/>
          <w:sz w:val="18"/>
        </w:rPr>
        <w:t>Grootendorst A et al.  ·  Vaccine  ·  13.08.2026  ·  PMID 42468224</w:t>
      </w:r>
    </w:p>
    <w:p>
      <w:r>
        <w:t>Modellrechnung (Entscheidungsbaum-Influenza-Modell) für vier nordische Länder zum Vergleich nationaler Impfpolitik mit ausgeweitertem Hochdosis-Grippeimpfstoff-Programm für Erwachsene ≥65 Jahre.</w:t>
      </w:r>
    </w:p>
    <w:p>
      <w:r>
        <w:rPr>
          <w:b/>
        </w:rPr>
        <w:t xml:space="preserve">Ergebnis: </w:t>
      </w:r>
      <w:r>
        <w:t>Ausweitung auf alle ≥65-Jährigen würde in Schweden 13.929, Finnland 6.411, Norwegen 5.951 und Dänemark 2.438 symptomatische Fälle verhindern; entsprechend 1.615, 804, 762 bzw. 407 gewonnene Lebensjahre. Hospitalisierungen reduziert um 786, 362, 336 bzw. 138; Zusatzkosten €7,7 Mio (Schweden), €2,5 Mio (Finnland), €4,4 Mio (Norwegen), €2,4 Mio (Dänemark) – vertretbar im Verhältnis zur Gesamtausgaben.</w:t>
      </w:r>
    </w:p>
    <w:p>
      <w:r>
        <w:rPr>
          <w:b/>
          <w:sz w:val="19"/>
        </w:rPr>
        <w:t xml:space="preserve">Übertragbarkeit: </w:t>
      </w:r>
      <w:r>
        <w:rPr>
          <w:sz w:val="19"/>
        </w:rPr>
        <w:t>Skandinavien, Sozialversicherungssysteme vergleichbar mit Deutschland</w:t>
      </w:r>
    </w:p>
    <w:p>
      <w:r>
        <w:rPr>
          <w:color w:val="5A7D3A"/>
          <w:sz w:val="18"/>
        </w:rPr>
        <w:t>https://pubmed.ncbi.nlm.nih.gov/42468224/</w:t>
      </w:r>
    </w:p>
    <w:p>
      <w:pPr>
        <w:pStyle w:val="Heading2"/>
      </w:pPr>
      <w:r>
        <w:t>Bereitschaft zur Cholera-Impfung in sechs afrikanischen Ländern: Psychologische Faktoren und Krankheitsrisiko</w:t>
      </w:r>
    </w:p>
    <w:p>
      <w:r>
        <w:rPr>
          <w:i/>
          <w:color w:val="666666"/>
          <w:sz w:val="18"/>
        </w:rPr>
        <w:t>Geiger M et al.  ·  Vaccine  ·  13.08.2026  ·  PMID 42462676</w:t>
      </w:r>
    </w:p>
    <w:p>
      <w:r>
        <w:t>Querschnittsbefragung von 14.132 englischsprachigen Teilnehmern in Ghana, Kenia, Nigeria, Südafrika, Tansania und Uganda zur Impfbereitschaft gegen Cholera anhand des 7C-Modells (Vertrauen, Unachtsamkeit, Zwänge, Berechnung, kollektive Verantwortung, Einhaltung, Verschwörungsdenken).</w:t>
      </w:r>
    </w:p>
    <w:p>
      <w:r>
        <w:rPr>
          <w:b/>
        </w:rPr>
        <w:t xml:space="preserve">Ergebnis: </w:t>
      </w:r>
      <w:r>
        <w:t>Impfbereitschaft korrelierte stark mit selbstberichteter Cholera-Impfstatus (d = 0,32) und allgemeinem Impfstatus (r = 0,35). Persönliche Cholera-Erfahrung assoziiert mit höherer Bereitschaft (d = 0,14). Auf Länderebene: Durchschnittliche Bereitschaft korrelierte stark mit Cholera-Inzidenz letzte drei Jahre (ρ = 0,89) – höhere Bereitschaft in Ländern mit höherer Krankheitslast.</w:t>
      </w:r>
    </w:p>
    <w:p>
      <w:r>
        <w:rPr>
          <w:b/>
          <w:sz w:val="19"/>
        </w:rPr>
        <w:t xml:space="preserve">Übertragbarkeit: </w:t>
      </w:r>
      <w:r>
        <w:rPr>
          <w:sz w:val="19"/>
        </w:rPr>
        <w:t>Afrika, methodologische Erkenntnis zu Vaccine Hesitancy-Messung in Ländern mit niedrigem Impfniveau</w:t>
      </w:r>
    </w:p>
    <w:p>
      <w:r>
        <w:rPr>
          <w:color w:val="5A7D3A"/>
          <w:sz w:val="18"/>
        </w:rPr>
        <w:t>https://pubmed.ncbi.nlm.nih.gov/42462676/</w:t>
      </w:r>
    </w:p>
    <w:p>
      <w:pPr>
        <w:pStyle w:val="Heading2"/>
      </w:pPr>
      <w:r>
        <w:t>SARS-CoV-2-Impfung bei Stammzell-Transplantierten: Antikörperantwort vergleichbar mit Gesunden</w:t>
      </w:r>
    </w:p>
    <w:p>
      <w:r>
        <w:rPr>
          <w:i/>
          <w:color w:val="666666"/>
          <w:sz w:val="18"/>
        </w:rPr>
        <w:t>Maier CP et al.  ·  Front Immunol  ·  01.07.2026  ·  PMID 42459652</w:t>
      </w:r>
    </w:p>
    <w:p>
      <w:r>
        <w:t>Längsschnitt-Studie an 354 allogenen Stammzell-Transplantierten und 647 gesunden Kontrollen zu IgG-, IgM-, IgA-Antikörper-Kinetik gegen SARS-CoV-2-Antigene nach mRNA-, Vektor- und Protein-Impfstoff-Dosen.</w:t>
      </w:r>
    </w:p>
    <w:p>
      <w:r>
        <w:rPr>
          <w:b/>
        </w:rPr>
        <w:t xml:space="preserve">Ergebnis: </w:t>
      </w:r>
      <w:r>
        <w:t>Anti-Spike-IgG-Serokonversion: nach 1. Dosis 27 % (Patienten) vs. 28 % (Kontrollen), nach 2. Dosis 65 % vs. 59 %, nach 3. Dosis 93 % vs. 98 %. Nach drei Dosen keine signifikanten Unterschiede mehr zwischen Gruppen. IgM/IgA selten. Negative Prädiktoren nach 1. Dosis (Diagnose, kürzeres Intervall, niedrige Lymphozyten), nach 3. Dosis keine. Antikörperspiegel ≥6 Monate stabil. Durchbruchinfektionen mild.</w:t>
      </w:r>
    </w:p>
    <w:p>
      <w:r>
        <w:rPr>
          <w:b/>
          <w:sz w:val="19"/>
        </w:rPr>
        <w:t xml:space="preserve">Übertragbarkeit: </w:t>
      </w:r>
      <w:r>
        <w:rPr>
          <w:sz w:val="19"/>
        </w:rPr>
        <w:t>Deutschland, deutschsprachige Autoren (Tübingen), Transplantationszentren vergleichbar</w:t>
      </w:r>
    </w:p>
    <w:p>
      <w:r>
        <w:rPr>
          <w:color w:val="5A7D3A"/>
          <w:sz w:val="18"/>
        </w:rPr>
        <w:t>https://pubmed.ncbi.nlm.nih.gov/42459652/</w:t>
      </w:r>
    </w:p>
    <w:p>
      <w:pPr>
        <w:pStyle w:val="Heading1"/>
      </w:pPr>
      <w:r>
        <w:t>Aufgenommen am 01.09.2026</w:t>
      </w:r>
    </w:p>
    <w:p>
      <w:pPr>
        <w:pStyle w:val="Heading2"/>
      </w:pPr>
      <w:r>
        <w:t>Neue mRNA-Impfstoffe gegen COVID-19 in Phase 2: Sicherheit und Immunogenität</w:t>
      </w:r>
    </w:p>
    <w:p>
      <w:r>
        <w:rPr>
          <w:i/>
          <w:color w:val="666666"/>
          <w:sz w:val="18"/>
        </w:rPr>
        <w:t>Wong R et al.  ·  Hum Vaccin Immunother  ·  26.08.2026  ·  PMID 42647564</w:t>
      </w:r>
    </w:p>
    <w:p>
      <w:r>
        <w:t>Phase-2-Studie mit 425 vorgeimpften Erwachsenen in Australien: Vergleich experimenteller bivalenter und monovalenter mRNA-Impfstoffe mit lizenziertem Wuhan/BA.4-5-Impfstoff.</w:t>
      </w:r>
    </w:p>
    <w:p>
      <w:r>
        <w:rPr>
          <w:b/>
        </w:rPr>
        <w:t xml:space="preserve">Ergebnis: </w:t>
      </w:r>
      <w:r>
        <w:t>Überwiegend milde bis moderate Lokalreaktionen. Keine impfstoffbedingten schwerwiegenden Nebenwirkungen oder Myokarditis/Perikarditis. CV0701-Impfstoff (bivalent) zeigte dosisabhängige Neutralisationsantikörper-Anstiege gegen ancestrales D614G und Omicron BA.4-5. CD4+- und CD8+-T-Zell-Antworten in allen Gruppen außer niedrigster CV0701-Dosis.</w:t>
      </w:r>
    </w:p>
    <w:p>
      <w:r>
        <w:rPr>
          <w:b/>
          <w:sz w:val="19"/>
        </w:rPr>
        <w:t xml:space="preserve">Übertragbarkeit: </w:t>
      </w:r>
      <w:r>
        <w:rPr>
          <w:sz w:val="19"/>
        </w:rPr>
        <w:t>Australisches Studienzentrum, Phase 2; Sicherheitsprofil übertragbar, Immunogenität Laborbiomarker.</w:t>
      </w:r>
    </w:p>
    <w:p>
      <w:r>
        <w:rPr>
          <w:color w:val="5A7D3A"/>
          <w:sz w:val="18"/>
        </w:rPr>
        <w:t>https://pubmed.ncbi.nlm.nih.gov/42647564/</w:t>
      </w:r>
    </w:p>
    <w:p>
      <w:pPr>
        <w:pStyle w:val="Heading2"/>
      </w:pPr>
      <w:r>
        <w:t>Pertussis-Impfschutz in Schweden durch Durchbruchinfektionen gefährdet</w:t>
      </w:r>
    </w:p>
    <w:p>
      <w:r>
        <w:rPr>
          <w:i/>
          <w:color w:val="666666"/>
          <w:sz w:val="18"/>
        </w:rPr>
        <w:t>Brett TS et al.  ·  PLoS Comput Biol  ·  04.08.2026  ·  PMID 42550879</w:t>
      </w:r>
    </w:p>
    <w:p>
      <w:r>
        <w:t>Mathematisches Modell der Pertussis-Dynamik in Schweden mit empirischen Meldedaten: Kombination aus leaky DTaP-Immunität, Impfstoffschutz-Abnahme und erhöhter Datenerfassung seit 2014.</w:t>
      </w:r>
    </w:p>
    <w:p>
      <w:r>
        <w:rPr>
          <w:b/>
        </w:rPr>
        <w:t xml:space="preserve">Ergebnis: </w:t>
      </w:r>
      <w:r>
        <w:t>Die DTaP-Impfung verhindert etwa 50% der Infektionen bei ungeimpften Neugeborenen (indirekter Schutz). Pertussis-Elimination ist mit azellulärem Impfstoff nicht möglich wegen Impfstoff-Durchlässigkeit und Immunitätsverlust. Der Anstieg der Fallmeldungen ab 2014 wird nicht allein durch echte Infektionszunahme erklärt, sondern auch durch verbesserte Labortestung.</w:t>
      </w:r>
    </w:p>
    <w:p>
      <w:r>
        <w:rPr>
          <w:b/>
          <w:sz w:val="19"/>
        </w:rPr>
        <w:t xml:space="preserve">Übertragbarkeit: </w:t>
      </w:r>
      <w:r>
        <w:rPr>
          <w:sz w:val="19"/>
        </w:rPr>
        <w:t>Schweden mit detailliertem Surveillance-System; Befund auf Deutschland übertragbar.</w:t>
      </w:r>
    </w:p>
    <w:p>
      <w:r>
        <w:rPr>
          <w:color w:val="5A7D3A"/>
          <w:sz w:val="18"/>
        </w:rPr>
        <w:t>https://pubmed.ncbi.nlm.nih.gov/42550879/</w:t>
      </w:r>
    </w:p>
    <w:p>
      <w:pPr>
        <w:pStyle w:val="Heading2"/>
      </w:pPr>
      <w:r>
        <w:t>Zoster-Impfstoff während Krebstherapie: Umsetzbarkeit und Sicherheit</w:t>
      </w:r>
    </w:p>
    <w:p>
      <w:r>
        <w:rPr>
          <w:i/>
          <w:color w:val="666666"/>
          <w:sz w:val="18"/>
        </w:rPr>
        <w:t>Ciappina G et al.  ·  Hum Vaccin Immunother  ·  30.07.2026  ·  PMID 42529910</w:t>
      </w:r>
    </w:p>
    <w:p>
      <w:r>
        <w:t>Retrospektive Kohorte von 42 Krebspatienten unter systemischer Therapie, denen rekombinanter Zoster-Impfstoff (RZV) angeboten wurde; zwei Dosen im Standard-Abstand.</w:t>
      </w:r>
    </w:p>
    <w:p>
      <w:r>
        <w:rPr>
          <w:b/>
        </w:rPr>
        <w:t xml:space="preserve">Ergebnis: </w:t>
      </w:r>
      <w:r>
        <w:t>37 von 42 (88,1%) vollendeten beide Dosen. Verträglichkeit günstig: Injektionsstellen-Schmerz am häufigsten, Systembeschwerden mild und vorübergehend. Keine schweren impfbezogenen Ereignisse, keine Behandlungsverzögerungen. Nach Median 11,5 Monaten kein dokumentiertes Herpes zoster (aber kleine Fallzahl).</w:t>
      </w:r>
    </w:p>
    <w:p>
      <w:r>
        <w:rPr>
          <w:b/>
          <w:sz w:val="19"/>
        </w:rPr>
        <w:t xml:space="preserve">Übertragbarkeit: </w:t>
      </w:r>
      <w:r>
        <w:rPr>
          <w:sz w:val="19"/>
        </w:rPr>
        <w:t>Einzelnes italienisches Zentrum; Machbarkeitsbefund für Impfen unter Immunsuppression relevant.</w:t>
      </w:r>
    </w:p>
    <w:p>
      <w:r>
        <w:rPr>
          <w:color w:val="5A7D3A"/>
          <w:sz w:val="18"/>
        </w:rPr>
        <w:t>https://pubmed.ncbi.nlm.nih.gov/42529910/</w:t>
      </w:r>
    </w:p>
    <w:p>
      <w:pPr>
        <w:pStyle w:val="Heading2"/>
      </w:pPr>
      <w:r>
        <w:t>HPV-Impfbereitschaft bei ländlichen Eltern: Barrieren und Anreize in Äthiopien</w:t>
      </w:r>
    </w:p>
    <w:p>
      <w:r>
        <w:rPr>
          <w:i/>
          <w:color w:val="666666"/>
          <w:sz w:val="18"/>
        </w:rPr>
        <w:t>Zenebe S et al.  ·  PLoS One  ·  22.07.2026  ·  PMID 42485289</w:t>
      </w:r>
    </w:p>
    <w:p>
      <w:r>
        <w:t>Qualitative Studie zu Faktoren der HPV-Impf-Akzeptanz bei Eltern von Mädchen im ländlichen Südäthiopien mittels Fokusgruppen und Einzelinterviews.</w:t>
      </w:r>
    </w:p>
    <w:p>
      <w:r>
        <w:rPr>
          <w:b/>
        </w:rPr>
        <w:t xml:space="preserve">Ergebnis: </w:t>
      </w:r>
      <w:r>
        <w:t>Befürworter: Krebsprävention, elterliche Verantwortung, Vertrauen in Fachkräfte-Empfehlungen. Barrieren: Mangelndes Wissen, fehlende zuverlässige Informationsquellen, Impfskepsis, Angst vor Nebenwirkungen, kulturelle und religiöse Faktoren. Hauptempfehlung: Behörden und Institutionen müssen zusammen gegen erkannte Barrieren vorgehen.</w:t>
      </w:r>
    </w:p>
    <w:p>
      <w:r>
        <w:rPr>
          <w:b/>
          <w:sz w:val="19"/>
        </w:rPr>
        <w:t xml:space="preserve">Übertragbarkeit: </w:t>
      </w:r>
      <w:r>
        <w:rPr>
          <w:sz w:val="19"/>
        </w:rPr>
        <w:t>Äthiopien-Setting; Befunde zu Vertrauensfaktoren und Wissensdefiziten weltweit relevant.</w:t>
      </w:r>
    </w:p>
    <w:p>
      <w:r>
        <w:rPr>
          <w:color w:val="5A7D3A"/>
          <w:sz w:val="18"/>
        </w:rPr>
        <w:t>https://pubmed.ncbi.nlm.nih.gov/42485289/</w:t>
      </w:r>
    </w:p>
    <w:p>
      <w:pPr>
        <w:pStyle w:val="Heading2"/>
      </w:pPr>
      <w:r>
        <w:t>CAR-T-Zelltherapie für Autoimmunerkrankungen: Stand und Perspektiven</w:t>
      </w:r>
    </w:p>
    <w:p>
      <w:r>
        <w:rPr>
          <w:i/>
          <w:color w:val="666666"/>
          <w:sz w:val="18"/>
        </w:rPr>
        <w:t>Bachl J et al.  ·  PLoS Med  ·  20.07.2026  ·  PMID 42475287</w:t>
      </w:r>
    </w:p>
    <w:p>
      <w:r>
        <w:t>Überblickartikel zu CAR-T-Zellen (chimäre Antigen-Rezeptoren) in der Behandlung von Autoimmunerkrankungen: bisherige Erfolge und offene Fragen.</w:t>
      </w:r>
    </w:p>
    <w:p>
      <w:r>
        <w:rPr>
          <w:b/>
        </w:rPr>
        <w:t xml:space="preserve">Ergebnis: </w:t>
      </w:r>
      <w:r>
        <w:t>CAR-T-Therapien haben Potenzial, dysfunktionale Immunsysteme zurückzusetzen. Neueste technologische Entwicklungen ermöglichen Hoffnung für Patienten mit therapierefraktären Autoimmunerkrankungen. Zahlreiche Herausforderungen bleiben, insgesamt wird die transformative Wirkung dieser Zelltherapien für künftige Patienten angedeutet.</w:t>
      </w:r>
    </w:p>
    <w:p>
      <w:r>
        <w:rPr>
          <w:b/>
          <w:sz w:val="19"/>
        </w:rPr>
        <w:t xml:space="preserve">Übertragbarkeit: </w:t>
      </w:r>
      <w:r>
        <w:rPr>
          <w:sz w:val="19"/>
        </w:rPr>
        <w:t>Überblick ohne primäre Daten; nicht primär impfpräventiv, sondern therapeutisch.</w:t>
      </w:r>
    </w:p>
    <w:p>
      <w:r>
        <w:rPr>
          <w:color w:val="5A7D3A"/>
          <w:sz w:val="18"/>
        </w:rPr>
        <w:t>https://pubmed.ncbi.nlm.nih.gov/42475287/</w:t>
      </w:r>
    </w:p>
    <w:p>
      <w:pPr>
        <w:pStyle w:val="Heading2"/>
      </w:pPr>
      <w:r>
        <w:t>Pentavalent-Impflücke verursachte Diphtherie-Ausbruch in Nigeria</w:t>
      </w:r>
    </w:p>
    <w:p>
      <w:r>
        <w:rPr>
          <w:i/>
          <w:color w:val="666666"/>
          <w:sz w:val="18"/>
        </w:rPr>
        <w:t>Okhuarobo UJ et al.  ·  Pan Afr Med J  ·  10.03.2026  ·  PMID 42465825</w:t>
      </w:r>
    </w:p>
    <w:p>
      <w:r>
        <w:t>Fall-Kontroll-Studie zu Diphtherie-Ausbruch in Kafanchan, Nigeria (Juli-Oktober 2023): Exposition, Kontakte und Impfstatus.</w:t>
      </w:r>
    </w:p>
    <w:p>
      <w:r>
        <w:rPr>
          <w:b/>
        </w:rPr>
        <w:t xml:space="preserve">Ergebnis: </w:t>
      </w:r>
      <w:r>
        <w:t>91 Fälle, medianes Alter 7 Jahre, Fallsterblichkeit 23%. Pentavalent-Impfung: protektiv (aOR 0,39, 95%-KI 0,20–0,77). Kontakt mit respiratorischen Symptomen: OR 37,2 (KI 16,8–82,6). 25% hatten nie Pentavalent erhalten, Grund: Unwissenheit über Nutzen. Verbesserung durch Risikokommunikation und gestärkte Routine-Impfung.</w:t>
      </w:r>
    </w:p>
    <w:p>
      <w:r>
        <w:rPr>
          <w:b/>
          <w:sz w:val="19"/>
        </w:rPr>
        <w:t xml:space="preserve">Übertragbarkeit: </w:t>
      </w:r>
      <w:r>
        <w:rPr>
          <w:sz w:val="19"/>
        </w:rPr>
        <w:t>Nigeria-Daten; Mechanism-Befund (Lücken-Ausbruch) global übertragbar.</w:t>
      </w:r>
    </w:p>
    <w:p>
      <w:r>
        <w:rPr>
          <w:color w:val="5A7D3A"/>
          <w:sz w:val="18"/>
        </w:rPr>
        <w:t>https://pubmed.ncbi.nlm.nih.gov/42465825/</w:t>
      </w:r>
    </w:p>
    <w:p>
      <w:pPr>
        <w:pStyle w:val="Heading1"/>
      </w:pPr>
      <w:r>
        <w:t>Aufgenommen am 31.08.2026</w:t>
      </w:r>
    </w:p>
    <w:p>
      <w:pPr>
        <w:pStyle w:val="Heading2"/>
      </w:pPr>
      <w:r>
        <w:t>Langzeitimmunität nach Hepatitis-B-Impfung bei Menschen mit HIV: 8,5-Jahr-Verlauf in China</w:t>
      </w:r>
    </w:p>
    <w:p>
      <w:r>
        <w:rPr>
          <w:i/>
          <w:color w:val="666666"/>
          <w:sz w:val="18"/>
        </w:rPr>
        <w:t>Yang H et al.  ·  Front Public Health  ·  14.08.2026  ·  PMID 42666258</w:t>
      </w:r>
    </w:p>
    <w:p>
      <w:r>
        <w:t>Retrospektive Kohortenstudie mit 195 HIV-positiven Personen ohne anti-HBs-Schutz, die Heplisav-B erhielten, mit Langzeitfollow-up 1,5-8,5 Jahre.</w:t>
      </w:r>
    </w:p>
    <w:p>
      <w:r>
        <w:rPr>
          <w:b/>
        </w:rPr>
        <w:t xml:space="preserve">Ergebnis: </w:t>
      </w:r>
      <w:r>
        <w:t>Nach 3-4 Dosen initial 98% und 85% Responserate (vs. 77-79% nach 1-2 Dosen). Nach 8,5 Jahren: 83% (3 Dosen) und 88% (4 Dosen) zeigten anhaltende Antikörper &gt;100 IU/mL. Unabhängige Korrelaten: Dosenzahl und frühes serologisches Ansprechen.</w:t>
      </w:r>
    </w:p>
    <w:p>
      <w:r>
        <w:rPr>
          <w:b/>
          <w:sz w:val="19"/>
        </w:rPr>
        <w:t xml:space="preserve">Übertragbarkeit: </w:t>
      </w:r>
      <w:r>
        <w:rPr>
          <w:sz w:val="19"/>
        </w:rPr>
        <w:t>China, aber Heplisav-B weltweit, zeigt optimale Impfschemata für immungeschwächte Personen</w:t>
      </w:r>
    </w:p>
    <w:p>
      <w:r>
        <w:rPr>
          <w:color w:val="5A7D3A"/>
          <w:sz w:val="18"/>
        </w:rPr>
        <w:t>https://pubmed.ncbi.nlm.nih.gov/42666258/</w:t>
      </w:r>
    </w:p>
    <w:p>
      <w:pPr>
        <w:pStyle w:val="Heading2"/>
      </w:pPr>
      <w:r>
        <w:t>Sozioökonomische Ungleichheiten bei COVID-19-Impfung nigerianischer Frauen</w:t>
      </w:r>
    </w:p>
    <w:p>
      <w:r>
        <w:rPr>
          <w:i/>
          <w:color w:val="666666"/>
          <w:sz w:val="18"/>
        </w:rPr>
        <w:t>Ekholuenetale M  ·  PLoS One  ·  28.08.2026  ·  PMID 42664197</w:t>
      </w:r>
    </w:p>
    <w:p>
      <w:r>
        <w:t>Querschnittsanalyse mit 36.555 Frauen aus Nigeria-Bevölkerungsumfrage 2024 zur Zerlegung sozioökonomischer Disparitäten bei Impfquoten.</w:t>
      </w:r>
    </w:p>
    <w:p>
      <w:r>
        <w:rPr>
          <w:b/>
        </w:rPr>
        <w:t xml:space="preserve">Ergebnis: </w:t>
      </w:r>
      <w:r>
        <w:t>Impfquote bei am wenigsten benachteiligten Frauen 31,6%, bei am stärksten benachteiligten 19,2%. Positive Einflussfaktoren: höhere Bildung, Medienpräsenz, Krankenversicherung, Alter ≥30 Jahre, südliche Regionen. Bildung, Medienexposition und Versicherung trugen am stärksten zu Disparitäten bei.</w:t>
      </w:r>
    </w:p>
    <w:p>
      <w:r>
        <w:rPr>
          <w:b/>
          <w:sz w:val="19"/>
        </w:rPr>
        <w:t xml:space="preserve">Übertragbarkeit: </w:t>
      </w:r>
      <w:r>
        <w:rPr>
          <w:sz w:val="19"/>
        </w:rPr>
        <w:t>Nigeria, aber Ungleichheitsmuster zeigen universelle Zugangsbarrieren</w:t>
      </w:r>
    </w:p>
    <w:p>
      <w:r>
        <w:rPr>
          <w:color w:val="5A7D3A"/>
          <w:sz w:val="18"/>
        </w:rPr>
        <w:t>https://pubmed.ncbi.nlm.nih.gov/42664197/</w:t>
      </w:r>
    </w:p>
    <w:p>
      <w:pPr>
        <w:pStyle w:val="Heading2"/>
      </w:pPr>
      <w:r>
        <w:t>COVID-19-Impfquote bei Gemeindeimpfterminen: Dauer, Wochentag und Partnerschaft steigern Reichweite</w:t>
      </w:r>
    </w:p>
    <w:p>
      <w:r>
        <w:rPr>
          <w:i/>
          <w:color w:val="666666"/>
          <w:sz w:val="18"/>
        </w:rPr>
        <w:t>Shakib SH et al.  ·  Viruses  ·  11.08.2026  ·  PMID 42655698</w:t>
      </w:r>
    </w:p>
    <w:p>
      <w:r>
        <w:t>Retrospektive Analyse von 631 Impfterminen (27.767 Dosen) in Kentucky 2021-2022 zu Assoziationen zwischen Veranstaltungsmerkmalen und verabreichten Dosen pro Termin.</w:t>
      </w:r>
    </w:p>
    <w:p>
      <w:r>
        <w:rPr>
          <w:b/>
        </w:rPr>
        <w:t xml:space="preserve">Ergebnis: </w:t>
      </w:r>
      <w:r>
        <w:t>Jede zusätzliche Stunde Veranstaltungsdauer: +21,6% Dosen pro Termin. Wochenendtermine: +87,8% gegenüber Wochentagen. Nicht-regierungsorganisationen: +44,7%; Unternehmen: +110%; medizinische Anbieter: +57,8% gegenüber Government-Terminen. Nur-LMPHW-Termine (ohne Partner): +198,4%.</w:t>
      </w:r>
    </w:p>
    <w:p>
      <w:r>
        <w:rPr>
          <w:b/>
          <w:sz w:val="19"/>
        </w:rPr>
        <w:t xml:space="preserve">Übertragbarkeit: </w:t>
      </w:r>
      <w:r>
        <w:rPr>
          <w:sz w:val="19"/>
        </w:rPr>
        <w:t>USA, aber Zugangsoptimierungen übertragbar auf deutsche Impfstellen</w:t>
      </w:r>
    </w:p>
    <w:p>
      <w:r>
        <w:rPr>
          <w:color w:val="5A7D3A"/>
          <w:sz w:val="18"/>
        </w:rPr>
        <w:t>https://pubmed.ncbi.nlm.nih.gov/42655698/</w:t>
      </w:r>
    </w:p>
    <w:p>
      <w:pPr>
        <w:pStyle w:val="Heading2"/>
      </w:pPr>
      <w:r>
        <w:t>Mütterlicherve RSV-Impfung: Akzeptanz und Kommunikationspräferenzen schwangerer Frauen in England</w:t>
      </w:r>
    </w:p>
    <w:p>
      <w:r>
        <w:rPr>
          <w:i/>
          <w:color w:val="666666"/>
          <w:sz w:val="18"/>
        </w:rPr>
        <w:t>Bell S et al.  ·  Vaccine  ·  13.08.2026  ·  PMID 42497669</w:t>
      </w:r>
    </w:p>
    <w:p>
      <w:r>
        <w:t>Qualitative Studie mit 30 Müttern in England zu Wahrnehmungen der maternalen RSV-Impfung ab 28 Schwangerschaftswochen.</w:t>
      </w:r>
    </w:p>
    <w:p>
      <w:r>
        <w:rPr>
          <w:b/>
        </w:rPr>
        <w:t xml:space="preserve">Ergebnis: </w:t>
      </w:r>
      <w:r>
        <w:t>Hohe Impfbereitschaft, aber Wissenslücken zu RSV-Schweregrad. Mütter bevorzugen Informationen online, schriftlich und durch Hebammen; 84% wollen Impfung in Antenatalbetreuung (nicht separate Praxistermine).</w:t>
      </w:r>
    </w:p>
    <w:p>
      <w:r>
        <w:rPr>
          <w:b/>
          <w:sz w:val="19"/>
        </w:rPr>
        <w:t xml:space="preserve">Übertragbarkeit: </w:t>
      </w:r>
      <w:r>
        <w:rPr>
          <w:sz w:val="19"/>
        </w:rPr>
        <w:t>Großbritannien, vergleichbares Versorgungssystem, neue Impfempfehlung, übertragbare Zugangsoptimierung</w:t>
      </w:r>
    </w:p>
    <w:p>
      <w:r>
        <w:rPr>
          <w:color w:val="5A7D3A"/>
          <w:sz w:val="18"/>
        </w:rPr>
        <w:t>https://pubmed.ncbi.nlm.nih.gov/42497669/</w:t>
      </w:r>
    </w:p>
    <w:p>
      <w:pPr>
        <w:pStyle w:val="Heading2"/>
      </w:pPr>
      <w:r>
        <w:t>Nutzen-Kosten-Analyse: Atemwegsimpfung bei Erwachsenen ≥65 Jahren in Frankreich</w:t>
      </w:r>
    </w:p>
    <w:p>
      <w:r>
        <w:rPr>
          <w:i/>
          <w:color w:val="666666"/>
          <w:sz w:val="18"/>
        </w:rPr>
        <w:t>Napier M et al.  ·  Expert Rev Vaccines  ·  22.07.2026  ·  PMID 42484014</w:t>
      </w:r>
    </w:p>
    <w:p>
      <w:r>
        <w:t>Ökonomische Analyse zur Rentabilität von Pneumokokken-, RSV-, Influenza- und COVID-19-Impfungen bei älteren Franzosen.</w:t>
      </w:r>
    </w:p>
    <w:p>
      <w:r>
        <w:rPr>
          <w:b/>
        </w:rPr>
        <w:t xml:space="preserve">Ergebnis: </w:t>
      </w:r>
      <w:r>
        <w:t>Nutzen-Kosten-Verhältnis 2,0-8,7€ pro 1€ Ausgaben über Lebenszeit. RSV-Impfung würde Nettonutzen um 6-7% erhöhen. Erreichung ehrgeiziger Impfquoten (z.B. auf 90%) würde Nutzen um 138-175% steigern.</w:t>
      </w:r>
    </w:p>
    <w:p>
      <w:r>
        <w:rPr>
          <w:b/>
          <w:sz w:val="19"/>
        </w:rPr>
        <w:t xml:space="preserve">Übertragbarkeit: </w:t>
      </w:r>
      <w:r>
        <w:rPr>
          <w:sz w:val="19"/>
        </w:rPr>
        <w:t>Frankreich, vergleichbares System, zeigt Wirtschaftlichkeit höherer Quoten</w:t>
      </w:r>
    </w:p>
    <w:p>
      <w:r>
        <w:rPr>
          <w:color w:val="5A7D3A"/>
          <w:sz w:val="18"/>
        </w:rPr>
        <w:t>https://pubmed.ncbi.nlm.nih.gov/42484014/</w:t>
      </w:r>
    </w:p>
    <w:p>
      <w:pPr>
        <w:pStyle w:val="Heading2"/>
      </w:pPr>
      <w:r>
        <w:t>Tdap-Impfzeitpunkt in der Schwangerschaft: Antikörperresponse und Plazentaweitergabe</w:t>
      </w:r>
    </w:p>
    <w:p>
      <w:r>
        <w:rPr>
          <w:i/>
          <w:color w:val="666666"/>
          <w:sz w:val="18"/>
        </w:rPr>
        <w:t>De Weerdt L et al.  ·  Vaccine  ·  13.08.2026  ·  PMID 42472495</w:t>
      </w:r>
    </w:p>
    <w:p>
      <w:r>
        <w:t>Prospektive Studie mit 96 schwangeren Frauen in Belgien zur Charakterisierung der Auswirkung des Impfzeitpunkts (16.-32. Woche) auf maternale und neonatale Antikörperprofile.</w:t>
      </w:r>
    </w:p>
    <w:p>
      <w:r>
        <w:rPr>
          <w:b/>
        </w:rPr>
        <w:t xml:space="preserve">Ergebnis: </w:t>
      </w:r>
      <w:r>
        <w:t>Maternale IgG und IgG1 gegen Pertussis, Diphtherie, Tetanus bei späteren Impfungen höher; neonatale Profile vergleichbar. IgG-Transferquoten sanken mit fortgeschrittenerem Gestationsalter, funktionelle Antikörperübertragung kaum beeinflusst.</w:t>
      </w:r>
    </w:p>
    <w:p>
      <w:r>
        <w:rPr>
          <w:b/>
          <w:sz w:val="19"/>
        </w:rPr>
        <w:t xml:space="preserve">Übertragbarkeit: </w:t>
      </w:r>
      <w:r>
        <w:rPr>
          <w:sz w:val="19"/>
        </w:rPr>
        <w:t>Belgien, vergleichbares Versicherungssystem, bestätigt Empfehlung 16.-32. Wochen</w:t>
      </w:r>
    </w:p>
    <w:p>
      <w:r>
        <w:rPr>
          <w:color w:val="5A7D3A"/>
          <w:sz w:val="18"/>
        </w:rPr>
        <w:t>https://pubmed.ncbi.nlm.nih.gov/42472495/</w:t>
      </w:r>
    </w:p>
    <w:p>
      <w:pPr>
        <w:pStyle w:val="Heading1"/>
      </w:pPr>
      <w:r>
        <w:t>Aufgenommen am 30.08.2026</w:t>
      </w:r>
    </w:p>
    <w:p>
      <w:pPr>
        <w:pStyle w:val="Heading2"/>
      </w:pPr>
      <w:r>
        <w:t>Rapid strain-matched Influenza-Impfung hätte 28.000 Todesfälle in UK-ähnlicher Pandemie verhindert</w:t>
      </w:r>
    </w:p>
    <w:p>
      <w:r>
        <w:rPr>
          <w:i/>
          <w:color w:val="666666"/>
          <w:sz w:val="18"/>
        </w:rPr>
        <w:t>Lovick S et al.  ·  Hum Vaccin Immunother  ·  28.08.2026  ·  PMID 42663142</w:t>
      </w:r>
    </w:p>
    <w:p>
      <w:r>
        <w:t>Dynamisches SEIR-Transmissionsmodell für UK-ähnliche Bevölkerung zur Bewertung Morbidität, Mortalität und Kosten einer frühen zellbasierten vs. eibasierten Pandemie-Impfstoff-Kampagne mit/ohne Maßnahmen.</w:t>
      </w:r>
    </w:p>
    <w:p>
      <w:r>
        <w:rPr>
          <w:b/>
        </w:rPr>
        <w:t xml:space="preserve">Ergebnis: </w:t>
      </w:r>
      <w:r>
        <w:t>16-wöchige Impfkampagne ab 16 Wochen nach Pandemie-Erklärung (ohne Maßnahmen) reduzierte Infektionen um 3,0 Millionen und Todesfälle um 28.000, mit größerem Nutzen in Low-Transmissibility-Szenarien. Zellbasierter Impfstoff reduzierte Todesfälle zusätzlich um 5,0%. Maßnahmen (Durchschnittskosten £208 Mrd.) verbesserten Impfeffektivität, zellbasierter Impfstoff zusätzlich um 0,9%. Verzögerungen erhöhten Mortalität und wirtschaftliche Kosten.</w:t>
      </w:r>
    </w:p>
    <w:p>
      <w:r>
        <w:rPr>
          <w:b/>
          <w:sz w:val="19"/>
        </w:rPr>
        <w:t xml:space="preserve">Übertragbarkeit: </w:t>
      </w:r>
      <w:r>
        <w:rPr>
          <w:sz w:val="19"/>
        </w:rPr>
        <w:t>UK-ähnliche Gesundheitssysteme, Modellierung ohne spezifische nationale Daten.</w:t>
      </w:r>
    </w:p>
    <w:p>
      <w:r>
        <w:rPr>
          <w:color w:val="5A7D3A"/>
          <w:sz w:val="18"/>
        </w:rPr>
        <w:t>https://pubmed.ncbi.nlm.nih.gov/42663142/</w:t>
      </w:r>
    </w:p>
    <w:p>
      <w:pPr>
        <w:pStyle w:val="Heading2"/>
      </w:pPr>
      <w:r>
        <w:t>Vertraute Quellen statt digitale Botschaften: Was COVID-19-Skepsis bei Schwarzen schwangeren Frauen senkt</w:t>
      </w:r>
    </w:p>
    <w:p>
      <w:r>
        <w:rPr>
          <w:i/>
          <w:color w:val="666666"/>
          <w:sz w:val="18"/>
        </w:rPr>
        <w:t>Cox E et al.  ·  Front Public Health  ·  12.08.2026  ·  PMID 42656594</w:t>
      </w:r>
    </w:p>
    <w:p>
      <w:r>
        <w:t>Qualitative Studie mit Interviews und Fokusgruppen bei 30 Schwarzen schwangeren und postpartalen Frauen in den USA zum Einfluss von sozialen Medien-Anzeigen auf Impfbereitschaft.</w:t>
      </w:r>
    </w:p>
    <w:p>
      <w:r>
        <w:rPr>
          <w:b/>
        </w:rPr>
        <w:t xml:space="preserve">Ergebnis: </w:t>
      </w:r>
      <w:r>
        <w:t>Geimpfte, religiöse, politisch konservative und verheiratete Frauen zeigten höhere Bereitschaft nach den Anzeigen. Kein einzelnes Messenger-Format oder Inhaltstyp war überlegen. Qualitativ zentral: Vertrauen in sich selbst, Familie, Doulas und Glaubensführer; Misstrauen gegen Staat und Gesundheitssystem sowie medizinischen Rassismus. Persönliches Zeugnis von vertrauten Quellen könnte Akzeptanz stärken.</w:t>
      </w:r>
    </w:p>
    <w:p>
      <w:r>
        <w:rPr>
          <w:b/>
          <w:sz w:val="19"/>
        </w:rPr>
        <w:t xml:space="preserve">Übertragbarkeit: </w:t>
      </w:r>
      <w:r>
        <w:rPr>
          <w:sz w:val="19"/>
        </w:rPr>
        <w:t>USA, spezifische Herausforderung für Minderheiten-Vertrauen in Gesundheitssystem.</w:t>
      </w:r>
    </w:p>
    <w:p>
      <w:r>
        <w:rPr>
          <w:color w:val="5A7D3A"/>
          <w:sz w:val="18"/>
        </w:rPr>
        <w:t>https://pubmed.ncbi.nlm.nih.gov/42656594/</w:t>
      </w:r>
    </w:p>
    <w:p>
      <w:pPr>
        <w:pStyle w:val="Heading2"/>
      </w:pPr>
      <w:r>
        <w:t>HPV-geimpfte Jugendliche nutzen Kondome häufiger und kennen mehr über Geschlechtskrankheiten</w:t>
      </w:r>
    </w:p>
    <w:p>
      <w:r>
        <w:rPr>
          <w:i/>
          <w:color w:val="666666"/>
          <w:sz w:val="18"/>
        </w:rPr>
        <w:t>Christensen LD et al.  ·  Dan Med J  ·  09.06.2026  ·  PMID 42592763</w:t>
      </w:r>
    </w:p>
    <w:p>
      <w:r>
        <w:t>Querschnittstudie bei 866 von 1.254 neunten Schulklassen-Schülern (69%) in Dänemark 2020–2024 zu HPV-Impfstatus und Wissen über sexuell übertragbare Infektionen.</w:t>
      </w:r>
    </w:p>
    <w:p>
      <w:r>
        <w:rPr>
          <w:b/>
        </w:rPr>
        <w:t xml:space="preserve">Ergebnis: </w:t>
      </w:r>
      <w:r>
        <w:t>20% der Jugendlichen hatten sexuelle Erfahrung mit Medianalter 14 Jahren. Wissen über drei oder mehr STIs war mit HPV-Impfung assoziiert (p=0,001). 62% nutzten bei letztem Sexualkontakt Kondome und/oder orale Kontrazeptiva; Mädchen 70–80%, Jungen 50–55%. HPV-Geimpfte nutzten Kondome signifikant häufiger.</w:t>
      </w:r>
    </w:p>
    <w:p>
      <w:r>
        <w:rPr>
          <w:b/>
          <w:sz w:val="19"/>
        </w:rPr>
        <w:t xml:space="preserve">Übertragbarkeit: </w:t>
      </w:r>
      <w:r>
        <w:rPr>
          <w:sz w:val="19"/>
        </w:rPr>
        <w:t>Dänemark, europäisches Impfprogramm und Bevölkerungsaufbau.</w:t>
      </w:r>
    </w:p>
    <w:p>
      <w:r>
        <w:rPr>
          <w:color w:val="5A7D3A"/>
          <w:sz w:val="18"/>
        </w:rPr>
        <w:t>https://pubmed.ncbi.nlm.nih.gov/42592763/</w:t>
      </w:r>
    </w:p>
    <w:p>
      <w:pPr>
        <w:pStyle w:val="Heading2"/>
      </w:pPr>
      <w:r>
        <w:t>RSV-Impfung bei immungeschwächten Erwachsenen würde Krankheitslast und Kosten in Deutschland senken</w:t>
      </w:r>
    </w:p>
    <w:p>
      <w:r>
        <w:rPr>
          <w:i/>
          <w:color w:val="666666"/>
          <w:sz w:val="18"/>
        </w:rPr>
        <w:t>Quinn E et al.  ·  Expert Rev Vaccines  ·  31.07.2026  ·  PMID 42535735</w:t>
      </w:r>
    </w:p>
    <w:p>
      <w:r>
        <w:t>Kosten-Effektivitätsmodell für RSV-Impfung (RSVpreF) in Deutschland, mit Szenarien für die Erweiterung der STIKO-Empfehlung auf Personen &lt;60 Jahren.</w:t>
      </w:r>
    </w:p>
    <w:p>
      <w:r>
        <w:rPr>
          <w:b/>
        </w:rPr>
        <w:t xml:space="preserve">Ergebnis: </w:t>
      </w:r>
      <w:r>
        <w:t>Gegenwärtig: Empfehlung für 60–74 Jahre und ≥75 Jahre. Erweiterung auf immungeschwächte (IC) Erwachsene 18–59 Jahre würde 6.490 Fälle verhindern, 199 Todesfälle abwenden und 21 Mio. € einsparen. Erweiterung auf IC/chronisch kranke Personen 18–59 Jahre würde 24.545 Fälle und 388 Todesfälle verhindern bei Mehrkosten von 238 Mio. €.</w:t>
      </w:r>
    </w:p>
    <w:p>
      <w:r>
        <w:rPr>
          <w:b/>
          <w:sz w:val="19"/>
        </w:rPr>
        <w:t xml:space="preserve">Übertragbarkeit: </w:t>
      </w:r>
      <w:r>
        <w:rPr>
          <w:sz w:val="19"/>
        </w:rPr>
        <w:t>Deutschland, deutsche Versicherungslogik und STIKO-Struktur.</w:t>
      </w:r>
    </w:p>
    <w:p>
      <w:r>
        <w:rPr>
          <w:color w:val="5A7D3A"/>
          <w:sz w:val="18"/>
        </w:rPr>
        <w:t>https://pubmed.ncbi.nlm.nih.gov/42535735/</w:t>
      </w:r>
    </w:p>
    <w:p>
      <w:pPr>
        <w:pStyle w:val="Heading2"/>
      </w:pPr>
      <w:r>
        <w:t>Schützende Antikörper gegen Röteln bei Katalanischen Medizinstudierenden trotz hoher Impfquoten</w:t>
      </w:r>
    </w:p>
    <w:p>
      <w:r>
        <w:rPr>
          <w:i/>
          <w:color w:val="666666"/>
          <w:sz w:val="18"/>
        </w:rPr>
        <w:t>Benito P et al.  ·  Vaccine  ·  13.08.2026  ·  PMID 42501718</w:t>
      </w:r>
    </w:p>
    <w:p>
      <w:r>
        <w:t>Querschnittsstudie an 235 Medizinstudierenden in vier katalanischen Universitäten zur Röteln-Impfquote und Seroprävalenz von Schutzantikörpern.</w:t>
      </w:r>
    </w:p>
    <w:p>
      <w:r>
        <w:rPr>
          <w:b/>
        </w:rPr>
        <w:t xml:space="preserve">Ergebnis: </w:t>
      </w:r>
      <w:r>
        <w:t>94,5% berichteten vollständige Röteln-Impfung; 84,7% hatten schützende Anti-Röteln-IgG-Antikörper, 6,0% grenzwertig und 9,4% negativ. Vollständig Geimpfte waren signifikant häufiger seropositiv (aOR 4,02; 95% CI 1,14–13,11). Nahezu alle Teilnehmenden bewerteten die MMR-Impfung als sicher und wichtig.</w:t>
      </w:r>
    </w:p>
    <w:p>
      <w:r>
        <w:rPr>
          <w:b/>
          <w:sz w:val="19"/>
        </w:rPr>
        <w:t xml:space="preserve">Übertragbarkeit: </w:t>
      </w:r>
      <w:r>
        <w:rPr>
          <w:sz w:val="19"/>
        </w:rPr>
        <w:t>Spanien, vergleichbares Hochschulsystem und Impfkalender.</w:t>
      </w:r>
    </w:p>
    <w:p>
      <w:r>
        <w:rPr>
          <w:color w:val="5A7D3A"/>
          <w:sz w:val="18"/>
        </w:rPr>
        <w:t>https://pubmed.ncbi.nlm.nih.gov/42501718/</w:t>
      </w:r>
    </w:p>
    <w:p>
      <w:pPr>
        <w:pStyle w:val="Heading2"/>
      </w:pPr>
      <w:r>
        <w:t>Catch-up-Impfquoten nach Beratung bei ukrainischen Kinderflüchtlingen in der Schweiz deutlich verbessert</w:t>
      </w:r>
    </w:p>
    <w:p>
      <w:r>
        <w:rPr>
          <w:i/>
          <w:color w:val="666666"/>
          <w:sz w:val="18"/>
        </w:rPr>
        <w:t>Vaezipour N et al.  ·  Eur J Pediatr  ·  23.07.2026  ·  PMID 42489737</w:t>
      </w:r>
    </w:p>
    <w:p>
      <w:r>
        <w:t>Retrospektive Kohortenstudie bei 517 ukrainischen Kinderflüchtlingen in fünf Schweizer Zentren zur Durchimpfung und Infektionsscreening.</w:t>
      </w:r>
    </w:p>
    <w:p>
      <w:r>
        <w:rPr>
          <w:b/>
        </w:rPr>
        <w:t xml:space="preserve">Ergebnis: </w:t>
      </w:r>
      <w:r>
        <w:t>Bei Ankunft 71–82% altersentsprechend geimpft gegen Masern, Diphtherie-Tetanus-Pertussis, Poliomyelitis und Haemophilus influenzae b; Hauptgrund für Lücken war Impfskepsis. Nach Impfberatung/Catch-up-Programme: 98% (509/517) vollständig geimpft. Infektionsscreening-Positivraten niedrig: HIV 2,7%, Hepatitis B 1,6%, Tuberkulose 1,0%.</w:t>
      </w:r>
    </w:p>
    <w:p>
      <w:r>
        <w:rPr>
          <w:b/>
          <w:sz w:val="19"/>
        </w:rPr>
        <w:t xml:space="preserve">Übertragbarkeit: </w:t>
      </w:r>
      <w:r>
        <w:rPr>
          <w:sz w:val="19"/>
        </w:rPr>
        <w:t>Schweiz, vergleichbares Versicherungssystem und Versorgungsauftrag.</w:t>
      </w:r>
    </w:p>
    <w:p>
      <w:r>
        <w:rPr>
          <w:color w:val="5A7D3A"/>
          <w:sz w:val="18"/>
        </w:rPr>
        <w:t>https://pubmed.ncbi.nlm.nih.gov/42489737/</w:t>
      </w:r>
    </w:p>
    <w:p>
      <w:pPr>
        <w:pStyle w:val="Heading2"/>
      </w:pPr>
      <w:r>
        <w:t>Impfdurchbrüche mit Pneumokokken-Serotyp 3 trotz hoher PCV13-Abdeckung bei Kindern</w:t>
      </w:r>
    </w:p>
    <w:p>
      <w:r>
        <w:rPr>
          <w:i/>
          <w:color w:val="666666"/>
          <w:sz w:val="18"/>
        </w:rPr>
        <w:t>Ciruela P et al.  ·  Vaccine  ·  13.08.2026  ·  PMID 42486053</w:t>
      </w:r>
    </w:p>
    <w:p>
      <w:r>
        <w:t>Retrospektive Beobachtungsstudie zu invasiven Pneumokokken-Erkrankungen bei 206 PCV13-geimpften Kindern in Katalonien 2018–2023 mit Impfquoten &gt;96%.</w:t>
      </w:r>
    </w:p>
    <w:p>
      <w:r>
        <w:rPr>
          <w:b/>
        </w:rPr>
        <w:t xml:space="preserve">Ergebnis: </w:t>
      </w:r>
      <w:r>
        <w:t>48,0% vollständig Geimpfter (n=177) zeigten Impfversagen, vorwiegend durch Serotyp 3 (84,7% der Fälle). Im Vergleich zur Vor-PCV13-Ära war der Schutz länger haltbar, aber der Anteil von Serotyp-3-Durchbrüchen blieb erheblich. Ausschluss von Serotyp 3 senkte die Impfversagensrate von 48,0% auf 12,4%.</w:t>
      </w:r>
    </w:p>
    <w:p>
      <w:r>
        <w:rPr>
          <w:b/>
          <w:sz w:val="19"/>
        </w:rPr>
        <w:t xml:space="preserve">Übertragbarkeit: </w:t>
      </w:r>
      <w:r>
        <w:rPr>
          <w:sz w:val="19"/>
        </w:rPr>
        <w:t>Spanien, vergleichbares Impfprogramm und Surveillance-System.</w:t>
      </w:r>
    </w:p>
    <w:p>
      <w:r>
        <w:rPr>
          <w:color w:val="5A7D3A"/>
          <w:sz w:val="18"/>
        </w:rPr>
        <w:t>https://pubmed.ncbi.nlm.nih.gov/42486053/</w:t>
      </w:r>
    </w:p>
    <w:p>
      <w:pPr>
        <w:pStyle w:val="Heading1"/>
      </w:pPr>
      <w:r>
        <w:t>Aufgenommen am 29.08.2026</w:t>
      </w:r>
    </w:p>
    <w:p>
      <w:pPr>
        <w:pStyle w:val="Heading2"/>
      </w:pPr>
      <w:r>
        <w:t>Dezentralisierte CAR-T-Zelltherapie: Phase-1-Sicherheit und Machbarkeit</w:t>
      </w:r>
    </w:p>
    <w:p>
      <w:r>
        <w:rPr>
          <w:i/>
          <w:color w:val="666666"/>
          <w:sz w:val="18"/>
        </w:rPr>
        <w:t>Kersten MJ et al.  ·  Lancet Haematol  ·  Sept. 2026  ·  PMID 42660131</w:t>
      </w:r>
    </w:p>
    <w:p>
      <w:r>
        <w:t>Phase-1-Dosis-Eskalationsstudie der dezentralisierten Fertigung von CD19-CAR-T-Zellen (GLPG5101) bei 24 Patienten mit rezidiviertem/refraktärem B-Zell-Non-Hodgkin-Lymphom in Niederlanden und Belgien (März 2022–September 2024).</w:t>
      </w:r>
    </w:p>
    <w:p>
      <w:r>
        <w:rPr>
          <w:b/>
        </w:rPr>
        <w:t xml:space="preserve">Ergebnis: </w:t>
      </w:r>
      <w:r>
        <w:t>Fünf dosislimitierende Toxizitäten berichtet: Grad-3-Thrombozytopenie (n=1), Tod durch intra-abdominale Blutung (n=1), Grad-4-Neutropenie (n=3). Vier therapiebedingte Todesfälle insgesamt. Empfohlene Phase-2-Dosis: 110 × 10⁶ (Bereich 50–110 × 10⁶) CAR⁺-T-Zellen. Studie zeigte Machbarkeit schneller dezentralisierter Fertigung und Lieferung.</w:t>
      </w:r>
    </w:p>
    <w:p>
      <w:r>
        <w:rPr>
          <w:b/>
          <w:sz w:val="19"/>
        </w:rPr>
        <w:t xml:space="preserve">Übertragbarkeit: </w:t>
      </w:r>
      <w:r>
        <w:rPr>
          <w:sz w:val="19"/>
        </w:rPr>
        <w:t>Niederlande/Belgien, dezentralisierte Herstellung lokal lösbar, aber CAR-T grundsätzlich komplexes spezialisiertes Therapieverfahren</w:t>
      </w:r>
    </w:p>
    <w:p>
      <w:r>
        <w:rPr>
          <w:color w:val="5A7D3A"/>
          <w:sz w:val="18"/>
        </w:rPr>
        <w:t>https://pubmed.ncbi.nlm.nih.gov/42660131/</w:t>
      </w:r>
    </w:p>
    <w:p>
      <w:pPr>
        <w:pStyle w:val="Heading2"/>
      </w:pPr>
      <w:r>
        <w:t>Pränatalintervention für Impfakzeptanz durch Bürgerbeteiligung entwickelt</w:t>
      </w:r>
    </w:p>
    <w:p>
      <w:r>
        <w:rPr>
          <w:i/>
          <w:color w:val="666666"/>
          <w:sz w:val="18"/>
        </w:rPr>
        <w:t>McCarron SA et al.  ·  Health Expect  ·  Aug. 2026  ·  PMID 42550057</w:t>
      </w:r>
    </w:p>
    <w:p>
      <w:r>
        <w:t>Partizipative Entwicklung einer Antenatalintervention zur Förderung der Impfakzeptanz in Nordirland mit Eltern, Patienten und Öffentlichkeit (Maternity Service Liaison Committee, Sure Start-Programme, aufsuchende Klinik für Ostriesische Gemeinde).</w:t>
      </w:r>
    </w:p>
    <w:p>
      <w:r>
        <w:rPr>
          <w:b/>
        </w:rPr>
        <w:t xml:space="preserve">Ergebnis: </w:t>
      </w:r>
      <w:r>
        <w:t>Input von Eltern und Gemeindevertreter prägte Inhalt, Timing und Präsentation der Impfinformation. Wichtigste Erkenntnisse: klare, einfache Sprachinformation früh in der Schwangerschaft erforderlich, Informationen müssen an verschiedene Bedürfnisse zugeschnitten werden. Vertrauen in etablierte Netzwerke unterstützte Engagement mit unterrepräsentierten Gruppen.</w:t>
      </w:r>
    </w:p>
    <w:p>
      <w:r>
        <w:rPr>
          <w:b/>
          <w:sz w:val="19"/>
        </w:rPr>
        <w:t xml:space="preserve">Übertragbarkeit: </w:t>
      </w:r>
      <w:r>
        <w:rPr>
          <w:sz w:val="19"/>
        </w:rPr>
        <w:t>UK-System; Methode der Bürgerbeteiligung übertragbar, aber Antenatalstrukturen unterscheiden sich</w:t>
      </w:r>
    </w:p>
    <w:p>
      <w:r>
        <w:rPr>
          <w:color w:val="5A7D3A"/>
          <w:sz w:val="18"/>
        </w:rPr>
        <w:t>https://pubmed.ncbi.nlm.nih.gov/42550057/</w:t>
      </w:r>
    </w:p>
    <w:p>
      <w:pPr>
        <w:pStyle w:val="Heading2"/>
      </w:pPr>
      <w:r>
        <w:t>Mpox-Impfstoff Jynneos: Sicherheitsprofil während Ausbruch in Deutschland bestätigt</w:t>
      </w:r>
    </w:p>
    <w:p>
      <w:r>
        <w:rPr>
          <w:i/>
          <w:color w:val="666666"/>
          <w:sz w:val="18"/>
        </w:rPr>
        <w:t>Oberle D et al.  ·  Euro Surveill  ·  Juli 2026  ·  PMID 42535289</w:t>
      </w:r>
    </w:p>
    <w:p>
      <w:r>
        <w:t>Überwachung unerwünschter Ereignisse nach MVA-BN-Impfung gegen Mpox in Deutschland Juni 2022 bis Februar 2024 bei 78.739 verabreichten Dosen.</w:t>
      </w:r>
    </w:p>
    <w:p>
      <w:r>
        <w:rPr>
          <w:b/>
        </w:rPr>
        <w:t xml:space="preserve">Ergebnis: </w:t>
      </w:r>
      <w:r>
        <w:t>32 Einzelfallberichte wurden identifiziert, davon 7 schwerwiegend; 87 unerwünschte Ereignisse insgesamt gemeldet (98,7 pro 100.000 Dosen adjustiert). Das Sicherheitsprofil entsprach der Produktcharakterisierung; keine neuen Sicherheitssignale wurden identifiziert. Lokale und systemische Reaktionen waren überwiegend mild bis moderat.</w:t>
      </w:r>
    </w:p>
    <w:p>
      <w:r>
        <w:rPr>
          <w:b/>
          <w:sz w:val="19"/>
        </w:rPr>
        <w:t xml:space="preserve">Übertragbarkeit: </w:t>
      </w:r>
      <w:r>
        <w:rPr>
          <w:sz w:val="19"/>
        </w:rPr>
        <w:t>Deutschland, eigenes Surveillancesystem, direkt übertragbar</w:t>
      </w:r>
    </w:p>
    <w:p>
      <w:r>
        <w:rPr>
          <w:color w:val="5A7D3A"/>
          <w:sz w:val="18"/>
        </w:rPr>
        <w:t>https://pubmed.ncbi.nlm.nih.gov/42535289/</w:t>
      </w:r>
    </w:p>
    <w:p>
      <w:pPr>
        <w:pStyle w:val="Heading2"/>
      </w:pPr>
      <w:r>
        <w:t>Determinanten der Influenza- und COVID-19-Impfquoten bei Hochrisikopatienten</w:t>
      </w:r>
    </w:p>
    <w:p>
      <w:r>
        <w:rPr>
          <w:i/>
          <w:color w:val="666666"/>
          <w:sz w:val="18"/>
        </w:rPr>
        <w:t>Grape L et al.  ·  Hum Vaccin Immunother  ·  28.07.2026  ·  PMID 42518305</w:t>
      </w:r>
    </w:p>
    <w:p>
      <w:r>
        <w:t>Querschnittsstudie mit semistandardisierten Interviews und Patientenakten bei 600 Notaufnahme-Patienten in Nordschweden zur Identifikation von Impfquoten und Barrieren bei Hochrisikogruppen.</w:t>
      </w:r>
    </w:p>
    <w:p>
      <w:r>
        <w:rPr>
          <w:b/>
        </w:rPr>
        <w:t xml:space="preserve">Ergebnis: </w:t>
      </w:r>
      <w:r>
        <w:t>Quote unter berechtigten Personen: 52,0% für Influenza, 54,2% für COVID-19. Koinfektion beider Impfstoffe hoch (aOR 55,33). Männliches Geschlecht (aOR 0,57), jüngeres Alter (aOR 0,50), Rauchen (aOR 0,43) und nur altersbasierte Berechtigung (aOR 0,41) waren mit niedriger Impfakzeptanz assoziiert. Gemeindeebene-Determinanten zeigten wenig Einfluss.</w:t>
      </w:r>
    </w:p>
    <w:p>
      <w:r>
        <w:rPr>
          <w:b/>
          <w:sz w:val="19"/>
        </w:rPr>
        <w:t xml:space="preserve">Übertragbarkeit: </w:t>
      </w:r>
      <w:r>
        <w:rPr>
          <w:sz w:val="19"/>
        </w:rPr>
        <w:t>Skandinavien, deutsches Versicherungssystem ähnlich, aber Datenquellen und Populationsmerkmale unterscheiden sich</w:t>
      </w:r>
    </w:p>
    <w:p>
      <w:r>
        <w:rPr>
          <w:color w:val="5A7D3A"/>
          <w:sz w:val="18"/>
        </w:rPr>
        <w:t>https://pubmed.ncbi.nlm.nih.gov/42518305/</w:t>
      </w:r>
    </w:p>
    <w:p>
      <w:pPr>
        <w:pStyle w:val="Heading2"/>
      </w:pPr>
      <w:r>
        <w:t>Null-Dosis-Kinder in Madagaskar identifizieren und erreichen</w:t>
      </w:r>
    </w:p>
    <w:p>
      <w:r>
        <w:rPr>
          <w:i/>
          <w:color w:val="666666"/>
          <w:sz w:val="18"/>
        </w:rPr>
        <w:t>Muller N et al.  ·  Bull World Health Organ  ·  01.08.2026  ·  PMID 42516117</w:t>
      </w:r>
    </w:p>
    <w:p>
      <w:r>
        <w:t>Gemeindegestützte Erhebung zur Ermittlung von Kindern ohne DTP-Impfdokumentation in 16 südmadagassischen Distrikten (August 2024–Juni 2025) mit 3.975 ausgebildeten Gemeindegesundheitshelfern und digitalen Werkzeugen.</w:t>
      </w:r>
    </w:p>
    <w:p>
      <w:r>
        <w:rPr>
          <w:b/>
        </w:rPr>
        <w:t xml:space="preserve">Ergebnis: </w:t>
      </w:r>
      <w:r>
        <w:t>81% der fokontanys (3.538/4.347) aktualisierten Register. Von 368.227 erfassten Kindern unter 5 Jahren hatten 58% (213.173) keine dokumentierte DTP-Dosis. Distriktweite Prävalenz von Null-Dosis-Kindern lag zwischen 25% und 86%. 42.700 Null-Dosis-Kinder wurden mit DTP geimpft und übertrafen Programmziel vorzeitig.</w:t>
      </w:r>
    </w:p>
    <w:p>
      <w:r>
        <w:rPr>
          <w:b/>
          <w:sz w:val="19"/>
        </w:rPr>
        <w:t xml:space="preserve">Übertragbarkeit: </w:t>
      </w:r>
      <w:r>
        <w:rPr>
          <w:sz w:val="19"/>
        </w:rPr>
        <w:t>Afrikanisches Setting; Digitale Hilfsmittel und Community-Engagement lokal anpassbar, aber Registrierungsinfrastruktur grundverschieden von Deutschland</w:t>
      </w:r>
    </w:p>
    <w:p>
      <w:r>
        <w:rPr>
          <w:color w:val="5A7D3A"/>
          <w:sz w:val="18"/>
        </w:rPr>
        <w:t>https://pubmed.ncbi.nlm.nih.gov/42516117/</w:t>
      </w:r>
    </w:p>
    <w:p>
      <w:pPr>
        <w:pStyle w:val="Heading2"/>
      </w:pPr>
      <w:r>
        <w:t>Impfskepsis im Kriegsgebiet Ukraine: Verhaltensmodellierung von Umfragedaten</w:t>
      </w:r>
    </w:p>
    <w:p>
      <w:r>
        <w:rPr>
          <w:i/>
          <w:color w:val="666666"/>
          <w:sz w:val="18"/>
        </w:rPr>
        <w:t>Naeem A et al.  ·  Health Policy  ·  17.07.2026  ·  PMID 42508188</w:t>
      </w:r>
    </w:p>
    <w:p>
      <w:r>
        <w:t>Agent-basierte Modellierung (ABM) von Impfverhalten in der konfliktbetroffenen Ukraine basierend auf Querschnittsbefragung in 557 Hromadas unter laufendem Krieg; Simulation der Wechselwirkung zwischen Verhaltens-, Struktur- und Sozialvariablen.</w:t>
      </w:r>
    </w:p>
    <w:p>
      <w:r>
        <w:rPr>
          <w:b/>
        </w:rPr>
        <w:t xml:space="preserve">Ergebnis: </w:t>
      </w:r>
      <w:r>
        <w:t>ABM zeigte, dass Impfakzeptanz durch Wechselspiel von Zugangsbarrieren und Peereinfluss gesteuert wird. Glaubenswechsel erreichten 88%; Vakzinierungsquote stieg um 3–15% durch Zugangsbeseitigung. Peer-Dynamiken erhöhten Impfquoten auf 69–89%. Peer-Konformität war dominanter Treiber, was auf Kollektivmechanismus zwischen Sozialsteckung und Verhaltensadoption hindeutet.</w:t>
      </w:r>
    </w:p>
    <w:p>
      <w:r>
        <w:rPr>
          <w:b/>
          <w:sz w:val="19"/>
        </w:rPr>
        <w:t xml:space="preserve">Übertragbarkeit: </w:t>
      </w:r>
      <w:r>
        <w:rPr>
          <w:sz w:val="19"/>
        </w:rPr>
        <w:t>Konfliktzone, begrenzt auf Kriegssituationen übertragbar; Methodologie der Verhaltensmodellierung relevant</w:t>
      </w:r>
    </w:p>
    <w:p>
      <w:r>
        <w:rPr>
          <w:color w:val="5A7D3A"/>
          <w:sz w:val="18"/>
        </w:rPr>
        <w:t>https://pubmed.ncbi.nlm.nih.gov/42508188/</w:t>
      </w:r>
    </w:p>
    <w:p>
      <w:pPr>
        <w:pStyle w:val="Heading2"/>
      </w:pPr>
      <w:r>
        <w:t>XBB.1.5-Impfstoff gegen schwere COVID-19 bei immungeschwächten Erwachsenen</w:t>
      </w:r>
    </w:p>
    <w:p>
      <w:r>
        <w:rPr>
          <w:i/>
          <w:color w:val="666666"/>
          <w:sz w:val="18"/>
        </w:rPr>
        <w:t>Blake A et al.  ·  Expert Rev Vaccines  ·  31.12.2026  ·  PMID 42504085</w:t>
      </w:r>
    </w:p>
    <w:p>
      <w:r>
        <w:t>Retrospektive multländer-Kohortenstudie mit elektronischen Gesundheitsakten in Belgien, Dänemark, Italien, Portugal, Spanien (Navarra) und Schweden zur Wirksamkeit des angepassten XBB.1.5-Impfstoffs gegen Hospitalisierung und Tod bei Immungeschwächten (ICPs).</w:t>
      </w:r>
    </w:p>
    <w:p>
      <w:r>
        <w:rPr>
          <w:b/>
        </w:rPr>
        <w:t xml:space="preserve">Ergebnis: </w:t>
      </w:r>
      <w:r>
        <w:t>XBB.1.5-Impfstoffwirksamkeit (VE) betrug 52% (95%-KI 41–60) gegen Hospitalisierung und 75% (95%-KI 60–84) gegen Tod in den ersten 14–59 Tagen nach Impfung. VE nahm mit zeitlichem Abstand ab; kein Schutz mehr nach 180–365 Tagen. Moderate Schutzwirkung innerhalb von 120 Tagen beobachtet.</w:t>
      </w:r>
    </w:p>
    <w:p>
      <w:r>
        <w:rPr>
          <w:b/>
          <w:sz w:val="19"/>
        </w:rPr>
        <w:t xml:space="preserve">Übertragbarkeit: </w:t>
      </w:r>
      <w:r>
        <w:rPr>
          <w:sz w:val="19"/>
        </w:rPr>
        <w:t>Europäische EHR-Netzwerk; vergleichbare Gesundheitssysteme (Belgien, Dänemark, Schweden, südliche EU)</w:t>
      </w:r>
    </w:p>
    <w:p>
      <w:r>
        <w:rPr>
          <w:color w:val="5A7D3A"/>
          <w:sz w:val="18"/>
        </w:rPr>
        <w:t>https://pubmed.ncbi.nlm.nih.gov/42504085/</w:t>
      </w:r>
    </w:p>
    <w:p>
      <w:pPr>
        <w:pStyle w:val="Heading1"/>
      </w:pPr>
      <w:r>
        <w:t>Aufgenommen am 28.08.2026</w:t>
      </w:r>
    </w:p>
    <w:p>
      <w:pPr>
        <w:pStyle w:val="Heading2"/>
      </w:pPr>
      <w:r>
        <w:t>Influenza-Impfung reduziert Todesfälle bei hospitalisiertem älteren Alter</w:t>
      </w:r>
    </w:p>
    <w:p>
      <w:r>
        <w:rPr>
          <w:i/>
          <w:color w:val="666666"/>
          <w:sz w:val="18"/>
        </w:rPr>
        <w:t>Marques DFP et al.  ·  Expert Rev Vaccines  ·  27.08.2026  ·  PMID 42657682</w:t>
      </w:r>
    </w:p>
    <w:p>
      <w:r>
        <w:t>Retrospektive Kohortenstudie aus dem europäischen I-MOVE-Netzwerk untersuchte die Assoziation zwischen Influenza-Impfung und schweren Outcomes bei ≥65-jährigen mit laborbestätigter Influenza (2015/16–2024/25).</w:t>
      </w:r>
    </w:p>
    <w:p>
      <w:r>
        <w:rPr>
          <w:b/>
        </w:rPr>
        <w:t xml:space="preserve">Ergebnis: </w:t>
      </w:r>
      <w:r>
        <w:t>Bei 4.257 Patienten zeigte Impfung wenig Assoziation mit ICU-Aufnahmen (RRR 11 %, 95% CI: -21–34), aber war mit 26-prozentiger Reduktion der Todesfälle während Hospitalisierung assoziiert (95% CI: 3–43). In der älteren Gruppe ≥80 Jahre betrug die Reduktion der In-Hospital-Mortalität 29%.</w:t>
      </w:r>
    </w:p>
    <w:p>
      <w:r>
        <w:rPr>
          <w:b/>
          <w:sz w:val="19"/>
        </w:rPr>
        <w:t xml:space="preserve">Übertragbarkeit: </w:t>
      </w:r>
      <w:r>
        <w:rPr>
          <w:sz w:val="19"/>
        </w:rPr>
        <w:t>Europäische Klinikdaten, vergleichbare Dokumentationspflichten, direkt auf Deutschland übertragbar.</w:t>
      </w:r>
    </w:p>
    <w:p>
      <w:r>
        <w:rPr>
          <w:color w:val="5A7D3A"/>
          <w:sz w:val="18"/>
        </w:rPr>
        <w:t>https://pubmed.ncbi.nlm.nih.gov/42657682/</w:t>
      </w:r>
    </w:p>
    <w:p>
      <w:pPr>
        <w:pStyle w:val="Heading2"/>
      </w:pPr>
      <w:r>
        <w:t>Unregistrierte Migranten-Kinder unterimpft: Rechtszugang ist zentral</w:t>
      </w:r>
    </w:p>
    <w:p>
      <w:r>
        <w:rPr>
          <w:i/>
          <w:color w:val="666666"/>
          <w:sz w:val="18"/>
        </w:rPr>
        <w:t>Oo SM et al.  ·  Med Sci (Basel)  ·  02.08.2026  ·  PMID 42646586</w:t>
      </w:r>
    </w:p>
    <w:p>
      <w:r>
        <w:t>Querschnittstudie mit 423 burmesischen Migrantenkinder unter 7 Jahren in Nord-Thailand; Faktoren für unvollständige Impfungen wurden gemessen (2025).</w:t>
      </w:r>
    </w:p>
    <w:p>
      <w:r>
        <w:rPr>
          <w:b/>
        </w:rPr>
        <w:t xml:space="preserve">Ergebnis: </w:t>
      </w:r>
      <w:r>
        <w:t>21,5 % waren unterimpft. Unabhängige Risikofaktoren: Fehlen von Geburtsregistrierung (aOR 9,52, 95% CI 3,74–24,27), fehlende Krankenversicherung (aOR 14,03, 95% CI 6,45–30,54), Rückkehr-Migration (aOR 19,05, 95% CI 8,48–44,13), Zeitbarrieren (aOR 4,09, 95% CI 1,20–13,94) und finanzielle Barrieren (aOR 7,07, 95% CI 1,67–29,91).</w:t>
      </w:r>
    </w:p>
    <w:p>
      <w:r>
        <w:rPr>
          <w:b/>
          <w:sz w:val="19"/>
        </w:rPr>
        <w:t xml:space="preserve">Übertragbarkeit: </w:t>
      </w:r>
      <w:r>
        <w:rPr>
          <w:sz w:val="19"/>
        </w:rPr>
        <w:t>Thailand; zeigt strukturelle Hürden bei Migranten; relevante Erkenntnisse für Deutschland bei Flucht und Asyl.</w:t>
      </w:r>
    </w:p>
    <w:p>
      <w:r>
        <w:rPr>
          <w:color w:val="5A7D3A"/>
          <w:sz w:val="18"/>
        </w:rPr>
        <w:t>https://pubmed.ncbi.nlm.nih.gov/42646586/</w:t>
      </w:r>
    </w:p>
    <w:p>
      <w:pPr>
        <w:pStyle w:val="Heading2"/>
      </w:pPr>
      <w:r>
        <w:t>Impfskepsis ist stärkste Barriere in fragiler Lage: Somaliisches Feldbeispiel</w:t>
      </w:r>
    </w:p>
    <w:p>
      <w:r>
        <w:rPr>
          <w:i/>
          <w:color w:val="666666"/>
          <w:sz w:val="18"/>
        </w:rPr>
        <w:t>Abdi MS et al.  ·  Front Public Health  ·  11.08.2026  ·  PMID 42643472</w:t>
      </w:r>
    </w:p>
    <w:p>
      <w:r>
        <w:t>Querschnittsbefragung von 384 Betreuungspersonen in IDP-Lagern in Mogadischu nach Diphtherie-Impfkampagne; Einflussfaktoren auf Durchimpfung wurden geprüft (2026).</w:t>
      </w:r>
    </w:p>
    <w:p>
      <w:r>
        <w:rPr>
          <w:b/>
        </w:rPr>
        <w:t xml:space="preserve">Ergebnis: </w:t>
      </w:r>
      <w:r>
        <w:t>Gesamte Impfquote 57,6 %. Höhere Impfbedenken-Scores (Vaccine Safety Concern Scale) waren mit deutlich niedrigerem Impfrisiko assoziiert (aOR 0,72, 95% CI 0,57–0,90). Schulbildung der Eltern, Vertrauen in Gesundheitsarbeiter und wahrgenommener Zugang waren nicht signifikant assoziiert.</w:t>
      </w:r>
    </w:p>
    <w:p>
      <w:r>
        <w:rPr>
          <w:b/>
          <w:sz w:val="19"/>
        </w:rPr>
        <w:t xml:space="preserve">Übertragbarkeit: </w:t>
      </w:r>
      <w:r>
        <w:rPr>
          <w:sz w:val="19"/>
        </w:rPr>
        <w:t>Somaliisch; zeigt, dass Sicherheitsbedenken auch bei fragilen Populationen zentral sind; Lernpunkte für Notfall-Impfkampagnen.</w:t>
      </w:r>
    </w:p>
    <w:p>
      <w:r>
        <w:rPr>
          <w:color w:val="5A7D3A"/>
          <w:sz w:val="18"/>
        </w:rPr>
        <w:t>https://pubmed.ncbi.nlm.nih.gov/42643472/</w:t>
      </w:r>
    </w:p>
    <w:p>
      <w:pPr>
        <w:pStyle w:val="Heading2"/>
      </w:pPr>
      <w:r>
        <w:t>Gesunde-Impfling-Effekt bei COVID-19-Vakzine in älteren Gruppen</w:t>
      </w:r>
    </w:p>
    <w:p>
      <w:r>
        <w:rPr>
          <w:i/>
          <w:color w:val="666666"/>
          <w:sz w:val="18"/>
        </w:rPr>
        <w:t>Lyth J et al.  ·  Nat Commun  ·  08.08.2026  ·  PMID 42570961</w:t>
      </w:r>
    </w:p>
    <w:p>
      <w:r>
        <w:t>Schwedenweite Kohortenstudie in Bevölkerung ≥65 Jahren untersuchte die Effektivität der 2024–2025 JN.1-adaptierten COVID-19-Vakzine gegen Hospitalisierung und als Negativkontrolle All-Cause-Mortalität (N=245.696, Oktober 2024–März 2025).</w:t>
      </w:r>
    </w:p>
    <w:p>
      <w:r>
        <w:rPr>
          <w:b/>
        </w:rPr>
        <w:t xml:space="preserve">Ergebnis: </w:t>
      </w:r>
      <w:r>
        <w:t>VE gegen COVID-Hospitalisierung 75 % (95% CI 70–79 %), bei Vorimpfung 2023–24 sogar 84 % (95% CI 80–87 %). Kritisch: All-Cause-Mortalität (Negativkontrolle) war in der geimpften Gruppe um 57 % niedriger (HR 0,43, 95% CI 0,40–0,45), was auf Selektionseffekte durch Frailty hindeutet.</w:t>
      </w:r>
    </w:p>
    <w:p>
      <w:r>
        <w:rPr>
          <w:b/>
          <w:sz w:val="19"/>
        </w:rPr>
        <w:t xml:space="preserve">Übertragbarkeit: </w:t>
      </w:r>
      <w:r>
        <w:rPr>
          <w:sz w:val="19"/>
        </w:rPr>
        <w:t>Skandinavisch, vergleichbares Versorgungssystem; Befund zu Selektionsverzerrung universell relevant.</w:t>
      </w:r>
    </w:p>
    <w:p>
      <w:r>
        <w:rPr>
          <w:color w:val="5A7D3A"/>
          <w:sz w:val="18"/>
        </w:rPr>
        <w:t>https://pubmed.ncbi.nlm.nih.gov/42570961/</w:t>
      </w:r>
    </w:p>
    <w:p>
      <w:pPr>
        <w:pStyle w:val="Heading2"/>
      </w:pPr>
      <w:r>
        <w:t>Schulungskurs verbessert Wissen von Apothekern zur Impfung</w:t>
      </w:r>
    </w:p>
    <w:p>
      <w:r>
        <w:rPr>
          <w:i/>
          <w:color w:val="666666"/>
          <w:sz w:val="18"/>
        </w:rPr>
        <w:t>Waszkiewicz M et al.  ·  Med Sci Monit  ·  05.08.2026  ·  PMID 42552681</w:t>
      </w:r>
    </w:p>
    <w:p>
      <w:r>
        <w:t>Pre-post-Studie in Polen evaluierte Wissenszuwachs bei Apothekern nach Fortbildung zur Influenza- und Pneumokokken-Impfung (Februar 2024–Juli 2025).</w:t>
      </w:r>
    </w:p>
    <w:p>
      <w:r>
        <w:rPr>
          <w:b/>
        </w:rPr>
        <w:t xml:space="preserve">Ergebnis: </w:t>
      </w:r>
      <w:r>
        <w:t>Unter 327 Absolventen stieg das Testscore signifikant um 4,7 Punkte (Mdiff = –4,67, 95% CI: –4,99 bis –4,34, d = 1,55, p &lt; 0,001). Das entspricht ca. 23 % der maximalen Testscore-Steigerung und wurde als großer Effekt beurteilt.</w:t>
      </w:r>
    </w:p>
    <w:p>
      <w:r>
        <w:rPr>
          <w:b/>
          <w:sz w:val="19"/>
        </w:rPr>
        <w:t xml:space="preserve">Übertragbarkeit: </w:t>
      </w:r>
      <w:r>
        <w:rPr>
          <w:sz w:val="19"/>
        </w:rPr>
        <w:t>Polen hat Apothekern 2024 Impfkompetenz übertragen; strukturiertes Angebot seit kurzem auch in Deutschland möglich.</w:t>
      </w:r>
    </w:p>
    <w:p>
      <w:r>
        <w:rPr>
          <w:color w:val="5A7D3A"/>
          <w:sz w:val="18"/>
        </w:rPr>
        <w:t>https://pubmed.ncbi.nlm.nih.gov/42552681/</w:t>
      </w:r>
    </w:p>
    <w:p>
      <w:pPr>
        <w:pStyle w:val="Heading2"/>
      </w:pPr>
      <w:r>
        <w:t>Schulkrankenschwestern unterverimpfter Gemeinden: HPV-Impfung braucht Systemunterstützung</w:t>
      </w:r>
    </w:p>
    <w:p>
      <w:r>
        <w:rPr>
          <w:i/>
          <w:color w:val="666666"/>
          <w:sz w:val="18"/>
        </w:rPr>
        <w:t>Avermark H et al.  ·  Hum Vaccin Immunother  ·  29.07.2026  ·  PMID 42527395</w:t>
      </w:r>
    </w:p>
    <w:p>
      <w:r>
        <w:t>Qualitative Studie mit 21 Interviews von Schulkrankenschwestern in unterversorgten Stockholmer Stadtteilen zur HPV-Impfung von Jugendlichen (Juni–November 2024).</w:t>
      </w:r>
    </w:p>
    <w:p>
      <w:r>
        <w:rPr>
          <w:b/>
        </w:rPr>
        <w:t xml:space="preserve">Ergebnis: </w:t>
      </w:r>
      <w:r>
        <w:t>Drei Themen: (1) Schulkrankenschwestern tragen HPV-Impfung allein, ohne institutionelle Unterstützung; (2) Duale Verantwortung zwischen Einzelbetreuung und Public Health schafft Rollenkonflikte; (3) Schwierigkeit im Umgang mit Tabuisierung von HPV und Sexualität. Hohe Arbeitsbelastung und normative Vorstellungen zu Sex behindern Uptake.</w:t>
      </w:r>
    </w:p>
    <w:p>
      <w:r>
        <w:rPr>
          <w:b/>
          <w:sz w:val="19"/>
        </w:rPr>
        <w:t xml:space="preserve">Übertragbarkeit: </w:t>
      </w:r>
      <w:r>
        <w:rPr>
          <w:sz w:val="19"/>
        </w:rPr>
        <w:t>Schweden, ähnliches Schulsystem und Impfprogramm; zeigt Systemdefizite bei dezentraler HPV-Angebotsumsetzung.</w:t>
      </w:r>
    </w:p>
    <w:p>
      <w:r>
        <w:rPr>
          <w:color w:val="5A7D3A"/>
          <w:sz w:val="18"/>
        </w:rPr>
        <w:t>https://pubmed.ncbi.nlm.nih.gov/42527395/</w:t>
      </w:r>
    </w:p>
    <w:p>
      <w:pPr>
        <w:pStyle w:val="Heading1"/>
      </w:pPr>
      <w:r>
        <w:t>Aufgenommen am 27.08.2026</w:t>
      </w:r>
    </w:p>
    <w:p>
      <w:pPr>
        <w:pStyle w:val="Heading2"/>
      </w:pPr>
      <w:r>
        <w:t>Finnlands zentrales Impfsystem erreicht hohe Quoten, kämpft aber mit Eigenverantwortung und Chancengerechtigkeit</w:t>
      </w:r>
    </w:p>
    <w:p>
      <w:r>
        <w:rPr>
          <w:i/>
          <w:color w:val="666666"/>
          <w:sz w:val="18"/>
        </w:rPr>
        <w:t>Pattyn J et al.  ·  Hum Vaccin Immunother  ·  26.08.2026  ·  PMID 42647143</w:t>
      </w:r>
    </w:p>
    <w:p>
      <w:r>
        <w:t>Eine strukturierte Literaturanalyse mit Experteneingaben beschrieb Finnlands National Vaccination Program (NVP) für Erwachsene, seine Stärken und Hürden.</w:t>
      </w:r>
    </w:p>
    <w:p>
      <w:r>
        <w:rPr>
          <w:b/>
        </w:rPr>
        <w:t xml:space="preserve">Ergebnis: </w:t>
      </w:r>
      <w:r>
        <w:t>Finnlands zentralisiertes, kostenlos bereitgestelltes NVP mit Bevölkerungsregistern erlaubt präzise Monitoring von Abdeckung, Sicherheit und Wirkung. Herausforderungen: Impfung ist individuelle Verantwortung (Compliance-Problem), Kosten für nicht-NVP-Impfstoffe erzeugen Ungleichheit, Impfvertrauen leicht rückläufig. Die CUBE wurde gegründet, um Verhaltensbarrieren zu verstehen.</w:t>
      </w:r>
    </w:p>
    <w:p>
      <w:r>
        <w:rPr>
          <w:b/>
          <w:sz w:val="19"/>
        </w:rPr>
        <w:t xml:space="preserve">Übertragbarkeit: </w:t>
      </w:r>
      <w:r>
        <w:rPr>
          <w:sz w:val="19"/>
        </w:rPr>
        <w:t>skandinavisch mit Impfregister; zeigt Möglichkeiten und Limits zentralisierter Systeme.</w:t>
      </w:r>
    </w:p>
    <w:p>
      <w:r>
        <w:rPr>
          <w:color w:val="5A7D3A"/>
          <w:sz w:val="18"/>
        </w:rPr>
        <w:t>https://pubmed.ncbi.nlm.nih.gov/42647143/</w:t>
      </w:r>
    </w:p>
    <w:p>
      <w:pPr>
        <w:pStyle w:val="Heading2"/>
      </w:pPr>
      <w:r>
        <w:t>HPV-Wissen und Vertrauen in Gesundheitsbehörden prägen Impfbereitschaft in Rumänien</w:t>
      </w:r>
    </w:p>
    <w:p>
      <w:r>
        <w:rPr>
          <w:i/>
          <w:color w:val="666666"/>
          <w:sz w:val="18"/>
        </w:rPr>
        <w:t>Nati ID et al.  ·  Med Sci (Basel)  ·  25.07.2026  ·  PMID 42646566</w:t>
      </w:r>
    </w:p>
    <w:p>
      <w:r>
        <w:t>Eine rumänische Querschnittsumfrage untersuchte kognitive und institutionelle Faktoren für HPV-Impfbereitschaft bei erwachsenen Frauen.</w:t>
      </w:r>
    </w:p>
    <w:p>
      <w:r>
        <w:rPr>
          <w:b/>
        </w:rPr>
        <w:t xml:space="preserve">Ergebnis: </w:t>
      </w:r>
      <w:r>
        <w:t>Unter 368 Befragten lag die Impfquote nur bei 28,6 %. Hohes HPV-Wissen korrelierte mit Impfbereitschaft (p=0,001), ebenso Vertrauen in Behörden. Digitale Fehlinformation zeigte schwachen negativen Zusammenhang mit Wissen, beeinflusste aber Impfbereitschaft nicht direkt. Die Autoren empfehlen Übergang von optionalem zu aktivem Angebot (Opt-out-Modell).</w:t>
      </w:r>
    </w:p>
    <w:p>
      <w:r>
        <w:rPr>
          <w:b/>
          <w:sz w:val="19"/>
        </w:rPr>
        <w:t xml:space="preserve">Übertragbarkeit: </w:t>
      </w:r>
      <w:r>
        <w:rPr>
          <w:sz w:val="19"/>
        </w:rPr>
        <w:t>Süd-/Osteuropa mit ähnlicher administrativer Struktur; zeigt Wirkung von Vertrauen und Struktur.</w:t>
      </w:r>
    </w:p>
    <w:p>
      <w:r>
        <w:rPr>
          <w:color w:val="5A7D3A"/>
          <w:sz w:val="18"/>
        </w:rPr>
        <w:t>https://pubmed.ncbi.nlm.nih.gov/42646566/</w:t>
      </w:r>
    </w:p>
    <w:p>
      <w:pPr>
        <w:pStyle w:val="Heading2"/>
      </w:pPr>
      <w:r>
        <w:t>Lesbarer Weblink in digitalen Impfeinladungen erhöht Vertrauen und Buchungsbereitschaft</w:t>
      </w:r>
    </w:p>
    <w:p>
      <w:r>
        <w:rPr>
          <w:i/>
          <w:color w:val="666666"/>
          <w:sz w:val="18"/>
        </w:rPr>
        <w:t>Oakley CM et al.  ·  J Med Internet Res  ·  25.08.2026  ·  PMID 42640841</w:t>
      </w:r>
    </w:p>
    <w:p>
      <w:r>
        <w:t>Drei randomisierte Onlinestudien mit britischen Teilnehmern testeten, wie das Design von Web-Links in digitalen COVID-19-Impfeinladungen Vertrauen und Buchungsbereitschaft beeinflusst.</w:t>
      </w:r>
    </w:p>
    <w:p>
      <w:r>
        <w:rPr>
          <w:b/>
        </w:rPr>
        <w:t xml:space="preserve">Ergebnis: </w:t>
      </w:r>
      <w:r>
        <w:t>Im Kontrollarm (komplizierter Link) waren 63 % unsicher oder unwillig, ihn zu nutzen. Ein klarer Link (‚vaccine-booking.nhs.uk') verbesserte das Vertrauen (β=0,26 in Exp.1, β=0,24 in Exp.3), ebenso ein Text-eingebetteter Link (β=0,18 in Exp.2, β=0,17 in Exp.3). Ein verkürzter Link brachte keinen Gewinn. Einfache, erkennbare Links erhöhten Buchungsintention über verbessertes Vertrauen und Host-Erkennung.</w:t>
      </w:r>
    </w:p>
    <w:p>
      <w:r>
        <w:rPr>
          <w:b/>
          <w:sz w:val="19"/>
        </w:rPr>
        <w:t xml:space="preserve">Übertragbarkeit: </w:t>
      </w:r>
      <w:r>
        <w:rPr>
          <w:sz w:val="19"/>
        </w:rPr>
        <w:t>Großbritannien; einfache Designprinzipien auch für deutsches Portal- und E-Mail-System anwendbar.</w:t>
      </w:r>
    </w:p>
    <w:p>
      <w:r>
        <w:rPr>
          <w:color w:val="5A7D3A"/>
          <w:sz w:val="18"/>
        </w:rPr>
        <w:t>https://pubmed.ncbi.nlm.nih.gov/42640841/</w:t>
      </w:r>
    </w:p>
    <w:p>
      <w:pPr>
        <w:pStyle w:val="Heading2"/>
      </w:pPr>
      <w:r>
        <w:t>Schwere Nebenwirkungen nach COVID-19-Auffrischung vermindern die Bereitschaft zur erneuten Impfung</w:t>
      </w:r>
    </w:p>
    <w:p>
      <w:r>
        <w:rPr>
          <w:i/>
          <w:color w:val="666666"/>
          <w:sz w:val="18"/>
        </w:rPr>
        <w:t>Huiberts AJ et al.  ·  Vaccine  ·  17.09.2026  ·  PMID 42603508</w:t>
      </w:r>
    </w:p>
    <w:p>
      <w:r>
        <w:t>Eine niederländische Kohortenstudie untersuchte, ob das Auftreten und die Schwere von Nebenwirkungen nach COVID-19-Auffrischimpfungen die Bereitschaft zur Impfung im Folgejahr beeinflussen.</w:t>
      </w:r>
    </w:p>
    <w:p>
      <w:r>
        <w:rPr>
          <w:b/>
        </w:rPr>
        <w:t xml:space="preserve">Ergebnis: </w:t>
      </w:r>
      <w:r>
        <w:t>Von 11.010 Geimpften (2022) waren 73,7 % im nächsten Jahr erneut geimpft. Systémische Nebenwirkungen 2022 waren mit niedrigerem Risiko für Wiederimpfung 2023 verbunden (OR 0,84, 95%-KI 0,76–0,93), besonders bei mittleren (OR 0,79) oder schweren Ereignissen (OR 0,45) sowie Dauer &gt;5 Tagen (OR 0,72). Das Muster wiederholte sich für 2024. Dies zeigt, dass direkte Erfahrungen mit Nebenwirkungen künftige Impfbereitschaft senken.</w:t>
      </w:r>
    </w:p>
    <w:p>
      <w:r>
        <w:rPr>
          <w:b/>
          <w:sz w:val="19"/>
        </w:rPr>
        <w:t xml:space="preserve">Übertragbarkeit: </w:t>
      </w:r>
      <w:r>
        <w:rPr>
          <w:sz w:val="19"/>
        </w:rPr>
        <w:t>Niederlande mit Impfregister; deutsche Routinedaten vergleichbar.</w:t>
      </w:r>
    </w:p>
    <w:p>
      <w:r>
        <w:rPr>
          <w:color w:val="5A7D3A"/>
          <w:sz w:val="18"/>
        </w:rPr>
        <w:t>https://pubmed.ncbi.nlm.nih.gov/42603508/</w:t>
      </w:r>
    </w:p>
    <w:p>
      <w:pPr>
        <w:pStyle w:val="Heading2"/>
      </w:pPr>
      <w:r>
        <w:t>Messaging zu ‚gesundem Altern' erhöht Impfbereitschaft bei älteren Erwachsenen in Frankreich</w:t>
      </w:r>
    </w:p>
    <w:p>
      <w:r>
        <w:rPr>
          <w:i/>
          <w:color w:val="666666"/>
          <w:sz w:val="18"/>
        </w:rPr>
        <w:t>Addario A et al.  ·  Vaccine  ·  17.09.2026  ·  PMID 42594637</w:t>
      </w:r>
    </w:p>
    <w:p>
      <w:r>
        <w:t>Eine französische Querschnittsumfrage mit Social-Marketing-Ansatz testete, welche Botschaften und Zugangsmerkmale die Impfintention bei Älteren (≥60 Jahren) verbessern.</w:t>
      </w:r>
    </w:p>
    <w:p>
      <w:r>
        <w:rPr>
          <w:b/>
        </w:rPr>
        <w:t xml:space="preserve">Ergebnis: </w:t>
      </w:r>
      <w:r>
        <w:t>Von 2.416 Befragten hatten 15,6 % hohe, 81,7 % mittlere und 2,8 % niedrige Impfbereitschaft. Zustimmung, dass Impfung zu gesundem Altern beiträgt, stieg von 3 % (niedrig) auf 56 % (mittel) und 78 % (hoch). Botschaften zu Schlag- und Herzinfarktrisiko zeigten höchste Intention (69–67 %). Gültigkeitsvoucher wurden positiv aufgenommen (57–81 % würden impfen lassen). Ärzte waren vertrauteste Informationsquelle (93–95 %).</w:t>
      </w:r>
    </w:p>
    <w:p>
      <w:r>
        <w:rPr>
          <w:b/>
          <w:sz w:val="19"/>
        </w:rPr>
        <w:t xml:space="preserve">Übertragbarkeit: </w:t>
      </w:r>
      <w:r>
        <w:rPr>
          <w:sz w:val="19"/>
        </w:rPr>
        <w:t>Frankreich mit ähnlichem Versicherungssystem; Fokus auf Rahmung und Zugang in DACH übertragbar.</w:t>
      </w:r>
    </w:p>
    <w:p>
      <w:r>
        <w:rPr>
          <w:color w:val="5A7D3A"/>
          <w:sz w:val="18"/>
        </w:rPr>
        <w:t>https://pubmed.ncbi.nlm.nih.gov/42594637/</w:t>
      </w:r>
    </w:p>
    <w:p>
      <w:pPr>
        <w:pStyle w:val="Heading2"/>
      </w:pPr>
      <w:r>
        <w:t>Omicron-JN.1-Impfstoff bot in den Niederlanden nur begrenzte Zusatzschutzwirkung</w:t>
      </w:r>
    </w:p>
    <w:p>
      <w:r>
        <w:rPr>
          <w:i/>
          <w:color w:val="666666"/>
          <w:sz w:val="18"/>
        </w:rPr>
        <w:t>Huiberts AJ et al.  ·  Vaccine  ·  17.09.2026  ·  PMID 42585808</w:t>
      </w:r>
    </w:p>
    <w:p>
      <w:r>
        <w:t>Eine prospektive holländische Kohortenstudie quantifizierte die Wirksamkeit der JN.1-Varianten-angepassten COVID-19-Impfung gegen Infektionen von September 2024 bis Februar 2025.</w:t>
      </w:r>
    </w:p>
    <w:p>
      <w:r>
        <w:rPr>
          <w:b/>
        </w:rPr>
        <w:t xml:space="preserve">Ergebnis: </w:t>
      </w:r>
      <w:r>
        <w:t>Von 4.490 Teilnehmern &lt;60 Jahren waren 29 % geimpft, von 19.349 Älteren 74 %. Bei 2.142 Infektionen betrug die Impfwirksamkeit 16 % (&lt;60 Jahre, 95%-KI –11–36) und 13 % (≥60 Jahre, 95%-KI 2–23). Gegen KP.3.1.1 und XEC unterschied sich der Schutz nicht signifikant. Die begrenzte Schutzwirkung in einer Phase niedriger Inzidenz deutet auf waning immunity hin.</w:t>
      </w:r>
    </w:p>
    <w:p>
      <w:r>
        <w:rPr>
          <w:b/>
          <w:sz w:val="19"/>
        </w:rPr>
        <w:t xml:space="preserve">Übertragbarkeit: </w:t>
      </w:r>
      <w:r>
        <w:rPr>
          <w:sz w:val="19"/>
        </w:rPr>
        <w:t>Niederlande mit vollständiger Impfdokumentation und genetischer Variantenbestimmung.</w:t>
      </w:r>
    </w:p>
    <w:p>
      <w:r>
        <w:rPr>
          <w:color w:val="5A7D3A"/>
          <w:sz w:val="18"/>
        </w:rPr>
        <w:t>https://pubmed.ncbi.nlm.nih.gov/42585808/</w:t>
      </w:r>
    </w:p>
    <w:p>
      <w:pPr>
        <w:pStyle w:val="Heading1"/>
      </w:pPr>
      <w:r>
        <w:t>Aufgenommen am 26.08.2026</w:t>
      </w:r>
    </w:p>
    <w:p>
      <w:pPr>
        <w:pStyle w:val="Heading2"/>
      </w:pPr>
      <w:r>
        <w:t>Influenza-Impfskepsis bei georgischen Gesundheitspersonal senkt Impfquote über drei Jahre</w:t>
      </w:r>
    </w:p>
    <w:p>
      <w:r>
        <w:rPr>
          <w:i/>
          <w:color w:val="666666"/>
          <w:sz w:val="18"/>
        </w:rPr>
        <w:t>Artemchuk O et al.  ·  PLoS One  ·  25.08.2026  ·  PMID 42640914</w:t>
      </w:r>
    </w:p>
    <w:p>
      <w:r>
        <w:t>Prospektive Kohortenstudie in Georgien mit 403 Krankenhausmitarbeitenden über drei Influenza-Saisons (2021–2024): Welche Faktoren beeinflussen die Annahme der jährlichen Influenza-Impfung?</w:t>
      </w:r>
    </w:p>
    <w:p>
      <w:r>
        <w:rPr>
          <w:b/>
        </w:rPr>
        <w:t xml:space="preserve">Ergebnis: </w:t>
      </w:r>
      <w:r>
        <w:t>72 % erhielten mindestens einmal die Impfung, 28 % nie. Mangelndes Vertrauen in Sicherheit (aOR 0,27) und Wirksamkeit (aOR 0,36) sowie das Alter 40–49 Jahre (aOR 2,67) waren die Hauptfaktoren. Eine Klinik hatte deutlich niedrigere Quoten (aOR 0,06).</w:t>
      </w:r>
    </w:p>
    <w:p>
      <w:r>
        <w:rPr>
          <w:b/>
          <w:sz w:val="19"/>
        </w:rPr>
        <w:t xml:space="preserve">Übertragbarkeit: </w:t>
      </w:r>
      <w:r>
        <w:rPr>
          <w:sz w:val="19"/>
        </w:rPr>
        <w:t>Kaukasus-Region mit WHO-Partner, aber begrenzte Übertragbarkeit auf deutsches System ohne Impfregister.</w:t>
      </w:r>
    </w:p>
    <w:p>
      <w:r>
        <w:rPr>
          <w:color w:val="5A7D3A"/>
          <w:sz w:val="18"/>
        </w:rPr>
        <w:t>https://pubmed.ncbi.nlm.nih.gov/42640914/</w:t>
      </w:r>
    </w:p>
    <w:p>
      <w:pPr>
        <w:pStyle w:val="Heading2"/>
      </w:pPr>
      <w:r>
        <w:t>Impfquote bei 24-Monate-Alten in Italien von 92,75 % auf 94,57 % durch Reorganisation der Dienste</w:t>
      </w:r>
    </w:p>
    <w:p>
      <w:r>
        <w:rPr>
          <w:i/>
          <w:color w:val="666666"/>
          <w:sz w:val="18"/>
        </w:rPr>
        <w:t>Scala A et al.  ·  Front Public Health  ·  10.08.2026  ·  PMID 42638716</w:t>
      </w:r>
    </w:p>
    <w:p>
      <w:r>
        <w:t>Qualitäts-Verbesserungsprojekt in ASL Napoli 3 Sud 2022–2024 mit M.A.S.T.E.R.-Framework: Wie ließ sich die gefallene Abdeckung von Primärserien wieder heben?</w:t>
      </w:r>
    </w:p>
    <w:p>
      <w:r>
        <w:rPr>
          <w:b/>
        </w:rPr>
        <w:t xml:space="preserve">Ergebnis: </w:t>
      </w:r>
      <w:r>
        <w:t>Quote 2023: 92,75 % (Rückgang von 94,57 % 2022). Nach Interventionen (standardisierte Erinnerungen, digitale Kalender, Schulung, Logistik-Überprüfung): 2024 → 94,57 % (+1,82 Pp.). Erinnerungen stiegen von 1.248 auf 2.136, vollendete Nachholtermine von 286 auf 612. Pädiater-Kooperation von 54,2 % auf 87,3 %.</w:t>
      </w:r>
    </w:p>
    <w:p>
      <w:r>
        <w:rPr>
          <w:b/>
          <w:sz w:val="19"/>
        </w:rPr>
        <w:t xml:space="preserve">Übertragbarkeit: </w:t>
      </w:r>
      <w:r>
        <w:rPr>
          <w:sz w:val="19"/>
        </w:rPr>
        <w:t>Italien, südeuropäisches Sozialversicherungssystem, Dokumentation ähnlich Deutschland-Anforderungen.</w:t>
      </w:r>
    </w:p>
    <w:p>
      <w:r>
        <w:rPr>
          <w:color w:val="5A7D3A"/>
          <w:sz w:val="18"/>
        </w:rPr>
        <w:t>https://pubmed.ncbi.nlm.nih.gov/42638716/</w:t>
      </w:r>
    </w:p>
    <w:p>
      <w:pPr>
        <w:pStyle w:val="Heading2"/>
      </w:pPr>
      <w:r>
        <w:t>Schwangere in Gambia: Lücken beim COVID-19-Impfstoffzugang trotz neuer Leitlinien</w:t>
      </w:r>
    </w:p>
    <w:p>
      <w:r>
        <w:rPr>
          <w:i/>
          <w:color w:val="666666"/>
          <w:sz w:val="18"/>
        </w:rPr>
        <w:t>Nkereuwem O et al.  ·  BMJ Open  ·  20.08.2026  ·  PMID 42624601</w:t>
      </w:r>
    </w:p>
    <w:p>
      <w:r>
        <w:t>Qualitative Studie in Gambia mit 15 Fachpersonen und 29 Workshop-Teilnehmenden: Welche Barrieren verhindern, dass Schwangere COVID-19-Impfstoffe erhalten?</w:t>
      </w:r>
    </w:p>
    <w:p>
      <w:r>
        <w:rPr>
          <w:b/>
        </w:rPr>
        <w:t xml:space="preserve">Ergebnis: </w:t>
      </w:r>
      <w:r>
        <w:t>Evolvierende Sicherheitsleitlinien minderten Beratungsvertrauen und verstärkten Vaccine Hesitancy. Fragmentierte Dienste (nicht in Schwangerenvorsorge integriert), schwache Dokumentation von Nebenwirkungen und Misinformation waren Kernprobleme. Strategien: frühe Schulung, Koordination über Berufsgruppen, gestärkte Logistik und Sicherheitsmeldung.</w:t>
      </w:r>
    </w:p>
    <w:p>
      <w:r>
        <w:rPr>
          <w:b/>
          <w:sz w:val="19"/>
        </w:rPr>
        <w:t xml:space="preserve">Übertragbarkeit: </w:t>
      </w:r>
      <w:r>
        <w:rPr>
          <w:sz w:val="19"/>
        </w:rPr>
        <w:t>Subsahara-Afrika, aber Befunde zu systemischer Fragmentierung relevant für Integrationsfragen.</w:t>
      </w:r>
    </w:p>
    <w:p>
      <w:r>
        <w:rPr>
          <w:color w:val="5A7D3A"/>
          <w:sz w:val="18"/>
        </w:rPr>
        <w:t>https://pubmed.ncbi.nlm.nih.gov/42624601/</w:t>
      </w:r>
    </w:p>
    <w:p>
      <w:pPr>
        <w:pStyle w:val="Heading1"/>
      </w:pPr>
      <w:r>
        <w:t>Aufgenommen am 24.08.2026</w:t>
      </w:r>
    </w:p>
    <w:p>
      <w:pPr>
        <w:pStyle w:val="Heading2"/>
      </w:pPr>
      <w:r>
        <w:t>Hochdosis-Grippeimpfstoff senkte Krankenhauseinweisungen bei Altenheimbewohnern um 31 Prozent</w:t>
      </w:r>
    </w:p>
    <w:p>
      <w:r>
        <w:rPr>
          <w:i/>
          <w:color w:val="666666"/>
          <w:sz w:val="18"/>
        </w:rPr>
        <w:t>Bricout H et al.  ·  Age Ageing  ·  03.08.2026  ·  PMID 42632918</w:t>
      </w:r>
    </w:p>
    <w:p>
      <w:r>
        <w:t>Französische Kohortenstudie verglich Wirksamkeit von Hochdosis- versus Standarddosis-Grippeimpfstoff gegen grippebedingte Krankenhauseinweisungen bei Bewohnern von Altenpflegeeinrichtungen (2022–2023).</w:t>
      </w:r>
    </w:p>
    <w:p>
      <w:r>
        <w:rPr>
          <w:b/>
        </w:rPr>
        <w:t xml:space="preserve">Ergebnis: </w:t>
      </w:r>
      <w:r>
        <w:t>Hochdosis-Impfstoff reduzierte grippebedingte Krankenhauseinweisungen um 30,8 % (95 % KI: 11,8–45,7 %; p = 0,0029), verglichen mit Standarddosis. Bei Pneumonie oder kombinierten Ergebnissen zeigte sich kein signifikanter Unterschied. Die Studie stützt bevorzugte Verwendung des Hochdosis-Impfstoffs in dieser Hochrisikogruppe.</w:t>
      </w:r>
    </w:p>
    <w:p>
      <w:r>
        <w:rPr>
          <w:b/>
          <w:sz w:val="19"/>
        </w:rPr>
        <w:t xml:space="preserve">Übertragbarkeit: </w:t>
      </w:r>
      <w:r>
        <w:rPr>
          <w:sz w:val="19"/>
        </w:rPr>
        <w:t>Frankreich mit vergleichbarem Sozialversicherungssystem und Langzeitpflege-Dokumentation wie Deutschland.</w:t>
      </w:r>
    </w:p>
    <w:p>
      <w:r>
        <w:rPr>
          <w:color w:val="5A7D3A"/>
          <w:sz w:val="18"/>
        </w:rPr>
        <w:t>https://pubmed.ncbi.nlm.nih.gov/42632918/</w:t>
      </w:r>
    </w:p>
    <w:p>
      <w:pPr>
        <w:pStyle w:val="Heading1"/>
      </w:pPr>
      <w:r>
        <w:t>Aufgenommen am 22.08.2026</w:t>
      </w:r>
    </w:p>
    <w:p>
      <w:pPr>
        <w:pStyle w:val="Heading2"/>
      </w:pPr>
      <w:r>
        <w:t>HPV-Impfung senkt Häufigkeit von Larynx- und Bindehautpapillomen in Dänemark</w:t>
      </w:r>
    </w:p>
    <w:p>
      <w:r>
        <w:rPr>
          <w:i/>
          <w:color w:val="666666"/>
          <w:sz w:val="18"/>
        </w:rPr>
        <w:t>Aakilde M et al.  ·  APMIS  ·  Aug. 2026  ·  PMID 42619272</w:t>
      </w:r>
    </w:p>
    <w:p>
      <w:r>
        <w:t>Register-Studie: 33 juvenile Larynx-, 134 Bindehautpapillom-Patienten 2005–2024 mit HPV-Subtypisierung und Impfstatus-Abfrage.</w:t>
      </w:r>
    </w:p>
    <w:p>
      <w:r>
        <w:rPr>
          <w:b/>
        </w:rPr>
        <w:t xml:space="preserve">Ergebnis: </w:t>
      </w:r>
      <w:r>
        <w:t>Larynxpapillom-Inzidenz sank von 0,190 pro 100.000 (2005–2013) auf 0,107 (2014–2024), nicht signifikant (p=0,145); keine Fälle bei geimpften Müttern. Bindehautpapillom-Inzidenz sank signifikant um 5,3 % pro Jahr (p=0,002). HPV-6/-11 in 74,1 % nachgewiesen. Studie zeigt Schutzeffekt des Impfprogramms auf Bindehautpapillome, juvenile Larynxpapillome bleiben selten und nur bei ungeimpften Müttern.</w:t>
      </w:r>
    </w:p>
    <w:p>
      <w:r>
        <w:rPr>
          <w:b/>
          <w:sz w:val="19"/>
        </w:rPr>
        <w:t xml:space="preserve">Übertragbarkeit: </w:t>
      </w:r>
      <w:r>
        <w:rPr>
          <w:sz w:val="19"/>
        </w:rPr>
        <w:t>Dänemark, nationales Register, vergleichbare nordeuropäische Impfpraxis</w:t>
      </w:r>
    </w:p>
    <w:p>
      <w:r>
        <w:rPr>
          <w:color w:val="5A7D3A"/>
          <w:sz w:val="18"/>
        </w:rPr>
        <w:t>https://pubmed.ncbi.nlm.nih.gov/42619272/</w:t>
      </w:r>
    </w:p>
    <w:p>
      <w:pPr>
        <w:pStyle w:val="Heading2"/>
      </w:pPr>
      <w:r>
        <w:t>Hepatitis-B-Impfquoten bei trans und nicht-binären Menschen in Deutschland: Wer bleibt ungeimpft?</w:t>
      </w:r>
    </w:p>
    <w:p>
      <w:r>
        <w:rPr>
          <w:i/>
          <w:color w:val="666666"/>
          <w:sz w:val="18"/>
        </w:rPr>
        <w:t>Biallas R et al.  ·  BMC Public Health  ·  11.08.2026  ·  PMID 42576212</w:t>
      </w:r>
    </w:p>
    <w:p>
      <w:r>
        <w:t>Online-Survey von 2.358 trans und nicht-binären Personen zu Hepatitis-B-Diagnosen und Impfstatus, RKI-Studie.</w:t>
      </w:r>
    </w:p>
    <w:p>
      <w:r>
        <w:rPr>
          <w:b/>
        </w:rPr>
        <w:t xml:space="preserve">Ergebnis: </w:t>
      </w:r>
      <w:r>
        <w:t>HBV-Prävalenz 0,6 %, Impfquote 56,3 %. Quote höher bei Personen auf dem männlichen Spektrum (PR 1,29) als weiblich/nicht-binär; höher mit Hochschulbildung (PR 1,44) und in Großstädten (PR 1,22). 550 (21,7 %) waren impfempfohlen; von 213 mit negativem Impfstatus waren 65 % unter 30 und hätten Routine-Impfung erhalten sollen. Wissenslücken zu Hepatitis als Hauptprädiktor für niedrige Quote identifiziert.</w:t>
      </w:r>
    </w:p>
    <w:p>
      <w:r>
        <w:rPr>
          <w:b/>
          <w:sz w:val="19"/>
        </w:rPr>
        <w:t xml:space="preserve">Übertragbarkeit: </w:t>
      </w:r>
      <w:r>
        <w:rPr>
          <w:sz w:val="19"/>
        </w:rPr>
        <w:t>RKI-Studie, deutsche Hochrisikopopulation; Ungleichheit nach Bildung, Geschlechtsidentität und Urbanisierung</w:t>
      </w:r>
    </w:p>
    <w:p>
      <w:r>
        <w:rPr>
          <w:color w:val="5A7D3A"/>
          <w:sz w:val="18"/>
        </w:rPr>
        <w:t>https://pubmed.ncbi.nlm.nih.gov/42576212/</w:t>
      </w:r>
    </w:p>
    <w:p>
      <w:pPr>
        <w:pStyle w:val="Heading1"/>
      </w:pPr>
      <w:r>
        <w:t>Aufgenommen am 21.08.2026</w:t>
      </w:r>
    </w:p>
    <w:p>
      <w:pPr>
        <w:pStyle w:val="Heading2"/>
      </w:pPr>
      <w:r>
        <w:t>MenACWY-Impfung und Meningokokken-Carriage bei Studierenden: Wirksamkeitsevidenz aus Carriage-Monitoring</w:t>
      </w:r>
    </w:p>
    <w:p>
      <w:r>
        <w:rPr>
          <w:i/>
          <w:color w:val="666666"/>
          <w:sz w:val="18"/>
        </w:rPr>
        <w:t>Harvey-Cowlishaw T et al.  ·  Front Public Health  ·  05.08.2026  ·  PMID 42621093</w:t>
      </w:r>
    </w:p>
    <w:p>
      <w:r>
        <w:t>Querschnittstudie (September + November 2024) an 400 Studierenden einer UK-Universität mit Keimkultur/PCR und Vollgenomsequenzierung von Meningokokken-Carriern.</w:t>
      </w:r>
    </w:p>
    <w:p>
      <w:r>
        <w:rPr>
          <w:b/>
        </w:rPr>
        <w:t xml:space="preserve">Ergebnis: </w:t>
      </w:r>
      <w:r>
        <w:t>Carriage-Rate Sepember 12,5 %, November 25,3 % (p&lt;0,05). Genogruppe C: null Isolate (100 % Reduktion durch MenACWY-Vakzinierung). Genogruppe Y: null verkappselte Isolate in dieser Kohorte, konsistent mit Impfeffektivität. Genogruppe B: 34,3 % (multipler Clonal Complex, teils hyperinvasiv). MenACWY schützt Studierende effektiv vor W/Y-Carriage; Genogruppe B bleibt Risiko.</w:t>
      </w:r>
    </w:p>
    <w:p>
      <w:r>
        <w:rPr>
          <w:b/>
          <w:sz w:val="19"/>
        </w:rPr>
        <w:t xml:space="preserve">Übertragbarkeit: </w:t>
      </w:r>
      <w:r>
        <w:rPr>
          <w:sz w:val="19"/>
        </w:rPr>
        <w:t>UK, Kariologie-Surveillance, vergleichbare adoleszente Impfprogramme</w:t>
      </w:r>
    </w:p>
    <w:p>
      <w:r>
        <w:rPr>
          <w:color w:val="5A7D3A"/>
          <w:sz w:val="18"/>
        </w:rPr>
        <w:t>https://pubmed.ncbi.nlm.nih.gov/42621093/</w:t>
      </w:r>
    </w:p>
    <w:p>
      <w:pPr>
        <w:pStyle w:val="Heading2"/>
      </w:pPr>
      <w:r>
        <w:t>Vorbuchte Impftermine für COVID-19: Burden-Vergleich und Wirkung auf Uptake-Intention</w:t>
      </w:r>
    </w:p>
    <w:p>
      <w:r>
        <w:rPr>
          <w:i/>
          <w:color w:val="666666"/>
          <w:sz w:val="18"/>
        </w:rPr>
        <w:t>Sanders JG et al.  ·  Vaccine  ·  30.08.2026  ·  PMID 42546637</w:t>
      </w:r>
    </w:p>
    <w:p>
      <w:r>
        <w:t>Formative Evaluationsstudie (Niederlande) in zwei Phasen – qualitativ (15 Interviews) und experimentell (n=1.886) – zur Wirkung von Vorbuchung vs. Selbstbuchung auf Impfintention.</w:t>
      </w:r>
    </w:p>
    <w:p>
      <w:r>
        <w:rPr>
          <w:b/>
        </w:rPr>
        <w:t xml:space="preserve">Ergebnis: </w:t>
      </w:r>
      <w:r>
        <w:t>Phase 1: Vorbuchung wurde als fürsorglich und auch als bevormundend wahrgenommen. Phase 2: Selbstbuchung wurde als weniger belastend wahrgenommen (β=−0,23, p&lt;0,05), führte aber nicht zu höherer Impfintention (aOR=1,11). Auch bei zögerlichen Personen kein Unterschied (aOR=0,88). Vorbuchung verändert COVID-19-Intention nicht – konservative Empfehlung: Selbstbuchung für bereits geimpfte Ältere.</w:t>
      </w:r>
    </w:p>
    <w:p>
      <w:r>
        <w:rPr>
          <w:b/>
          <w:sz w:val="19"/>
        </w:rPr>
        <w:t xml:space="preserve">Übertragbarkeit: </w:t>
      </w:r>
      <w:r>
        <w:rPr>
          <w:sz w:val="19"/>
        </w:rPr>
        <w:t>Niederlande (RIVM), vergleichbares Versicherungssystem und Impfinfrastruktur</w:t>
      </w:r>
    </w:p>
    <w:p>
      <w:r>
        <w:rPr>
          <w:color w:val="5A7D3A"/>
          <w:sz w:val="18"/>
        </w:rPr>
        <w:t>https://pubmed.ncbi.nlm.nih.gov/42546637/</w:t>
      </w:r>
    </w:p>
    <w:p>
      <w:pPr>
        <w:pStyle w:val="Heading1"/>
      </w:pPr>
      <w:r>
        <w:t>Aufgenommen am 20.08.2026</w:t>
      </w:r>
    </w:p>
    <w:p>
      <w:pPr>
        <w:pStyle w:val="Heading2"/>
      </w:pPr>
      <w:r>
        <w:t>Impfquoten in der Schwangerschaft in Deutschland 2004–2022: Was bleibt ungenutzt?</w:t>
      </w:r>
    </w:p>
    <w:p>
      <w:r>
        <w:rPr>
          <w:i/>
          <w:color w:val="666666"/>
          <w:sz w:val="18"/>
        </w:rPr>
        <w:t>Mulanje L et al.  ·  Sci Rep  ·  18.08.2026  ·  PMID 42613346</w:t>
      </w:r>
    </w:p>
    <w:p>
      <w:r>
        <w:t>Eine Analyse von über 2,8 Mio. Schwangerschaften in deutschen Krankenkassendaten zeigte, wie sich Impfquoten in der Schwangerschaft entwickelten.</w:t>
      </w:r>
    </w:p>
    <w:p>
      <w:r>
        <w:rPr>
          <w:b/>
        </w:rPr>
        <w:t xml:space="preserve">Ergebnis: </w:t>
      </w:r>
      <w:r>
        <w:t>Influenza-Impfquote bei Schwangeren stieg von 2 % (2004–2009) auf 19 % (2020–2022), Pertussis von 3 % (2015–2019) auf 37 % (2020–2022). Weniger als 50 % der empfohlenen Schwangerschaftsimpfungen wurden durchgeführt; Gründe bleiben unklar. Etwa 0,3 % erhielten kontraindizierte Lebendimpfstoffe.</w:t>
      </w:r>
    </w:p>
    <w:p>
      <w:r>
        <w:rPr>
          <w:b/>
          <w:sz w:val="19"/>
        </w:rPr>
        <w:t xml:space="preserve">Übertragbarkeit: </w:t>
      </w:r>
      <w:r>
        <w:rPr>
          <w:sz w:val="19"/>
        </w:rPr>
        <w:t>Deutsche Krankenkassendaten mit vollständiger Erfassung, direkt übertragbar auf deutsches Versorgungssystem.</w:t>
      </w:r>
    </w:p>
    <w:p>
      <w:r>
        <w:rPr>
          <w:color w:val="5A7D3A"/>
          <w:sz w:val="18"/>
        </w:rPr>
        <w:t>https://pubmed.ncbi.nlm.nih.gov/42613346/</w:t>
      </w:r>
    </w:p>
    <w:p>
      <w:pPr>
        <w:pStyle w:val="Heading2"/>
      </w:pPr>
      <w:r>
        <w:t>HPV-Impfung für Adoleszente: Verhaltenswissenschaftliche Entwicklung einer Intervention (15–17 Jahre)</w:t>
      </w:r>
    </w:p>
    <w:p>
      <w:r>
        <w:rPr>
          <w:i/>
          <w:color w:val="666666"/>
          <w:sz w:val="18"/>
        </w:rPr>
        <w:t>Flood T et al.  ·  PLoS One  ·  14.08.2026  ·  PMID 42599892</w:t>
      </w:r>
    </w:p>
    <w:p>
      <w:r>
        <w:t>Qualitative Studie mit fokussierten Interviews (Impfschwestern n=26, Schüler n=34, Lehrer/Schulnursen n=18) zur Entwicklung eines theoriegestützten HPV-Interventionsangebots.</w:t>
      </w:r>
    </w:p>
    <w:p>
      <w:r>
        <w:rPr>
          <w:b/>
        </w:rPr>
        <w:t xml:space="preserve">Ergebnis: </w:t>
      </w:r>
      <w:r>
        <w:t>Systematische Übersicht fand Mangel an Interventionen für diese Altersgruppe. Identifiziert wurden 12 Barrieren für drei Zielverhalten (Schülerentscheidung, Professionalisierung, öffentliche Akzeptanz). Entwickelte Intervention: schulgestützte HPV-Bildung mit Impfangebot, öffentliche Medienkampagne; Erfolg hängt von Unterstützung durch Behörden und Lehrplanintegration ab.</w:t>
      </w:r>
    </w:p>
    <w:p>
      <w:r>
        <w:rPr>
          <w:b/>
          <w:sz w:val="19"/>
        </w:rPr>
        <w:t xml:space="preserve">Übertragbarkeit: </w:t>
      </w:r>
      <w:r>
        <w:rPr>
          <w:sz w:val="19"/>
        </w:rPr>
        <w:t>Nordirland, ähnliche schulbasierte Impfstrukturen wie Deutschland, Barrier-Identifizierung übertragbar.</w:t>
      </w:r>
    </w:p>
    <w:p>
      <w:r>
        <w:rPr>
          <w:color w:val="5A7D3A"/>
          <w:sz w:val="18"/>
        </w:rPr>
        <w:t>https://pubmed.ncbi.nlm.nih.gov/42599892/</w:t>
      </w:r>
    </w:p>
    <w:p>
      <w:pPr>
        <w:pStyle w:val="Heading2"/>
      </w:pPr>
      <w:r>
        <w:t>COVID-19-Sterblichkeit bei Menschen mit schweren psychischen Erkrankungen: Übersterblichkeit trotz Impfung</w:t>
      </w:r>
    </w:p>
    <w:p>
      <w:r>
        <w:rPr>
          <w:i/>
          <w:color w:val="666666"/>
          <w:sz w:val="18"/>
        </w:rPr>
        <w:t>Chilman N et al.  ·  Lancet Psychiatry  ·  Sept. 2026  ·  PMID 42586081</w:t>
      </w:r>
    </w:p>
    <w:p>
      <w:r>
        <w:t>Gesamtbevölkerungsstudie in England (n=13.463.945 COVID-19-Fälle, davon 1,19 % mit schwerer psychischer Erkrankung) auf Mortalität über drei Pandemiephasen mit unterschiedlichem Impfzugang.</w:t>
      </w:r>
    </w:p>
    <w:p>
      <w:r>
        <w:rPr>
          <w:b/>
        </w:rPr>
        <w:t xml:space="preserve">Ergebnis: </w:t>
      </w:r>
      <w:r>
        <w:t>Übersterblichkeit bei schwerer psychischer Erkrankung: aHR 1,56 (95%-KI 1,53–1,59). In Phase 1 (vor Impfung): aHR 1,27; Phase 2 (Impfstart): aHR 1,56; Phase 3 (nach Impfung): aHR 1,55. Impfquoten initial höher (73,2 % vs. 67,4 %), am Ende aber niedriger (79,4 % vs. 87,2 %). Impfung minderte Risiko nur partiell (aHR 1,25, 95%-KI 1,17–1,34).</w:t>
      </w:r>
    </w:p>
    <w:p>
      <w:r>
        <w:rPr>
          <w:b/>
          <w:sz w:val="19"/>
        </w:rPr>
        <w:t xml:space="preserve">Übertragbarkeit: </w:t>
      </w:r>
      <w:r>
        <w:rPr>
          <w:sz w:val="19"/>
        </w:rPr>
        <w:t>England-Gesamtbevölkerung, nationales Gesundheitssystem wie Deutschland, Ungleichheitsfrage zentral.</w:t>
      </w:r>
    </w:p>
    <w:p>
      <w:r>
        <w:rPr>
          <w:color w:val="5A7D3A"/>
          <w:sz w:val="18"/>
        </w:rPr>
        <w:t>https://pubmed.ncbi.nlm.nih.gov/42586081/</w:t>
      </w:r>
    </w:p>
    <w:p>
      <w:pPr>
        <w:pStyle w:val="Heading1"/>
      </w:pPr>
      <w:r>
        <w:t>Aufgenommen am 19.08.2026</w:t>
      </w:r>
    </w:p>
    <w:p>
      <w:pPr>
        <w:pStyle w:val="Heading2"/>
      </w:pPr>
      <w:r>
        <w:t>Psychisches Wohlbefinden und COVID-19-Impfquote: 2,68-fach höherer Impfanteil bei hohem CASP-Wohlbefind</w:t>
      </w:r>
    </w:p>
    <w:p>
      <w:r>
        <w:rPr>
          <w:i/>
          <w:color w:val="666666"/>
          <w:sz w:val="18"/>
        </w:rPr>
        <w:t>Gao Y et al.  ·  Hum Vaccin Immunother  ·  18.08.2026  ·  PMID 42610257</w:t>
      </w:r>
    </w:p>
    <w:p>
      <w:r>
        <w:t>Prospektive Analyse von 29.597 europäischen Erwachsenen ≥50 Jahren (SHARE-Studie, 27 Länder + Israel) zur Assoziation zwischen psychischem Wohlbefinden (CASP-12-Skala) und COVID-19-Impfung, Infektion und Long COVID.</w:t>
      </w:r>
    </w:p>
    <w:p>
      <w:r>
        <w:rPr>
          <w:b/>
        </w:rPr>
        <w:t xml:space="preserve">Ergebnis: </w:t>
      </w:r>
      <w:r>
        <w:t>Personen mit höchster CASP-12-Punktzahl vs. niedrigster: OR für COVID-19-Impfung 2,68 (95%-KI 2,44–2,96). Reduktion von Long COVID um 23% (OR 0,77, 95%-KI 0,64–0,93). Kein signifikanter Effekt auf Infektionsrisiko (OR 0,87, 95%-KI 0,74–1,02). Höheres psychisches Wohlbefinden mit verbessertem Impfstatus und reduziertem Long-COVID-Risiko assoziiert.</w:t>
      </w:r>
    </w:p>
    <w:p>
      <w:r>
        <w:rPr>
          <w:b/>
          <w:sz w:val="19"/>
        </w:rPr>
        <w:t xml:space="preserve">Übertragbarkeit: </w:t>
      </w:r>
      <w:r>
        <w:rPr>
          <w:sz w:val="19"/>
        </w:rPr>
        <w:t>27 europäische Länder, generalisierbar auf deutschsprachigen Raum</w:t>
      </w:r>
    </w:p>
    <w:p>
      <w:r>
        <w:rPr>
          <w:color w:val="5A7D3A"/>
          <w:sz w:val="18"/>
        </w:rPr>
        <w:t>https://pubmed.ncbi.nlm.nih.gov/42610257/</w:t>
      </w:r>
    </w:p>
    <w:p>
      <w:pPr>
        <w:pStyle w:val="Heading2"/>
      </w:pPr>
      <w:r>
        <w:t>Pädiater-Wissenlücken zur RSV-Immunisierung: 55,9% mit durchschnittlichem bis niedrigem Nirsevimab-Wissen</w:t>
      </w:r>
    </w:p>
    <w:p>
      <w:r>
        <w:rPr>
          <w:i/>
          <w:color w:val="666666"/>
          <w:sz w:val="18"/>
        </w:rPr>
        <w:t>Di Chiara C et al.  ·  PLoS One  ·  17.08.2026  ·  PMID 42607062</w:t>
      </w:r>
    </w:p>
    <w:p>
      <w:r>
        <w:t>Befragung von 578 Pädiatern (Rücklaufquote 19,3%) in Spanien, Italien und Zypern/Griechenland zu Wissen, Einstellungen und Barrieren bezüglich neuer RSV-Impfstrategen.</w:t>
      </w:r>
    </w:p>
    <w:p>
      <w:r>
        <w:rPr>
          <w:b/>
        </w:rPr>
        <w:t xml:space="preserve">Ergebnis: </w:t>
      </w:r>
      <w:r>
        <w:t>50% Spanien, 40% Italien, 10% Zypern/Griechenland. Nur 245 Befragte (55,9%) berichteten durchschnittliches bis niedriges Nirsevimab-Wissen, 375 (86,0%) zeigten gleiches für Mutterimpfstoff (p=0,002). Trotz Wissenslücken: 311 (85,9%) bereit, Nirsevimab zu verabreichen, 319 (92,2%) unterstützten es für alle Neugeborenen. Barrieren (20,0% genannt): Unbekannt und logistische Herausforderungen. 165 (47,4%) bevorzugten die Mutterimpfung gegenüber Nirsevimab.</w:t>
      </w:r>
    </w:p>
    <w:p>
      <w:r>
        <w:rPr>
          <w:b/>
          <w:sz w:val="19"/>
        </w:rPr>
        <w:t xml:space="preserve">Übertragbarkeit: </w:t>
      </w:r>
      <w:r>
        <w:rPr>
          <w:sz w:val="19"/>
        </w:rPr>
        <w:t>Südeuropa, aber spanische Erfahrung mit Nirsevimab bereits verfügbar</w:t>
      </w:r>
    </w:p>
    <w:p>
      <w:r>
        <w:rPr>
          <w:color w:val="5A7D3A"/>
          <w:sz w:val="18"/>
        </w:rPr>
        <w:t>https://pubmed.ncbi.nlm.nih.gov/42607062/</w:t>
      </w:r>
    </w:p>
    <w:p>
      <w:pPr>
        <w:pStyle w:val="Heading2"/>
      </w:pPr>
      <w:r>
        <w:t>HPV-Impfung und Schwangerschaftsergebnisse: Registerstudie zeigt keine erhöhten Fehlgeburtsrisiken</w:t>
      </w:r>
    </w:p>
    <w:p>
      <w:r>
        <w:rPr>
          <w:i/>
          <w:color w:val="666666"/>
          <w:sz w:val="18"/>
        </w:rPr>
        <w:t>Koivisto T et al.  ·  Eur J Public Health  ·  04.08.2026  ·  PMID 42586610</w:t>
      </w:r>
    </w:p>
    <w:p>
      <w:r>
        <w:t>Register-Follow-up von 20.426 HPV-geimpften und 19.473 ungeimpften Frauen (Finland, Geburtskohorte 1990-1995) über 11 Jahre zu frühen Schwangerschaftskomplikationen.</w:t>
      </w:r>
    </w:p>
    <w:p>
      <w:r>
        <w:rPr>
          <w:b/>
        </w:rPr>
        <w:t xml:space="preserve">Ergebnis: </w:t>
      </w:r>
      <w:r>
        <w:t>Fehlgeburtsquote in der geimpften Gruppe 1,6% versus 5,3% in der ungeimpften Kontrollgruppe (p&lt;0,0001). Keine zeitliche Assoziation zwischen Impfung und Fehlgeburten. Eileiterschwangerschaften waren selten und vergleichbar (0,6–1,0%). Bei Frauen mit Vorgeschichte von Komplikationen hatten 55,6% der Geimpften mindestens eine Lebendgeburt versus 70,3% der Ungeimpften. Die Impfung war nicht mit erhöhtem Fehlgeburts- oder anderem Schwangerschaftsrisiko verbunden.</w:t>
      </w:r>
    </w:p>
    <w:p>
      <w:r>
        <w:rPr>
          <w:b/>
          <w:sz w:val="19"/>
        </w:rPr>
        <w:t xml:space="preserve">Übertragbarkeit: </w:t>
      </w:r>
      <w:r>
        <w:rPr>
          <w:sz w:val="19"/>
        </w:rPr>
        <w:t>Finnland, Register mit hoher Datenqualität</w:t>
      </w:r>
    </w:p>
    <w:p>
      <w:r>
        <w:rPr>
          <w:color w:val="5A7D3A"/>
          <w:sz w:val="18"/>
        </w:rPr>
        <w:t>https://pubmed.ncbi.nlm.nih.gov/42586610/</w:t>
      </w:r>
    </w:p>
    <w:p>
      <w:pPr>
        <w:pStyle w:val="Heading2"/>
      </w:pPr>
      <w:r>
        <w:t>Influenza-Impfeffektivität gegen Krankenhausaufnahmen: 46% Gesamtschutz in Nordirland 2024/25</w:t>
      </w:r>
    </w:p>
    <w:p>
      <w:r>
        <w:rPr>
          <w:i/>
          <w:color w:val="666666"/>
          <w:sz w:val="18"/>
        </w:rPr>
        <w:t>Bucholc M et al.  ·  Influenza Other Respir Viruses  ·  Aug. 2026  ·  PMID 42560010</w:t>
      </w:r>
    </w:p>
    <w:p>
      <w:r>
        <w:t>Test-Negativ-Design mit 2.024 influenzapositiven Fällen und 13.109 Kontrollen in 15.133 hospitalisierten Patienten zur Schätzung der Impfeffektivität gegen laborbestätigte Influenza.</w:t>
      </w:r>
    </w:p>
    <w:p>
      <w:r>
        <w:rPr>
          <w:b/>
        </w:rPr>
        <w:t xml:space="preserve">Ergebnis: </w:t>
      </w:r>
      <w:r>
        <w:t>Impfeffektivität gegen Influenza insgesamt 46,0% (95%-KI 39,7–51,8%), höher bei Kindern 2-17 Jahren (60,8%, 48,3–70,5%) als Erwachsenen 18-64 Jahren (40,5%, 24,9–53,2%) oder ≥65 Jahren (42,3%, 33,2–50,1%). Gegen Influenza-B: 76,4% (64,9–84,7%). Effektivität gegen A(H1) 44,3%, gegen A(H3) 49,9%. Die Wirksamkeit war höchsten 2-8 Wochen post-Impfung (51,9%) und nahm ab.</w:t>
      </w:r>
    </w:p>
    <w:p>
      <w:r>
        <w:rPr>
          <w:b/>
          <w:sz w:val="19"/>
        </w:rPr>
        <w:t xml:space="preserve">Übertragbarkeit: </w:t>
      </w:r>
      <w:r>
        <w:rPr>
          <w:sz w:val="19"/>
        </w:rPr>
        <w:t>UK-Daten, vergleichbar mit deutschem Gesundheitssystem</w:t>
      </w:r>
    </w:p>
    <w:p>
      <w:r>
        <w:rPr>
          <w:color w:val="5A7D3A"/>
          <w:sz w:val="18"/>
        </w:rPr>
        <w:t>https://pubmed.ncbi.nlm.nih.gov/42560010/</w:t>
      </w:r>
    </w:p>
    <w:p>
      <w:pPr>
        <w:pStyle w:val="Heading2"/>
      </w:pPr>
      <w:r>
        <w:t>Impfluecken bei Kindern in Deutschland: Sozioökonomische Unterschiede und Rolle des Versorgungstyps</w:t>
      </w:r>
    </w:p>
    <w:p>
      <w:r>
        <w:rPr>
          <w:i/>
          <w:color w:val="666666"/>
          <w:sz w:val="18"/>
        </w:rPr>
        <w:t>Nussbaum C et al.  ·  BMC Med  ·  04.08.2026  ·  PMID 42557557</w:t>
      </w:r>
    </w:p>
    <w:p>
      <w:r>
        <w:t>Analyse von 430.000 Kindern aus Versicherungsdaten 2016-2019 zur Erfassung von Impfquoten und sozioökonomischen Gradienten bei von STIKO empfohlenen Impfungen.</w:t>
      </w:r>
    </w:p>
    <w:p>
      <w:r>
        <w:rPr>
          <w:b/>
        </w:rPr>
        <w:t xml:space="preserve">Ergebnis: </w:t>
      </w:r>
      <w:r>
        <w:t>Etwa 80% der empfohlenen Impfserien waren vollständig und rechtzeitig durchgeführt. Ein kleiner, aber signifikanter sozioökonomischer Gradient zugunsten höherer Einkommen zeigte sich (Konzentrationsindex 0,024). Der Anbietertyp erklärt den größten Teil des Gradienten: Hausarztpraxen hatten niedrigere Abschlussquoten als Kinderarztpraxen. Reisezeit trug weniger bei.</w:t>
      </w:r>
    </w:p>
    <w:p>
      <w:r>
        <w:rPr>
          <w:b/>
          <w:sz w:val="19"/>
        </w:rPr>
        <w:t xml:space="preserve">Übertragbarkeit: </w:t>
      </w:r>
      <w:r>
        <w:rPr>
          <w:sz w:val="19"/>
        </w:rPr>
        <w:t>Deutsche Krankenkassendaten, vergleichbare Dokumentationspflichten</w:t>
      </w:r>
    </w:p>
    <w:p>
      <w:r>
        <w:rPr>
          <w:color w:val="5A7D3A"/>
          <w:sz w:val="18"/>
        </w:rPr>
        <w:t>https://pubmed.ncbi.nlm.nih.gov/42557557/</w:t>
      </w:r>
    </w:p>
    <w:p>
      <w:pPr>
        <w:pStyle w:val="Heading2"/>
      </w:pPr>
      <w:r>
        <w:t>Keuchhusten-Impfeffektivität im Säuglingsalter in den Niederlanden: 98,2% Schutz bei vollständiger Impfung</w:t>
      </w:r>
    </w:p>
    <w:p>
      <w:r>
        <w:rPr>
          <w:i/>
          <w:color w:val="666666"/>
          <w:sz w:val="18"/>
        </w:rPr>
        <w:t>van Meijeren DL et al.  ·  Vaccine  ·  13.08.2026  ·  PMID 42526173</w:t>
      </w:r>
    </w:p>
    <w:p>
      <w:r>
        <w:t>Fall-Kontroll-Studie mit 1.156 Fällen und 4.624 Kontrollen (laborbestätigt, 12-35 Monate, 2013-2024) zur Wirksamkeit der Grundimmunisierung gegen Pertussis.</w:t>
      </w:r>
    </w:p>
    <w:p>
      <w:r>
        <w:rPr>
          <w:b/>
        </w:rPr>
        <w:t xml:space="preserve">Ergebnis: </w:t>
      </w:r>
      <w:r>
        <w:t>Gesamteffektivität 98,2% (95%-KI 97,6–98,6) bei vollständiger Impfung, nach der Screening-Methode 96,4% (95%-KI 95,9–96,8). Von den Fällen waren 27% vollständig geimpft, von den Kontrollen 89%. Die Wirksamkeit nahm mit der Zeit seit der Impfung ab (p&lt;0,001), in der Programmphase mit dem älteren DT3aP-Impfstoff etwas stärker als danach.</w:t>
      </w:r>
    </w:p>
    <w:p>
      <w:r>
        <w:rPr>
          <w:b/>
          <w:sz w:val="19"/>
        </w:rPr>
        <w:t xml:space="preserve">Übertragbarkeit: </w:t>
      </w:r>
      <w:r>
        <w:rPr>
          <w:sz w:val="19"/>
        </w:rPr>
        <w:t>Niederlande, vergleichbares Versicherungssystem und Vakzine</w:t>
      </w:r>
    </w:p>
    <w:p>
      <w:r>
        <w:rPr>
          <w:color w:val="5A7D3A"/>
          <w:sz w:val="18"/>
        </w:rPr>
        <w:t>https://pubmed.ncbi.nlm.nih.gov/42526173/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Impfen und Praevention</dc:title>
  <dc:subject/>
  <dc:creator>Monitor Versorgungsforschung</dc:creator>
  <cp:keywords/>
  <dc:description>generated by python-docx</dc:description>
  <cp:lastModifiedBy/>
  <cp:revision>1</cp:revision>
  <dcterms:created xsi:type="dcterms:W3CDTF">2026-10-25T06:00:00Z</dcterms:created>
  <dcterms:modified xsi:type="dcterms:W3CDTF">2026-10-25T06:00:00Z</dcterms:modified>
  <cp:category/>
</cp:coreProperties>
</file>