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04.09.2026  |  73 Studien  |  impfen.m-vf.de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HPV-Impfbewusstsein in indigenen Gemeinschaften Kanadas niedrig</w:t>
      </w:r>
    </w:p>
    <w:p>
      <w:r>
        <w:rPr>
          <w:i/>
          <w:color w:val="666666"/>
          <w:sz w:val="18"/>
        </w:rPr>
        <w:t>Omidimorad A et al.  ·  PLoS One  ·  03.09.2026  ·  PMID 42691150</w:t>
      </w:r>
    </w:p>
    <w:p>
      <w:r>
        <w:t>Community-based participatory research in 11 indigenen Gemeinschaften der Northwest Territories (Kanada, n=221 Erwachsene ≥18 Jahre): Quantitative und qualitative Befragung zu HPV- und HPV-Impfbewusstsein; Multiple logistische Regression und thematische Analyse zu Nicht-Impfungs-Gründen.</w:t>
      </w:r>
    </w:p>
    <w:p>
      <w:r>
        <w:rPr>
          <w:b/>
        </w:rPr>
        <w:t xml:space="preserve">Ergebnis: </w:t>
      </w:r>
      <w:r>
        <w:t>Etwa 50% hatten von HPV gehört, &lt;1/3 von HPV-Impfstoff. Bildung signifikant assoziiert: Niedrigere Bildung → niedrigeres HPV-Bewusstsein (p&lt;0,001). Alter, Geschlecht, Bildung prädizieren Impfstoff-Bewusstsein (Frauen, höhere Bildung, jünger: höher). Nur 26,3% der Geimpften ≤26 Jahre. Qualitativ: Mangelndes Wissen und unzureichende Information sind Hauptbarrieren.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indigene Populations-spezifik; Lessons für deutsche Gesundheitsungleichheit relevant.</w:t>
      </w:r>
    </w:p>
    <w:p>
      <w:r>
        <w:rPr>
          <w:color w:val="5A7D3A"/>
          <w:sz w:val="18"/>
        </w:rPr>
        <w:t>https://pubmed.ncbi.nlm.nih.gov/42691150/</w:t>
      </w:r>
    </w:p>
    <w:p>
      <w:pPr>
        <w:pStyle w:val="Heading2"/>
      </w:pPr>
      <w:r>
        <w:t>Peer-Education durch Medizinstudierende steigert HPV-Impfwissen bei japanischen Jugendlichen</w:t>
      </w:r>
    </w:p>
    <w:p>
      <w:r>
        <w:rPr>
          <w:i/>
          <w:color w:val="666666"/>
          <w:sz w:val="18"/>
        </w:rPr>
        <w:t>Nakajima K et al.  ·  Hum Vaccin Immunother  ·  02.09.2026  ·  PMID 42687414</w:t>
      </w:r>
    </w:p>
    <w:p>
      <w:r>
        <w:t>Explorative Interventionsstudie (Feb 2022–März 2024): Medizinstudierende gaben 1-Stunden-Schulungen zu HPV-Transmission, Gebärmutterhalskrebs-Prävention und Impfwirksamkeit in japanischen Schulen; Folgeerhebung 1–2 Wochen später zu Wissen, Haltung und Impfverhalten.</w:t>
      </w:r>
    </w:p>
    <w:p>
      <w:r>
        <w:rPr>
          <w:b/>
        </w:rPr>
        <w:t xml:space="preserve">Ergebnis: </w:t>
      </w:r>
      <w:r>
        <w:t>864 Schüler teilgenommen, 332 gefolgt. Von 248 Ungeimpften vor Session: 10 Mädchen (7,5%) und 1 Junge (0,9%) erhielten HPV-Impfung innerhalb von 2 Wochen. Schüler mit positiver Impfabsicht zeigten höhere Verständnis-Scores. Geimpfte identifizierten HPV-verhinderbare Krebsarten häufiger korrekt.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Japan-Daten; Near-Peer-Modell könnte für deutsches Schulimpf-Setting adaptierbar sein.</w:t>
      </w:r>
    </w:p>
    <w:p>
      <w:r>
        <w:rPr>
          <w:color w:val="5A7D3A"/>
          <w:sz w:val="18"/>
        </w:rPr>
        <w:t>https://pubmed.ncbi.nlm.nih.gov/42687414/</w:t>
      </w:r>
    </w:p>
    <w:p>
      <w:pPr>
        <w:pStyle w:val="Heading2"/>
      </w:pPr>
      <w:r>
        <w:t>HPV-Impfbereitschaft bei Eltern in ethnischen Autonomie-Bezirken Chinas</w:t>
      </w:r>
    </w:p>
    <w:p>
      <w:r>
        <w:rPr>
          <w:i/>
          <w:color w:val="666666"/>
          <w:sz w:val="18"/>
        </w:rPr>
        <w:t>Li X et al.  ·  Hum Vaccin Immunother  ·  01.09.2026  ·  PMID 42678389</w:t>
      </w:r>
    </w:p>
    <w:p>
      <w:r>
        <w:t>Querschnittsbefragung in Qinghai-Provinz (Dezember 2024–Februar 2025): Erziehungsberechtigte von Schulkindern zu HPV-Impfbereitschaft; Theorien: Health Belief Model und Theory of Planned Behavior (TPB); Hierarchische Regressionsmodelle.</w:t>
      </w:r>
    </w:p>
    <w:p>
      <w:r>
        <w:rPr>
          <w:b/>
        </w:rPr>
        <w:t xml:space="preserve">Ergebnis: </w:t>
      </w:r>
      <w:r>
        <w:t>Hui-Ethnie vs. Han-Ethnie: niedrigere Impfbereitschaft (B=−0,229, p=0,003). Positive Assoziationen mit: Aktionsimpulsen (β=0,121), wahrgenommenen Barrieren (β=0,128), Einstellungen (β=0,203), wahrgenommenem Verhaltenskontrolle (β=0,107), Subjektiven Normen (β=0,323). Bildung und mittleres Einkommen prädizierten höhere Bereitschaft.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kollektive Health-Literacy-Strukturen; Barrieren für deutsche Migrantengruppen vergleichbar.</w:t>
      </w:r>
    </w:p>
    <w:p>
      <w:r>
        <w:rPr>
          <w:color w:val="5A7D3A"/>
          <w:sz w:val="18"/>
        </w:rPr>
        <w:t>https://pubmed.ncbi.nlm.nih.gov/42678389/</w:t>
      </w:r>
    </w:p>
    <w:p>
      <w:pPr>
        <w:pStyle w:val="Heading2"/>
      </w:pPr>
      <w:r>
        <w:t>Geospatial mapping reveals Zero-Dose concentrations in low- und lower-middle-income countries</w:t>
      </w:r>
    </w:p>
    <w:p>
      <w:r>
        <w:rPr>
          <w:i/>
          <w:color w:val="666666"/>
          <w:sz w:val="18"/>
        </w:rPr>
        <w:t>Njogu AM et al.  ·  Vaccine  ·  30.08.2026  ·  PMID 42442083</w:t>
      </w:r>
    </w:p>
    <w:p>
      <w:r>
        <w:t>Scoping Review zu räumlichen Modellierungsmethoden für Impfquoten in Ländern mit niedrigem Einkommen: 102 Artikel analysiert, hauptsächlich zu Routineimpfungen; nur 19,6% zu Zero-Dose-Prävalenz.</w:t>
      </w:r>
    </w:p>
    <w:p>
      <w:r>
        <w:rPr>
          <w:b/>
        </w:rPr>
        <w:t xml:space="preserve">Ergebnis: </w:t>
      </w:r>
      <w:r>
        <w:t>70% der Studien stammen aus 2021-2024. Die meisten nutzen Befragungsdaten statt Routinedaten. Größte Defizite: uneinheitliche Zero-Dose-Definitionen, begrenzte Routinedaten-Nutzung, Unterrepräsentation marginalisierter Gruppen. Geospatiale Kartierung expandiert, aber explorativ statt präzise genug zum gezielten Targeting.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Entwicklungsländer-Fokus; Erkenntnisse für deutsche Registerentwicklung nicht direkt übertragbar.</w:t>
      </w:r>
    </w:p>
    <w:p>
      <w:r>
        <w:rPr>
          <w:color w:val="5A7D3A"/>
          <w:sz w:val="18"/>
        </w:rPr>
        <w:t>https://pubmed.ncbi.nlm.nih.gov/42442083/</w:t>
      </w:r>
    </w:p>
    <w:p>
      <w:pPr>
        <w:pStyle w:val="Heading2"/>
      </w:pPr>
      <w:r>
        <w:t>Antikörperpersistenz nach Kinderimpfungen mit maternaler Tdap-Exposition</w:t>
      </w:r>
    </w:p>
    <w:p>
      <w:r>
        <w:rPr>
          <w:i/>
          <w:color w:val="666666"/>
          <w:sz w:val="18"/>
        </w:rPr>
        <w:t>De Weerdt L et al.  ·  Vaccine  ·  13.08.2026  ·  PMID 42430876</w:t>
      </w:r>
    </w:p>
    <w:p>
      <w:r>
        <w:t>Längsschnittstudie an belgischen Kindern (Term und Frühgeborene) zu Antikörperpersistenz nach sechsvalenter DTaP-IPV-HB-PRP-Impfung und Antwort auf Auffrischung im Schulalter; Maternale Tdap-Impfung während Schwangerschaft als Exposition.</w:t>
      </w:r>
    </w:p>
    <w:p>
      <w:r>
        <w:rPr>
          <w:b/>
        </w:rPr>
        <w:t xml:space="preserve">Ergebnis: </w:t>
      </w:r>
      <w:r>
        <w:t>128 Kinder bei 3 Jahren, 106 bei 5 Jahren, 94 mit Schulauffrischung. Antikörperspiegel sanken zwischen Jahr 3 und 5, Schutzraten blieben hoch (außer Anti-HB: sinkend). Nach Auffrischung: 100% Seroschutz für Diphtherie/Tetanus/Polio Typ 1, ≥96% für Polio Typ 2+3, ≥93% Pertussis-Serokonversion. Maternale Tdap-Strategie wird gestützt.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Versicherungssystem; Impfkalender-Struktur ähnlich.</w:t>
      </w:r>
    </w:p>
    <w:p>
      <w:r>
        <w:rPr>
          <w:color w:val="5A7D3A"/>
          <w:sz w:val="18"/>
        </w:rPr>
        <w:t>https://pubmed.ncbi.nlm.nih.gov/42430876/</w:t>
      </w:r>
    </w:p>
    <w:p>
      <w:pPr>
        <w:pStyle w:val="Heading2"/>
      </w:pPr>
      <w:r>
        <w:t>COVID-19-Impfakzeptanz variiert nach Herkunftsregion in Schweden</w:t>
      </w:r>
    </w:p>
    <w:p>
      <w:r>
        <w:rPr>
          <w:i/>
          <w:color w:val="666666"/>
          <w:sz w:val="18"/>
        </w:rPr>
        <w:t>Hassan M et al.  ·  Front Public Health  ·  24.06.2026  ·  PMID 42422674</w:t>
      </w:r>
    </w:p>
    <w:p>
      <w:r>
        <w:t>Querschnittsbefragung in Schweden (n=3.281) zur COVID-19-Impfbereitschaft stratifiziert nach Geburtsregion: Schweden, Westländer, Nicht-Westländer. Sechs Domänen (Vertrauensdomänen, Normen, Erreichbarkeit) gemessen.</w:t>
      </w:r>
    </w:p>
    <w:p>
      <w:r>
        <w:rPr>
          <w:b/>
        </w:rPr>
        <w:t xml:space="preserve">Ergebnis: </w:t>
      </w:r>
      <w:r>
        <w:t>Geimpfte aus Schweden und Westländern hatten 9,5 bzw. 8,9 Punkte höhere Akzeptanzscores als Ungeimpfte; bei Nicht-Westländern nur 2,8 Punkte Unterschied. Bei Schweden/Westländern: ‚Deskriptive Normen' und ‚Vertrauen in Impfstoffe' stärkste Prädiktoren (OR 2,5–3,6). Bei Nicht-Westländern nur ‚Vertrauen' und ‚Nutzen-Risiko' relevant (OR 1,6–1,7).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Public-Health-System ähnlich; zeigt Defizit bei Migranten-Outreach.</w:t>
      </w:r>
    </w:p>
    <w:p>
      <w:r>
        <w:rPr>
          <w:color w:val="5A7D3A"/>
          <w:sz w:val="18"/>
        </w:rPr>
        <w:t>https://pubmed.ncbi.nlm.nih.gov/42422674/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Grippeimpf-Bewusstsein und -Quote bei Frauen im gebärfähigen Alter in Shanghai</w:t>
      </w:r>
    </w:p>
    <w:p>
      <w:r>
        <w:rPr>
          <w:i/>
          <w:color w:val="666666"/>
          <w:sz w:val="18"/>
        </w:rPr>
        <w:t>Liu P et al.  ·  Hum Vaccin Immunother  ·  16.07.2026  ·  PMID 42684141</w:t>
      </w:r>
    </w:p>
    <w:p>
      <w:r>
        <w:t>Bevölkerungsbasierte Querschnittsstudie zur Impfbereitschaft gegen Influenza bei Frauen im Alter von 15–49 Jahren in Shanghai (Pudong), einschließlich Schwangerenszenarien.</w:t>
      </w:r>
    </w:p>
    <w:p>
      <w:r>
        <w:rPr>
          <w:b/>
        </w:rPr>
        <w:t xml:space="preserve">Ergebnis: </w:t>
      </w:r>
      <w:r>
        <w:t>Wissenswert: 60,61 % zu Influenza, 56,46 % zu Grippeimpfstoff. Gesundheitsberufe hatten höchste Kompetenz. Bei hypothetischer Schwangerschaft: Injektionspräferenz fiel von 41,25 % auf 13,31 %, Nasenspray stieg von 10,60 % auf 23,17 %, Ablehnung von 10,19 % auf 35,58 %. Schwangere bevorzugten Nasenspray (41,67 %). 87,63 % würden Empfehlungen von Frauenärzten 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zeigt Muster zur Impfentscheidung in Schwangerschaft anwendbar auf deutsche Kommunikation</w:t>
      </w:r>
    </w:p>
    <w:p>
      <w:r>
        <w:rPr>
          <w:color w:val="5A7D3A"/>
          <w:sz w:val="18"/>
        </w:rPr>
        <w:t>https://pubmed.ncbi.nlm.nih.gov/42684141/</w:t>
      </w:r>
    </w:p>
    <w:p>
      <w:pPr>
        <w:pStyle w:val="Heading2"/>
      </w:pPr>
      <w:r>
        <w:t>Influenza-Impfquoten bei Ärztinnen und Pflegekräften: Deutschland und China im Vergleich</w:t>
      </w:r>
    </w:p>
    <w:p>
      <w:r>
        <w:rPr>
          <w:i/>
          <w:color w:val="666666"/>
          <w:sz w:val="18"/>
        </w:rPr>
        <w:t>Sanftenberg L et al.  ·  BMC Public Health  ·  01.09.2026  ·  PMID 42681616</w:t>
      </w:r>
    </w:p>
    <w:p>
      <w:r>
        <w:t>Vergleichende Querschnittsstudie zu psychologischen und strukturellen Barrieren für die Grippeimpfung bei Gesundheitspersonal in Deutschland (8.351 Arbeitskräfte, 72 Krankenhäuser) und China (689 Arbeitskräfte, 9 Krankenhäuser) 2024–2025.</w:t>
      </w:r>
    </w:p>
    <w:p>
      <w:r>
        <w:rPr>
          <w:b/>
        </w:rPr>
        <w:t xml:space="preserve">Ergebnis: </w:t>
      </w:r>
      <w:r>
        <w:t>Deutsche Ärzte: 80,9 % geimpft, deutsche Pflegekräfte 48,7 %; chinesische Ärzte: 28,8 %, chinesische Pflegekräfte 32,2 %. Vertrauen und Eigenverantwortung waren wichtige Treiber in beiden Ländern. Deutsche Profis nannten individuelle Gründe für Ablehnung, chinesische hingegen Hürden in der Einrichtung (Zeitmangel). Effektive Interventionen: kostenlose Impfung, Bildung, organisatorische 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Versicherungssystem und Gesundheitsberuferegeln</w:t>
      </w:r>
    </w:p>
    <w:p>
      <w:r>
        <w:rPr>
          <w:color w:val="5A7D3A"/>
          <w:sz w:val="18"/>
        </w:rPr>
        <w:t>https://pubmed.ncbi.nlm.nih.gov/42681616/</w:t>
      </w:r>
    </w:p>
    <w:p>
      <w:pPr>
        <w:pStyle w:val="Heading2"/>
      </w:pPr>
      <w:r>
        <w:t>COVID-19-Impfung bei fortgeschrittenem Lungenkarzinom und Immuntherapie: Real-World-Daten aus Rumänien</w:t>
      </w:r>
    </w:p>
    <w:p>
      <w:r>
        <w:rPr>
          <w:i/>
          <w:color w:val="666666"/>
          <w:sz w:val="18"/>
        </w:rPr>
        <w:t>Gheorghiță V et al.  ·  Medicina (Kaunas)  ·  18.08.2026  ·  PMID 42654486</w:t>
      </w:r>
    </w:p>
    <w:p>
      <w:r>
        <w:t>Retrospektive Kohortenstudie an 139 Patienten mit Stadium-IV-Nicht-Kleinzellkarzinom, die Immun-Checkpoint-Inhibitoren erhielten, stratifiziert nach COVID-19-Impfstatus (0–1 vs. ≥2 Dosen).</w:t>
      </w:r>
    </w:p>
    <w:p>
      <w:r>
        <w:rPr>
          <w:b/>
        </w:rPr>
        <w:t xml:space="preserve">Ergebnis: </w:t>
      </w:r>
      <w:r>
        <w:t>Geimpfte Patienten: längeres progressionsfreies Überleben (13,0 vs. 11,0 Monate) und Gesamtüberleben (29,0 vs. 24,0 Monate; beide p&lt;0,001). Nach Multivariablenkalibrierung abgeschwächt, aber Grenzwertbereich (OS HR=0,83; PFS HR=0,79). ≥2 Dosen assoziiert mit besseren Ergebnissen (PFS 14,0 vs. 12,0 Monate, OS 30,0 vs. 24,0 Monate). Höhere Odds für Grad-1/2-Toxizität mit ≥2 Dosen (OR=2,47, p=0,037), aber keine Grade-4/5-Ereignisse.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Sicherheit in vulnerabler Patientengruppe mit Immuntherapie untersucht</w:t>
      </w:r>
    </w:p>
    <w:p>
      <w:r>
        <w:rPr>
          <w:color w:val="5A7D3A"/>
          <w:sz w:val="18"/>
        </w:rPr>
        <w:t>https://pubmed.ncbi.nlm.nih.gov/42654486/</w:t>
      </w:r>
    </w:p>
    <w:p>
      <w:pPr>
        <w:pStyle w:val="Heading2"/>
      </w:pPr>
      <w:r>
        <w:t>Jennerian-Vakzination in Europa (1799–1810): Transnational verbreitete Arznei und Wissen</w:t>
      </w:r>
    </w:p>
    <w:p>
      <w:r>
        <w:rPr>
          <w:i/>
          <w:color w:val="666666"/>
          <w:sz w:val="18"/>
        </w:rPr>
        <w:t>Tuells J  ·  Vaccine  ·  17.09.2026  ·  PMID 42600246</w:t>
      </w:r>
    </w:p>
    <w:p>
      <w:r>
        <w:t>Historische Studie zur frühen Verbreitung der Kuhpockenvakzination in Europa durch ein Netzwerk von Ärzten, anhand von Korrespondenz und Materialflüssen zwischen London, Wien und Genf.</w:t>
      </w:r>
    </w:p>
    <w:p>
      <w:r>
        <w:rPr>
          <w:b/>
        </w:rPr>
        <w:t xml:space="preserve">Ergebnis: </w:t>
      </w:r>
      <w:r>
        <w:t>Jean de Carro, ein Genfer Arzt in Wien, fungierte als Vermittler für die Verbreitung von Vakzinationswissen und Impfstoff-Lymphe. Das Netzwerk ermöglichte die rasche Ausbreitung von 1799 bis 1810 in Richtung Ottomanisches Reich und Indien. Vakzination verbreitete sich nicht allein durch staatliche Kampagnen, sondern durch transnationale ärztliche Netzwerke.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Historische Perspektive auf Vakzinationsverbreitung durch Netzwerke und persönliche Verbindungen</w:t>
      </w:r>
    </w:p>
    <w:p>
      <w:r>
        <w:rPr>
          <w:color w:val="5A7D3A"/>
          <w:sz w:val="18"/>
        </w:rPr>
        <w:t>https://pubmed.ncbi.nlm.nih.gov/42600246/</w:t>
      </w:r>
    </w:p>
    <w:p>
      <w:pPr>
        <w:pStyle w:val="Heading2"/>
      </w:pPr>
      <w:r>
        <w:t>Mütterliche Sechsfach-Streptococcus-B-Impfung: Phase-1/2-Studie bei nicht-schwangeren und schwangeren Frauen</w:t>
      </w:r>
    </w:p>
    <w:p>
      <w:r>
        <w:rPr>
          <w:i/>
          <w:color w:val="666666"/>
          <w:sz w:val="18"/>
        </w:rPr>
        <w:t>Madhi SA et al.  ·  Nat Med  ·  28.07.2026  ·  PMID 42521820</w:t>
      </w:r>
    </w:p>
    <w:p>
      <w:r>
        <w:t>Randomisierte Phase-1/2-Studie zur Sicherheit, Verträglichkeit und Immunogenität einer hexavalenten Polysaccharid-Protein-Konjugat-GBS-Vakzine (GBS6) in nicht-schwangeren Frauen und schwangeren Frauen sowie deren Neugeborenen.</w:t>
      </w:r>
    </w:p>
    <w:p>
      <w:r>
        <w:rPr>
          <w:b/>
        </w:rPr>
        <w:t xml:space="preserve">Ergebnis: </w:t>
      </w:r>
      <w:r>
        <w:t>Stadium 1 (n=66 nicht-schwanger): GBS6, GBS6+AlPO4 oder Placebo. Subgruppe erhielt Booster ~2 Jahre später. Stadium 3 (n=216 schwanger, 209 Neugeborene): GBS6 oder Placebo (Woche 24–36 Schwangerschaft). Fast alle Reaktogenizität-Ereignisse mild oder moderat. SAE/MAE ähnlich zwischen GBS6 und Placebo bei Müttern und Neugeborenen. GBS6 induzierte robuste Immunantworten; serotyp-spezifische Antikörper in Neugeborenen, deren Mütter GBS6 erhielten. Zwei neonatale Sepsis-Todesfälle (je einer in GBS6 und Placebo), keiner als vakzine-bedingt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USA, UK – erste klinische Daten zu maternaler GBS-Vakzination für neonatalen Schutz</w:t>
      </w:r>
    </w:p>
    <w:p>
      <w:r>
        <w:rPr>
          <w:color w:val="5A7D3A"/>
          <w:sz w:val="18"/>
        </w:rPr>
        <w:t>https://pubmed.ncbi.nlm.nih.gov/42521820/</w:t>
      </w:r>
    </w:p>
    <w:p>
      <w:pPr>
        <w:pStyle w:val="Heading2"/>
      </w:pPr>
      <w:r>
        <w:t>Hochdosis-Grippeimpfstoff in Spanien: Einführung, Anwendung und Evidenz</w:t>
      </w:r>
    </w:p>
    <w:p>
      <w:r>
        <w:rPr>
          <w:i/>
          <w:color w:val="666666"/>
          <w:sz w:val="18"/>
        </w:rPr>
        <w:t>Sanz-Muñoz I et al.  ·  Front Immunol  ·  30.06.2026  ·  PMID 42454050</w:t>
      </w:r>
    </w:p>
    <w:p>
      <w:r>
        <w:t>Narrative Synthese der klinischen Evidenz und Analyse von Vakzinierungsstrategien in spanischen autonomen Gemeinschaften seit Einführung von Hochdosis-Grippeimpfstoffen während der COVID-19-Pandemie.</w:t>
      </w:r>
    </w:p>
    <w:p>
      <w:r>
        <w:rPr>
          <w:b/>
        </w:rPr>
        <w:t xml:space="preserve">Ergebnis: </w:t>
      </w:r>
      <w:r>
        <w:t>Hochdosis-Grippeimpfstoffe zeigen überlegene Effektivität gegen schwere Influenza, Lungenentzündung und Mortalität bei Erwachsenen ≥60 Jahren in randomisierten Studien und Real-World-Daten. Heterogene regionale Aufnahme: manche Regionen priorisierten Institutionalisierte, andere erweiterten auf Community-Bewohner ≥60 Jahre. Trend zu breiter Adoption und Senkung des Altersgrenzwerts.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 Gesundheitssysteme in Europa und Altersstruktur-Problematik</w:t>
      </w:r>
    </w:p>
    <w:p>
      <w:r>
        <w:rPr>
          <w:color w:val="5A7D3A"/>
          <w:sz w:val="18"/>
        </w:rPr>
        <w:t>https://pubmed.ncbi.nlm.nih.gov/42454050/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Grippeimpfstoff-Wirksamkeit gegen mild und schwer verlaufende Infektionen in Portugal</w:t>
      </w:r>
    </w:p>
    <w:p>
      <w:r>
        <w:rPr>
          <w:i/>
          <w:color w:val="666666"/>
          <w:sz w:val="18"/>
        </w:rPr>
        <w:t>Mourao F et al.  ·  Influenza Other Respir Viruses  ·  Sept. 2026  ·  PMID 42675936</w:t>
      </w:r>
    </w:p>
    <w:p>
      <w:r>
        <w:t>Testvergleichsstudie an 3.393 PCR-getesteten Patienten in Portugal (2015/16–2023/24) zur Grippeimpfstoff-Effektivität (IVE) gegen leichte und schwere Erkrankung.</w:t>
      </w:r>
    </w:p>
    <w:p>
      <w:r>
        <w:rPr>
          <w:b/>
        </w:rPr>
        <w:t xml:space="preserve">Ergebnis: </w:t>
      </w:r>
      <w:r>
        <w:t>IVE betrug 40,4 % (KI 22,7–54,0) bei ambulanten Patienten und 38,7 % (KI 17,6–54,5) bei hospitalisierten Fällen; Unterschied von 1,7 % war statistisch nicht signifikant (KI −22,0; 26,8). Keine relevanten Unterschiede in Subgruppen (≥65 Jahre, Komorbiditäten, Influenza-A-Subtypen). Impfstoff schützt über Versorgungssettings hinweg ähnlich gut.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EU-Nachbarland, Gesundheitssystem vergleichbar mit Deutschland</w:t>
      </w:r>
    </w:p>
    <w:p>
      <w:r>
        <w:rPr>
          <w:color w:val="5A7D3A"/>
          <w:sz w:val="18"/>
        </w:rPr>
        <w:t>https://pubmed.ncbi.nlm.nih.gov/42675936/</w:t>
      </w:r>
    </w:p>
    <w:p>
      <w:pPr>
        <w:pStyle w:val="Heading2"/>
      </w:pPr>
      <w:r>
        <w:t>HPV-Impfprogramme weltweit: Schulgebundenes Impfen erzielte höchste Quoten</w:t>
      </w:r>
    </w:p>
    <w:p>
      <w:r>
        <w:rPr>
          <w:i/>
          <w:color w:val="666666"/>
          <w:sz w:val="18"/>
        </w:rPr>
        <w:t>Kyei GK et al.  ·  J Nurs Scholarsh  ·  Sept. 2026  ·  PMID 42670010</w:t>
      </w:r>
    </w:p>
    <w:p>
      <w:r>
        <w:t>Qualitative Vergleichsanalyse von HPV-Impfrichtlinien in acht Ländern (Australien, Brasilien, Japan, Nigeria, Ruanda, Schweden, Großbritannien, USA) zur Identifikation von Einflussfaktoren auf Impfquoten.</w:t>
      </w:r>
    </w:p>
    <w:p>
      <w:r>
        <w:rPr>
          <w:b/>
        </w:rPr>
        <w:t xml:space="preserve">Ergebnis: </w:t>
      </w:r>
      <w:r>
        <w:t>Fünf Programmarchetypen identifiziert. Schulgebundene universelle Programme mit Pflegekräfte-Unterstützung erzielten höchste und gerechteste Abdeckung. Ruanda erreichte trotz Mädchen-fokussiertem, Donor-finanziertem Modell 98 % (Governance und Vertrauen überwogen Programmdesign). Transition zu Ein-Dosis-Impfung erfordert landesspezifische 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Programm-Vergleich, Strukturmerkmale übertragbar, insbesondere schulbasierte Systeme</w:t>
      </w:r>
    </w:p>
    <w:p>
      <w:r>
        <w:rPr>
          <w:color w:val="5A7D3A"/>
          <w:sz w:val="18"/>
        </w:rPr>
        <w:t>https://pubmed.ncbi.nlm.nih.gov/42670010/</w:t>
      </w:r>
    </w:p>
    <w:p>
      <w:pPr>
        <w:pStyle w:val="Heading2"/>
      </w:pPr>
      <w:r>
        <w:t>ChAdOx1 nCoV-19: Langzeitsicherheit bei 4.470 Probanden über 11,77 Monate</w:t>
      </w:r>
    </w:p>
    <w:p>
      <w:r>
        <w:rPr>
          <w:i/>
          <w:color w:val="666666"/>
          <w:sz w:val="18"/>
        </w:rPr>
        <w:t>Ebrahimi N et al.  ·  Vaccine  ·  13.08.2026  ·  PMID 42472497</w:t>
      </w:r>
    </w:p>
    <w:p>
      <w:r>
        <w:t>Prospektive Kohortenstudie von Probanden aus ChAdOx1-nCoV-19-Originalstudien mit follow-up September 2021–April 2022, Erfassung schwerwiegender unerwünschter Ereignisse (SAE) und Ereignisse von besonderem Interesse (AESI) nach Brighton-Collaboration-Definitionen.</w:t>
      </w:r>
    </w:p>
    <w:p>
      <w:r>
        <w:rPr>
          <w:b/>
        </w:rPr>
        <w:t xml:space="preserve">Ergebnis: </w:t>
      </w:r>
      <w:r>
        <w:t>4.470 Teilnehmer, 3.845 (86,0 %) Studienabschluss. Mediane Nachbeobachtung 11,77 Monate, 48.116 Personenmonate Gesamtnachbeobachtung. 174 SAE und 71 AESI (33 als beide registriert) bei 195 Teilnehmern, darunter 5 Todesfälle. Gesamtimmunglobulin-IgG gegen trimeres SARS-CoV-2-Spike-Protein zeigte Anstiegstendenz während Studie. Keine emergenten Sicherheitssignale; kontinuierliche Pharmakovigilanz bleibt essentiell, besonders für neurologische Störungen.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Oxford-Studie, NHS-basierte Kohortenverfolgung, vergleichbar mit deutschen Versorgungsdaten</w:t>
      </w:r>
    </w:p>
    <w:p>
      <w:r>
        <w:rPr>
          <w:color w:val="5A7D3A"/>
          <w:sz w:val="18"/>
        </w:rPr>
        <w:t>https://pubmed.ncbi.nlm.nih.gov/42472497/</w:t>
      </w:r>
    </w:p>
    <w:p>
      <w:pPr>
        <w:pStyle w:val="Heading2"/>
      </w:pPr>
      <w:r>
        <w:t>Hochdosis-Grippeimpfung für Senioren in Skandinavien: Kostenwirksamkeit und Nutzen</w:t>
      </w:r>
    </w:p>
    <w:p>
      <w:r>
        <w:rPr>
          <w:i/>
          <w:color w:val="666666"/>
          <w:sz w:val="18"/>
        </w:rPr>
        <w:t>Grootendorst A et al.  ·  Vaccine  ·  13.08.2026  ·  PMID 42468224</w:t>
      </w:r>
    </w:p>
    <w:p>
      <w:r>
        <w:t>Modellrechnung (Entscheidungsbaum-Influenza-Modell) für vier nordische Länder zum Vergleich nationaler Impfpolitik mit ausgeweitertem Hochdosis-Grippeimpfstoff-Programm für Erwachsene ≥65 Jahre.</w:t>
      </w:r>
    </w:p>
    <w:p>
      <w:r>
        <w:rPr>
          <w:b/>
        </w:rPr>
        <w:t xml:space="preserve">Ergebnis: </w:t>
      </w:r>
      <w:r>
        <w:t>Ausweitung auf alle ≥65-Jährigen würde in Schweden 13.929, Finnland 6.411, Norwegen 5.951 und Dänemark 2.438 symptomatische Fälle verhindern; entsprechend 1.615, 804, 762 bzw. 407 gewonnene Lebensjahre. Hospitalisierungen reduziert um 786, 362, 336 bzw. 138; Zusatzkosten €7,7 Mio (Schweden), €2,5 Mio (Finnland), €4,4 Mio (Norwegen), €2,4 Mio (Dänemark) – vertretbar im Verhältnis zur Gesamtausgaben.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Sozialversicherungssysteme vergleichbar mit Deutschland</w:t>
      </w:r>
    </w:p>
    <w:p>
      <w:r>
        <w:rPr>
          <w:color w:val="5A7D3A"/>
          <w:sz w:val="18"/>
        </w:rPr>
        <w:t>https://pubmed.ncbi.nlm.nih.gov/42468224/</w:t>
      </w:r>
    </w:p>
    <w:p>
      <w:pPr>
        <w:pStyle w:val="Heading2"/>
      </w:pPr>
      <w:r>
        <w:t>Bereitschaft zur Cholera-Impfung in sechs afrikanischen Ländern: Psychologische Faktoren und Krankheitsrisiko</w:t>
      </w:r>
    </w:p>
    <w:p>
      <w:r>
        <w:rPr>
          <w:i/>
          <w:color w:val="666666"/>
          <w:sz w:val="18"/>
        </w:rPr>
        <w:t>Geiger M et al.  ·  Vaccine  ·  13.08.2026  ·  PMID 42462676</w:t>
      </w:r>
    </w:p>
    <w:p>
      <w:r>
        <w:t>Querschnittsbefragung von 14.132 englischsprachigen Teilnehmern in Ghana, Kenia, Nigeria, Südafrika, Tansania und Uganda zur Impfbereitschaft gegen Cholera anhand des 7C-Modells (Vertrauen, Unachtsamkeit, Zwänge, Berechnung, kollektive Verantwortung, Einhaltung, Verschwörungsdenken).</w:t>
      </w:r>
    </w:p>
    <w:p>
      <w:r>
        <w:rPr>
          <w:b/>
        </w:rPr>
        <w:t xml:space="preserve">Ergebnis: </w:t>
      </w:r>
      <w:r>
        <w:t>Impfbereitschaft korrelierte stark mit selbstberichteter Cholera-Impfstatus (d = 0,32) und allgemeinem Impfstatus (r = 0,35). Persönliche Cholera-Erfahrung assoziiert mit höherer Bereitschaft (d = 0,14). Auf Länderebene: Durchschnittliche Bereitschaft korrelierte stark mit Cholera-Inzidenz letzte drei Jahre (ρ = 0,89) – höhere Bereitschaft in Ländern mit höherer Krankheitslast.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methodologische Erkenntnis zu Vaccine Hesitancy-Messung in Ländern mit niedrigem Impfniveau</w:t>
      </w:r>
    </w:p>
    <w:p>
      <w:r>
        <w:rPr>
          <w:color w:val="5A7D3A"/>
          <w:sz w:val="18"/>
        </w:rPr>
        <w:t>https://pubmed.ncbi.nlm.nih.gov/42462676/</w:t>
      </w:r>
    </w:p>
    <w:p>
      <w:pPr>
        <w:pStyle w:val="Heading2"/>
      </w:pPr>
      <w:r>
        <w:t>SARS-CoV-2-Impfung bei Stammzell-Transplantierten: Antikörperantwort vergleichbar mit Gesunden</w:t>
      </w:r>
    </w:p>
    <w:p>
      <w:r>
        <w:rPr>
          <w:i/>
          <w:color w:val="666666"/>
          <w:sz w:val="18"/>
        </w:rPr>
        <w:t>Maier CP et al.  ·  Front Immunol  ·  01.07.2026  ·  PMID 42459652</w:t>
      </w:r>
    </w:p>
    <w:p>
      <w:r>
        <w:t>Längsschnitt-Studie an 354 allogenen Stammzell-Transplantierten und 647 gesunden Kontrollen zu IgG-, IgM-, IgA-Antikörper-Kinetik gegen SARS-CoV-2-Antigene nach mRNA-, Vektor- und Protein-Impfstoff-Dosen.</w:t>
      </w:r>
    </w:p>
    <w:p>
      <w:r>
        <w:rPr>
          <w:b/>
        </w:rPr>
        <w:t xml:space="preserve">Ergebnis: </w:t>
      </w:r>
      <w:r>
        <w:t>Anti-Spike-IgG-Serokonversion: nach 1. Dosis 27 % (Patienten) vs. 28 % (Kontrollen), nach 2. Dosis 65 % vs. 59 %, nach 3. Dosis 93 % vs. 98 %. Nach drei Dosen keine signifikanten Unterschiede mehr zwischen Gruppen. IgM/IgA selten. Negative Prädiktoren nach 1. Dosis (Diagnose, kürzeres Intervall, niedrige Lymphozyten), nach 3. Dosis keine. Antikörperspiegel ≥6 Monate stabil. Durchbruchinfektionen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Autoren (Tübingen), Transplantationszentren vergleichbar</w:t>
      </w:r>
    </w:p>
    <w:p>
      <w:r>
        <w:rPr>
          <w:color w:val="5A7D3A"/>
          <w:sz w:val="18"/>
        </w:rPr>
        <w:t>https://pubmed.ncbi.nlm.nih.gov/42459652/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Neue mRNA-Impfstoffe gegen COVID-19 in Phase 2: Sicherheit und Immunogenität</w:t>
      </w:r>
    </w:p>
    <w:p>
      <w:r>
        <w:rPr>
          <w:i/>
          <w:color w:val="666666"/>
          <w:sz w:val="18"/>
        </w:rPr>
        <w:t>Wong R et al.  ·  Hum Vaccin Immunother  ·  26.08.2026  ·  PMID 42647564</w:t>
      </w:r>
    </w:p>
    <w:p>
      <w:r>
        <w:t>Phase-2-Studie mit 425 vorgeimpften Erwachsenen in Australien: Vergleich experimenteller bivalenter und monovalenter mRNA-Impfstoffe mit lizenziertem Wuhan/BA.4-5-Impfstoff.</w:t>
      </w:r>
    </w:p>
    <w:p>
      <w:r>
        <w:rPr>
          <w:b/>
        </w:rPr>
        <w:t xml:space="preserve">Ergebnis: </w:t>
      </w:r>
      <w:r>
        <w:t>Überwiegend milde bis moderate Lokalreaktionen. Keine impfstoffbedingten schwerwiegenden Nebenwirkungen oder Myokarditis/Perikarditis. CV0701-Impfstoff (bivalent) zeigte dosisabhängige Neutralisationsantikörper-Anstiege gegen ancestrales D614G und Omicron BA.4-5. CD4+- und CD8+-T-Zell-Antworten in allen Gruppen außer niedrigster CV0701-Dosis.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 Studienzentrum, Phase 2; Sicherheitsprofil übertragbar, Immunogenität Laborbiomarker.</w:t>
      </w:r>
    </w:p>
    <w:p>
      <w:r>
        <w:rPr>
          <w:color w:val="5A7D3A"/>
          <w:sz w:val="18"/>
        </w:rPr>
        <w:t>https://pubmed.ncbi.nlm.nih.gov/42647564/</w:t>
      </w:r>
    </w:p>
    <w:p>
      <w:pPr>
        <w:pStyle w:val="Heading2"/>
      </w:pPr>
      <w:r>
        <w:t>Pertussis-Impfschutz in Schweden durch Durchbruchinfektionen gefährdet</w:t>
      </w:r>
    </w:p>
    <w:p>
      <w:r>
        <w:rPr>
          <w:i/>
          <w:color w:val="666666"/>
          <w:sz w:val="18"/>
        </w:rPr>
        <w:t>Brett TS et al.  ·  PLoS Comput Biol  ·  04.08.2026  ·  PMID 42550879</w:t>
      </w:r>
    </w:p>
    <w:p>
      <w:r>
        <w:t>Mathematisches Modell der Pertussis-Dynamik in Schweden mit empirischen Meldedaten: Kombination aus leaky DTaP-Immunität, Impfstoffschutz-Abnahme und erhöhter Datenerfassung seit 2014.</w:t>
      </w:r>
    </w:p>
    <w:p>
      <w:r>
        <w:rPr>
          <w:b/>
        </w:rPr>
        <w:t xml:space="preserve">Ergebnis: </w:t>
      </w:r>
      <w:r>
        <w:t>Die DTaP-Impfung verhindert etwa 50% der Infektionen bei ungeimpften Neugeborenen (indirekter Schutz). Pertussis-Elimination ist mit azellulärem Impfstoff nicht möglich wegen Impfstoff-Durchlässigkeit und Immunitätsverlust. Der Anstieg der Fallmeldungen ab 2014 wird nicht allein durch echte Infektionszunahme erklärt, sondern auch durch verbesserte Labortestung.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mit detailliertem Surveillance-System; Befund auf Deutschland übertragbar.</w:t>
      </w:r>
    </w:p>
    <w:p>
      <w:r>
        <w:rPr>
          <w:color w:val="5A7D3A"/>
          <w:sz w:val="18"/>
        </w:rPr>
        <w:t>https://pubmed.ncbi.nlm.nih.gov/42550879/</w:t>
      </w:r>
    </w:p>
    <w:p>
      <w:pPr>
        <w:pStyle w:val="Heading2"/>
      </w:pPr>
      <w:r>
        <w:t>Zoster-Impfstoff während Krebstherapie: Umsetzbarkeit und Sicherheit</w:t>
      </w:r>
    </w:p>
    <w:p>
      <w:r>
        <w:rPr>
          <w:i/>
          <w:color w:val="666666"/>
          <w:sz w:val="18"/>
        </w:rPr>
        <w:t>Ciappina G et al.  ·  Hum Vaccin Immunother  ·  30.07.2026  ·  PMID 42529910</w:t>
      </w:r>
    </w:p>
    <w:p>
      <w:r>
        <w:t>Retrospektive Kohorte von 42 Krebspatienten unter systemischer Therapie, denen rekombinanter Zoster-Impfstoff (RZV) angeboten wurde; zwei Dosen im Standard-Abstand.</w:t>
      </w:r>
    </w:p>
    <w:p>
      <w:r>
        <w:rPr>
          <w:b/>
        </w:rPr>
        <w:t xml:space="preserve">Ergebnis: </w:t>
      </w:r>
      <w:r>
        <w:t>37 von 42 (88,1%) vollendeten beide Dosen. Verträglichkeit günstig: Injektionsstellen-Schmerz am häufigsten, Systembeschwerden mild und vorübergehend. Keine schweren impfbezogenen Ereignisse, keine Behandlungsverzögerungen. Nach Median 11,5 Monaten kein dokumentiertes Herpes zoster (aber kleine Fallzahl).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Einzelnes italienisches Zentrum; Machbarkeitsbefund für Impfen unter Immunsuppression relevant.</w:t>
      </w:r>
    </w:p>
    <w:p>
      <w:r>
        <w:rPr>
          <w:color w:val="5A7D3A"/>
          <w:sz w:val="18"/>
        </w:rPr>
        <w:t>https://pubmed.ncbi.nlm.nih.gov/42529910/</w:t>
      </w:r>
    </w:p>
    <w:p>
      <w:pPr>
        <w:pStyle w:val="Heading2"/>
      </w:pPr>
      <w:r>
        <w:t>HPV-Impfbereitschaft bei ländlichen Eltern: Barrieren und Anreize in Äthiopien</w:t>
      </w:r>
    </w:p>
    <w:p>
      <w:r>
        <w:rPr>
          <w:i/>
          <w:color w:val="666666"/>
          <w:sz w:val="18"/>
        </w:rPr>
        <w:t>Zenebe S et al.  ·  PLoS One  ·  22.07.2026  ·  PMID 42485289</w:t>
      </w:r>
    </w:p>
    <w:p>
      <w:r>
        <w:t>Qualitative Studie zu Faktoren der HPV-Impf-Akzeptanz bei Eltern von Mädchen im ländlichen Südäthiopien mittels Fokusgruppen und Einzelinterviews.</w:t>
      </w:r>
    </w:p>
    <w:p>
      <w:r>
        <w:rPr>
          <w:b/>
        </w:rPr>
        <w:t xml:space="preserve">Ergebnis: </w:t>
      </w:r>
      <w:r>
        <w:t>Befürworter: Krebsprävention, elterliche Verantwortung, Vertrauen in Fachkräfte-Empfehlungen. Barrieren: Mangelndes Wissen, fehlende zuverlässige Informationsquellen, Impfskepsis, Angst vor Nebenwirkungen, kulturelle und religiöse Faktoren. Hauptempfehlung: Behörden und Institutionen müssen zusammen gegen erkannte Barrieren vorgehen.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Äthiopien-Setting; Befunde zu Vertrauensfaktoren und Wissensdefiziten weltweit relevant.</w:t>
      </w:r>
    </w:p>
    <w:p>
      <w:r>
        <w:rPr>
          <w:color w:val="5A7D3A"/>
          <w:sz w:val="18"/>
        </w:rPr>
        <w:t>https://pubmed.ncbi.nlm.nih.gov/42485289/</w:t>
      </w:r>
    </w:p>
    <w:p>
      <w:pPr>
        <w:pStyle w:val="Heading2"/>
      </w:pPr>
      <w:r>
        <w:t>CAR-T-Zelltherapie für Autoimmunerkrankungen: Stand und Perspektiven</w:t>
      </w:r>
    </w:p>
    <w:p>
      <w:r>
        <w:rPr>
          <w:i/>
          <w:color w:val="666666"/>
          <w:sz w:val="18"/>
        </w:rPr>
        <w:t>Bachl J et al.  ·  PLoS Med  ·  20.07.2026  ·  PMID 42475287</w:t>
      </w:r>
    </w:p>
    <w:p>
      <w:r>
        <w:t>Überblickartikel zu CAR-T-Zellen (chimäre Antigen-Rezeptoren) in der Behandlung von Autoimmunerkrankungen: bisherige Erfolge und offene Fragen.</w:t>
      </w:r>
    </w:p>
    <w:p>
      <w:r>
        <w:rPr>
          <w:b/>
        </w:rPr>
        <w:t xml:space="preserve">Ergebnis: </w:t>
      </w:r>
      <w:r>
        <w:t>CAR-T-Therapien haben Potenzial, dysfunktionale Immunsysteme zurückzusetzen. Neueste technologische Entwicklungen ermöglichen Hoffnung für Patienten mit therapierefraktären Autoimmunerkrankungen. Zahlreiche Herausforderungen bleiben, insgesamt wird die transformative Wirkung dieser Zelltherapien für künftige Patienten angedeutet.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Überblick ohne primäre Daten; nicht primär impfpräventiv, sondern therapeutisch.</w:t>
      </w:r>
    </w:p>
    <w:p>
      <w:r>
        <w:rPr>
          <w:color w:val="5A7D3A"/>
          <w:sz w:val="18"/>
        </w:rPr>
        <w:t>https://pubmed.ncbi.nlm.nih.gov/42475287/</w:t>
      </w:r>
    </w:p>
    <w:p>
      <w:pPr>
        <w:pStyle w:val="Heading2"/>
      </w:pPr>
      <w:r>
        <w:t>Pentavalent-Impflücke verursachte Diphtherie-Ausbruch in Nigeria</w:t>
      </w:r>
    </w:p>
    <w:p>
      <w:r>
        <w:rPr>
          <w:i/>
          <w:color w:val="666666"/>
          <w:sz w:val="18"/>
        </w:rPr>
        <w:t>Okhuarobo UJ et al.  ·  Pan Afr Med J  ·  10.03.2026  ·  PMID 42465825</w:t>
      </w:r>
    </w:p>
    <w:p>
      <w:r>
        <w:t>Fall-Kontroll-Studie zu Diphtherie-Ausbruch in Kafanchan, Nigeria (Juli-Oktober 2023): Exposition, Kontakte und Impfstatus.</w:t>
      </w:r>
    </w:p>
    <w:p>
      <w:r>
        <w:rPr>
          <w:b/>
        </w:rPr>
        <w:t xml:space="preserve">Ergebnis: </w:t>
      </w:r>
      <w:r>
        <w:t>91 Fälle, medianes Alter 7 Jahre, Fallsterblichkeit 23%. Pentavalent-Impfung: protektiv (aOR 0,39, 95%-KI 0,20–0,77). Kontakt mit respiratorischen Symptomen: OR 37,2 (KI 16,8–82,6). 25% hatten nie Pentavalent erhalten, Grund: Unwissenheit über Nutzen. Verbesserung durch Risikokommunikation und gestärkte Routine-Impfung.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Nigeria-Daten; Mechanism-Befund (Lücken-Ausbruch) global übertragbar.</w:t>
      </w:r>
    </w:p>
    <w:p>
      <w:r>
        <w:rPr>
          <w:color w:val="5A7D3A"/>
          <w:sz w:val="18"/>
        </w:rPr>
        <w:t>https://pubmed.ncbi.nlm.nih.gov/42465825/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Langzeitimmunität nach Hepatitis-B-Impfung bei Menschen mit HIV: 8,5-Jahr-Verlauf in China</w:t>
      </w:r>
    </w:p>
    <w:p>
      <w:r>
        <w:rPr>
          <w:i/>
          <w:color w:val="666666"/>
          <w:sz w:val="18"/>
        </w:rPr>
        <w:t>Yang H et al.  ·  Front Public Health  ·  14.08.2026  ·  PMID 42666258</w:t>
      </w:r>
    </w:p>
    <w:p>
      <w:r>
        <w:t>Retrospektive Kohortenstudie mit 195 HIV-positiven Personen ohne anti-HBs-Schutz, die Heplisav-B erhielten, mit Langzeitfollow-up 1,5-8,5 Jahre.</w:t>
      </w:r>
    </w:p>
    <w:p>
      <w:r>
        <w:rPr>
          <w:b/>
        </w:rPr>
        <w:t xml:space="preserve">Ergebnis: </w:t>
      </w:r>
      <w:r>
        <w:t>Nach 3-4 Dosen initial 98% und 85% Responserate (vs. 77-79% nach 1-2 Dosen). Nach 8,5 Jahren: 83% (3 Dosen) und 88% (4 Dosen) zeigten anhaltende Antikörper &gt;100 IU/mL. Unabhängige Korrelaten: Dosenzahl und frühes serologisches Ansprechen.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Heplisav-B weltweit, zeigt optimale Impfschemata für immungeschwächte Personen</w:t>
      </w:r>
    </w:p>
    <w:p>
      <w:r>
        <w:rPr>
          <w:color w:val="5A7D3A"/>
          <w:sz w:val="18"/>
        </w:rPr>
        <w:t>https://pubmed.ncbi.nlm.nih.gov/42666258/</w:t>
      </w:r>
    </w:p>
    <w:p>
      <w:pPr>
        <w:pStyle w:val="Heading2"/>
      </w:pPr>
      <w:r>
        <w:t>Sozioökonomische Ungleichheiten bei COVID-19-Impfung nigerianischer Frauen</w:t>
      </w:r>
    </w:p>
    <w:p>
      <w:r>
        <w:rPr>
          <w:i/>
          <w:color w:val="666666"/>
          <w:sz w:val="18"/>
        </w:rPr>
        <w:t>Ekholuenetale M  ·  PLoS One  ·  28.08.2026  ·  PMID 42664197</w:t>
      </w:r>
    </w:p>
    <w:p>
      <w:r>
        <w:t>Querschnittsanalyse mit 36.555 Frauen aus Nigeria-Bevölkerungsumfrage 2024 zur Zerlegung sozioökonomischer Disparitäten bei Impfquoten.</w:t>
      </w:r>
    </w:p>
    <w:p>
      <w:r>
        <w:rPr>
          <w:b/>
        </w:rPr>
        <w:t xml:space="preserve">Ergebnis: </w:t>
      </w:r>
      <w:r>
        <w:t>Impfquote bei am wenigsten benachteiligten Frauen 31,6%, bei am stärksten benachteiligten 19,2%. Positive Einflussfaktoren: höhere Bildung, Medienpräsenz, Krankenversicherung, Alter ≥30 Jahre, südliche Regionen. Bildung, Medienexposition und Versicherung trugen am stärksten zu Disparitäten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aber Ungleichheitsmuster zeigen universelle Zugangsbarrieren</w:t>
      </w:r>
    </w:p>
    <w:p>
      <w:r>
        <w:rPr>
          <w:color w:val="5A7D3A"/>
          <w:sz w:val="18"/>
        </w:rPr>
        <w:t>https://pubmed.ncbi.nlm.nih.gov/42664197/</w:t>
      </w:r>
    </w:p>
    <w:p>
      <w:pPr>
        <w:pStyle w:val="Heading2"/>
      </w:pPr>
      <w:r>
        <w:t>COVID-19-Impfquote bei Gemeindeimpfterminen: Dauer, Wochentag und Partnerschaft steigern Reichweite</w:t>
      </w:r>
    </w:p>
    <w:p>
      <w:r>
        <w:rPr>
          <w:i/>
          <w:color w:val="666666"/>
          <w:sz w:val="18"/>
        </w:rPr>
        <w:t>Shakib SH et al.  ·  Viruses  ·  11.08.2026  ·  PMID 42655698</w:t>
      </w:r>
    </w:p>
    <w:p>
      <w:r>
        <w:t>Retrospektive Analyse von 631 Impfterminen (27.767 Dosen) in Kentucky 2021-2022 zu Assoziationen zwischen Veranstaltungsmerkmalen und verabreichten Dosen pro Termin.</w:t>
      </w:r>
    </w:p>
    <w:p>
      <w:r>
        <w:rPr>
          <w:b/>
        </w:rPr>
        <w:t xml:space="preserve">Ergebnis: </w:t>
      </w:r>
      <w:r>
        <w:t>Jede zusätzliche Stunde Veranstaltungsdauer: +21,6% Dosen pro Termin. Wochenendtermine: +87,8% gegenüber Wochentagen. Nicht-regierungsorganisationen: +44,7%; Unternehmen: +110%; medizinische Anbieter: +57,8% gegenüber Government-Terminen. Nur-LMPHW-Termine (ohne Partner): +198,4%.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Zugangsoptimierungen übertragbar auf deutsche Impfstellen</w:t>
      </w:r>
    </w:p>
    <w:p>
      <w:r>
        <w:rPr>
          <w:color w:val="5A7D3A"/>
          <w:sz w:val="18"/>
        </w:rPr>
        <w:t>https://pubmed.ncbi.nlm.nih.gov/42655698/</w:t>
      </w:r>
    </w:p>
    <w:p>
      <w:pPr>
        <w:pStyle w:val="Heading2"/>
      </w:pPr>
      <w:r>
        <w:t>Mütterlicherve RSV-Impfung: Akzeptanz und Kommunikationspräferenzen schwangerer Frauen in England</w:t>
      </w:r>
    </w:p>
    <w:p>
      <w:r>
        <w:rPr>
          <w:i/>
          <w:color w:val="666666"/>
          <w:sz w:val="18"/>
        </w:rPr>
        <w:t>Bell S et al.  ·  Vaccine  ·  13.08.2026  ·  PMID 42497669</w:t>
      </w:r>
    </w:p>
    <w:p>
      <w:r>
        <w:t>Qualitative Studie mit 30 Müttern in England zu Wahrnehmungen der maternalen RSV-Impfung ab 28 Schwangerschaftswochen.</w:t>
      </w:r>
    </w:p>
    <w:p>
      <w:r>
        <w:rPr>
          <w:b/>
        </w:rPr>
        <w:t xml:space="preserve">Ergebnis: </w:t>
      </w:r>
      <w:r>
        <w:t>Hohe Impfbereitschaft, aber Wissenslücken zu RSV-Schweregrad. Mütter bevorzugen Informationen online, schriftlich und durch Hebammen; 84% wollen Impfung in Antenatalbetreuung (nicht separate Praxistermine).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Versorgungssystem, neue Impfempfehlung, übertragbare Zugangsoptimierung</w:t>
      </w:r>
    </w:p>
    <w:p>
      <w:r>
        <w:rPr>
          <w:color w:val="5A7D3A"/>
          <w:sz w:val="18"/>
        </w:rPr>
        <w:t>https://pubmed.ncbi.nlm.nih.gov/42497669/</w:t>
      </w:r>
    </w:p>
    <w:p>
      <w:pPr>
        <w:pStyle w:val="Heading2"/>
      </w:pPr>
      <w:r>
        <w:t>Nutzen-Kosten-Analyse: Atemwegsimpfung bei Erwachsenen ≥65 Jahren in Frankreich</w:t>
      </w:r>
    </w:p>
    <w:p>
      <w:r>
        <w:rPr>
          <w:i/>
          <w:color w:val="666666"/>
          <w:sz w:val="18"/>
        </w:rPr>
        <w:t>Napier M et al.  ·  Expert Rev Vaccines  ·  22.07.2026  ·  PMID 42484014</w:t>
      </w:r>
    </w:p>
    <w:p>
      <w:r>
        <w:t>Ökonomische Analyse zur Rentabilität von Pneumokokken-, RSV-, Influenza- und COVID-19-Impfungen bei älteren Franzosen.</w:t>
      </w:r>
    </w:p>
    <w:p>
      <w:r>
        <w:rPr>
          <w:b/>
        </w:rPr>
        <w:t xml:space="preserve">Ergebnis: </w:t>
      </w:r>
      <w:r>
        <w:t>Nutzen-Kosten-Verhältnis 2,0-8,7€ pro 1€ Ausgaben über Lebenszeit. RSV-Impfung würde Nettonutzen um 6-7% erhöhen. Erreichung ehrgeiziger Impfquoten (z.B. auf 90%) würde Nutzen um 138-175% steigern.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System, zeigt Wirtschaftlichkeit höherer Quoten</w:t>
      </w:r>
    </w:p>
    <w:p>
      <w:r>
        <w:rPr>
          <w:color w:val="5A7D3A"/>
          <w:sz w:val="18"/>
        </w:rPr>
        <w:t>https://pubmed.ncbi.nlm.nih.gov/42484014/</w:t>
      </w:r>
    </w:p>
    <w:p>
      <w:pPr>
        <w:pStyle w:val="Heading2"/>
      </w:pPr>
      <w:r>
        <w:t>Tdap-Impfzeitpunkt in der Schwangerschaft: Antikörperresponse und Plazentaweitergabe</w:t>
      </w:r>
    </w:p>
    <w:p>
      <w:r>
        <w:rPr>
          <w:i/>
          <w:color w:val="666666"/>
          <w:sz w:val="18"/>
        </w:rPr>
        <w:t>De Weerdt L et al.  ·  Vaccine  ·  13.08.2026  ·  PMID 42472495</w:t>
      </w:r>
    </w:p>
    <w:p>
      <w:r>
        <w:t>Prospektive Studie mit 96 schwangeren Frauen in Belgien zur Charakterisierung der Auswirkung des Impfzeitpunkts (16.-32. Woche) auf maternale und neonatale Antikörperprofile.</w:t>
      </w:r>
    </w:p>
    <w:p>
      <w:r>
        <w:rPr>
          <w:b/>
        </w:rPr>
        <w:t xml:space="preserve">Ergebnis: </w:t>
      </w:r>
      <w:r>
        <w:t>Maternale IgG und IgG1 gegen Pertussis, Diphtherie, Tetanus bei späteren Impfungen höher; neonatale Profile vergleichbar. IgG-Transferquoten sanken mit fortgeschrittenerem Gestationsalter, funktionelle Antikörperübertragung kaum beeinflusst.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Versicherungssystem, bestätigt Empfehlung 16.-32. Wochen</w:t>
      </w:r>
    </w:p>
    <w:p>
      <w:r>
        <w:rPr>
          <w:color w:val="5A7D3A"/>
          <w:sz w:val="18"/>
        </w:rPr>
        <w:t>https://pubmed.ncbi.nlm.nih.gov/42472495/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Rapid strain-matched Influenza-Impfung hätte 28.000 Todesfälle in UK-ähnlicher Pandemie verhindert</w:t>
      </w:r>
    </w:p>
    <w:p>
      <w:r>
        <w:rPr>
          <w:i/>
          <w:color w:val="666666"/>
          <w:sz w:val="18"/>
        </w:rPr>
        <w:t>Lovick S et al.  ·  Hum Vaccin Immunother  ·  28.08.2026  ·  PMID 42663142</w:t>
      </w:r>
    </w:p>
    <w:p>
      <w:r>
        <w:t>Dynamisches SEIR-Transmissionsmodell für UK-ähnliche Bevölkerung zur Bewertung Morbidität, Mortalität und Kosten einer frühen zellbasierten vs. eibasierten Pandemie-Impfstoff-Kampagne mit/ohne Maßnahmen.</w:t>
      </w:r>
    </w:p>
    <w:p>
      <w:r>
        <w:rPr>
          <w:b/>
        </w:rPr>
        <w:t xml:space="preserve">Ergebnis: </w:t>
      </w:r>
      <w:r>
        <w:t>16-wöchige Impfkampagne ab 16 Wochen nach Pandemie-Erklärung (ohne Maßnahmen) reduzierte Infektionen um 3,0 Millionen und Todesfälle um 28.000, mit größerem Nutzen in Low-Transmissibility-Szenarien. Zellbasierter Impfstoff reduzierte Todesfälle zusätzlich um 5,0%. Maßnahmen (Durchschnittskosten £208 Mrd.) verbesserten Impfeffektivität, zellbasierter Impfstoff zusätzlich um 0,9%. Verzögerungen erhöhten Mortalität und wirtschaftliche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UK-ähnliche Gesundheitssysteme, Modellierung ohne spezifische nationale Daten.</w:t>
      </w:r>
    </w:p>
    <w:p>
      <w:r>
        <w:rPr>
          <w:color w:val="5A7D3A"/>
          <w:sz w:val="18"/>
        </w:rPr>
        <w:t>https://pubmed.ncbi.nlm.nih.gov/42663142/</w:t>
      </w:r>
    </w:p>
    <w:p>
      <w:pPr>
        <w:pStyle w:val="Heading2"/>
      </w:pPr>
      <w:r>
        <w:t>Vertraute Quellen statt digitale Botschaften: Was COVID-19-Skepsis bei Schwarzen schwangeren Frauen senkt</w:t>
      </w:r>
    </w:p>
    <w:p>
      <w:r>
        <w:rPr>
          <w:i/>
          <w:color w:val="666666"/>
          <w:sz w:val="18"/>
        </w:rPr>
        <w:t>Cox E et al.  ·  Front Public Health  ·  12.08.2026  ·  PMID 42656594</w:t>
      </w:r>
    </w:p>
    <w:p>
      <w:r>
        <w:t>Qualitative Studie mit Interviews und Fokusgruppen bei 30 Schwarzen schwangeren und postpartalen Frauen in den USA zum Einfluss von sozialen Medien-Anzeigen auf Impfbereitschaft.</w:t>
      </w:r>
    </w:p>
    <w:p>
      <w:r>
        <w:rPr>
          <w:b/>
        </w:rPr>
        <w:t xml:space="preserve">Ergebnis: </w:t>
      </w:r>
      <w:r>
        <w:t>Geimpfte, religiöse, politisch konservative und verheiratete Frauen zeigten höhere Bereitschaft nach den Anzeigen. Kein einzelnes Messenger-Format oder Inhaltstyp war überlegen. Qualitativ zentral: Vertrauen in sich selbst, Familie, Doulas und Glaubensführer; Misstrauen gegen Staat und Gesundheitssystem sowie medizinischen Rassismus. Persönliches Zeugnis von vertrauten Quellen könnte Akzeptanz 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spezifische Herausforderung für Minderheiten-Vertrauen in Gesundheitssystem.</w:t>
      </w:r>
    </w:p>
    <w:p>
      <w:r>
        <w:rPr>
          <w:color w:val="5A7D3A"/>
          <w:sz w:val="18"/>
        </w:rPr>
        <w:t>https://pubmed.ncbi.nlm.nih.gov/42656594/</w:t>
      </w:r>
    </w:p>
    <w:p>
      <w:pPr>
        <w:pStyle w:val="Heading2"/>
      </w:pPr>
      <w:r>
        <w:t>HPV-geimpfte Jugendliche nutzen Kondome häufiger und kennen mehr über Geschlechtskrankheiten</w:t>
      </w:r>
    </w:p>
    <w:p>
      <w:r>
        <w:rPr>
          <w:i/>
          <w:color w:val="666666"/>
          <w:sz w:val="18"/>
        </w:rPr>
        <w:t>Christensen LD et al.  ·  Dan Med J  ·  09.06.2026  ·  PMID 42592763</w:t>
      </w:r>
    </w:p>
    <w:p>
      <w:r>
        <w:t>Querschnittstudie bei 866 von 1.254 neunten Schulklassen-Schülern (69%) in Dänemark 2020–2024 zu HPV-Impfstatus und Wissen über sexuell übertragbare Infektionen.</w:t>
      </w:r>
    </w:p>
    <w:p>
      <w:r>
        <w:rPr>
          <w:b/>
        </w:rPr>
        <w:t xml:space="preserve">Ergebnis: </w:t>
      </w:r>
      <w:r>
        <w:t>20% der Jugendlichen hatten sexuelle Erfahrung mit Medianalter 14 Jahren. Wissen über drei oder mehr STIs war mit HPV-Impfung assoziiert (p=0,001). 62% nutzten bei letztem Sexualkontakt Kondome und/oder orale Kontrazeptiva; Mädchen 70–80%, Jungen 50–55%. HPV-Geimpfte nutzten Kondome signifikant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Impfprogramm und Bevölkerungsaufbau.</w:t>
      </w:r>
    </w:p>
    <w:p>
      <w:r>
        <w:rPr>
          <w:color w:val="5A7D3A"/>
          <w:sz w:val="18"/>
        </w:rPr>
        <w:t>https://pubmed.ncbi.nlm.nih.gov/42592763/</w:t>
      </w:r>
    </w:p>
    <w:p>
      <w:pPr>
        <w:pStyle w:val="Heading2"/>
      </w:pPr>
      <w:r>
        <w:t>RSV-Impfung bei immungeschwächten Erwachsenen würde Krankheitslast und Kosten in Deutschland senken</w:t>
      </w:r>
    </w:p>
    <w:p>
      <w:r>
        <w:rPr>
          <w:i/>
          <w:color w:val="666666"/>
          <w:sz w:val="18"/>
        </w:rPr>
        <w:t>Quinn E et al.  ·  Expert Rev Vaccines  ·  31.07.2026  ·  PMID 42535735</w:t>
      </w:r>
    </w:p>
    <w:p>
      <w:r>
        <w:t>Kosten-Effektivitätsmodell für RSV-Impfung (RSVpreF) in Deutschland, mit Szenarien für die Erweiterung der STIKO-Empfehlung auf Personen &lt;60 Jahren.</w:t>
      </w:r>
    </w:p>
    <w:p>
      <w:r>
        <w:rPr>
          <w:b/>
        </w:rPr>
        <w:t xml:space="preserve">Ergebnis: </w:t>
      </w:r>
      <w:r>
        <w:t>Gegenwärtig: Empfehlung für 60–74 Jahre und ≥75 Jahre. Erweiterung auf immungeschwächte (IC) Erwachsene 18–59 Jahre würde 6.490 Fälle verhindern, 199 Todesfälle abwenden und 21 Mio. € einsparen. Erweiterung auf IC/chronisch kranke Personen 18–59 Jahre würde 24.545 Fälle und 388 Todesfälle verhindern bei Mehrkosten von 238 Mio.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Versicherungslogik und STIKO-Struktur.</w:t>
      </w:r>
    </w:p>
    <w:p>
      <w:r>
        <w:rPr>
          <w:color w:val="5A7D3A"/>
          <w:sz w:val="18"/>
        </w:rPr>
        <w:t>https://pubmed.ncbi.nlm.nih.gov/42535735/</w:t>
      </w:r>
    </w:p>
    <w:p>
      <w:pPr>
        <w:pStyle w:val="Heading2"/>
      </w:pPr>
      <w:r>
        <w:t>Schützende Antikörper gegen Röteln bei Katalanischen Medizinstudierenden trotz hoher Impfquoten</w:t>
      </w:r>
    </w:p>
    <w:p>
      <w:r>
        <w:rPr>
          <w:i/>
          <w:color w:val="666666"/>
          <w:sz w:val="18"/>
        </w:rPr>
        <w:t>Benito P et al.  ·  Vaccine  ·  13.08.2026  ·  PMID 42501718</w:t>
      </w:r>
    </w:p>
    <w:p>
      <w:r>
        <w:t>Querschnittsstudie an 235 Medizinstudierenden in vier katalanischen Universitäten zur Röteln-Impfquote und Seroprävalenz von Schutzantikörpern.</w:t>
      </w:r>
    </w:p>
    <w:p>
      <w:r>
        <w:rPr>
          <w:b/>
        </w:rPr>
        <w:t xml:space="preserve">Ergebnis: </w:t>
      </w:r>
      <w:r>
        <w:t>94,5% berichteten vollständige Röteln-Impfung; 84,7% hatten schützende Anti-Röteln-IgG-Antikörper, 6,0% grenzwertig und 9,4% negativ. Vollständig Geimpfte waren signifikant häufiger seropositiv (aOR 4,02; 95% CI 1,14–13,11). Nahezu alle Teilnehmenden bewerteten die MMR-Impfung als sicher und wichtig.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Hochschulsystem und Impfkalender.</w:t>
      </w:r>
    </w:p>
    <w:p>
      <w:r>
        <w:rPr>
          <w:color w:val="5A7D3A"/>
          <w:sz w:val="18"/>
        </w:rPr>
        <w:t>https://pubmed.ncbi.nlm.nih.gov/42501718/</w:t>
      </w:r>
    </w:p>
    <w:p>
      <w:pPr>
        <w:pStyle w:val="Heading2"/>
      </w:pPr>
      <w:r>
        <w:t>Catch-up-Impfquoten nach Beratung bei ukrainischen Kinderflüchtlingen in der Schweiz deutlich verbessert</w:t>
      </w:r>
    </w:p>
    <w:p>
      <w:r>
        <w:rPr>
          <w:i/>
          <w:color w:val="666666"/>
          <w:sz w:val="18"/>
        </w:rPr>
        <w:t>Vaezipour N et al.  ·  Eur J Pediatr  ·  23.07.2026  ·  PMID 42489737</w:t>
      </w:r>
    </w:p>
    <w:p>
      <w:r>
        <w:t>Retrospektive Kohortenstudie bei 517 ukrainischen Kinderflüchtlingen in fünf Schweizer Zentren zur Durchimpfung und Infektionsscreening.</w:t>
      </w:r>
    </w:p>
    <w:p>
      <w:r>
        <w:rPr>
          <w:b/>
        </w:rPr>
        <w:t xml:space="preserve">Ergebnis: </w:t>
      </w:r>
      <w:r>
        <w:t>Bei Ankunft 71–82% altersentsprechend geimpft gegen Masern, Diphtherie-Tetanus-Pertussis, Poliomyelitis und Haemophilus influenzae b; Hauptgrund für Lücken war Impfskepsis. Nach Impfberatung/Catch-up-Programme: 98% (509/517) vollständig geimpft. Infektionsscreening-Positivraten niedrig: HIV 2,7%, Hepatitis B 1,6%, Tuberkulose 1,0%.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 und Versorgungsauftrag.</w:t>
      </w:r>
    </w:p>
    <w:p>
      <w:r>
        <w:rPr>
          <w:color w:val="5A7D3A"/>
          <w:sz w:val="18"/>
        </w:rPr>
        <w:t>https://pubmed.ncbi.nlm.nih.gov/42489737/</w:t>
      </w:r>
    </w:p>
    <w:p>
      <w:pPr>
        <w:pStyle w:val="Heading2"/>
      </w:pPr>
      <w:r>
        <w:t>Impfdurchbrüche mit Pneumokokken-Serotyp 3 trotz hoher PCV13-Abdeckung bei Kindern</w:t>
      </w:r>
    </w:p>
    <w:p>
      <w:r>
        <w:rPr>
          <w:i/>
          <w:color w:val="666666"/>
          <w:sz w:val="18"/>
        </w:rPr>
        <w:t>Ciruela P et al.  ·  Vaccine  ·  13.08.2026  ·  PMID 42486053</w:t>
      </w:r>
    </w:p>
    <w:p>
      <w:r>
        <w:t>Retrospektive Beobachtungsstudie zu invasiven Pneumokokken-Erkrankungen bei 206 PCV13-geimpften Kindern in Katalonien 2018–2023 mit Impfquoten &gt;96%.</w:t>
      </w:r>
    </w:p>
    <w:p>
      <w:r>
        <w:rPr>
          <w:b/>
        </w:rPr>
        <w:t xml:space="preserve">Ergebnis: </w:t>
      </w:r>
      <w:r>
        <w:t>48,0% vollständig Geimpfter (n=177) zeigten Impfversagen, vorwiegend durch Serotyp 3 (84,7% der Fälle). Im Vergleich zur Vor-PCV13-Ära war der Schutz länger haltbar, aber der Anteil von Serotyp-3-Durchbrüchen blieb erheblich. Ausschluss von Serotyp 3 senkte die Impfversagensrate von 48,0% auf 12,4%.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Impfprogramm und Surveillance-System.</w:t>
      </w:r>
    </w:p>
    <w:p>
      <w:r>
        <w:rPr>
          <w:color w:val="5A7D3A"/>
          <w:sz w:val="18"/>
        </w:rPr>
        <w:t>https://pubmed.ncbi.nlm.nih.gov/42486053/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Dezentralisierte CAR-T-Zelltherapie: Phase-1-Sicherheit und Machbarkeit</w:t>
      </w:r>
    </w:p>
    <w:p>
      <w:r>
        <w:rPr>
          <w:i/>
          <w:color w:val="666666"/>
          <w:sz w:val="18"/>
        </w:rPr>
        <w:t>Kersten MJ et al.  ·  Lancet Haematol  ·  Sept. 2026  ·  PMID 42660131</w:t>
      </w:r>
    </w:p>
    <w:p>
      <w:r>
        <w:t>Phase-1-Dosis-Eskalationsstudie der dezentralisierten Fertigung von CD19-CAR-T-Zellen (GLPG5101) bei 24 Patienten mit rezidiviertem/refraktärem B-Zell-Non-Hodgkin-Lymphom in Niederlanden und Belgien (März 2022–September 2024).</w:t>
      </w:r>
    </w:p>
    <w:p>
      <w:r>
        <w:rPr>
          <w:b/>
        </w:rPr>
        <w:t xml:space="preserve">Ergebnis: </w:t>
      </w:r>
      <w:r>
        <w:t>Fünf dosislimitierende Toxizitäten berichtet: Grad-3-Thrombozytopenie (n=1), Tod durch intra-abdominale Blutung (n=1), Grad-4-Neutropenie (n=3). Vier therapiebedingte Todesfälle insgesamt. Empfohlene Phase-2-Dosis: 110 × 10⁶ (Bereich 50–110 × 10⁶) CAR⁺-T-Zellen. Studie zeigte Machbarkeit schneller dezentralisierter Fertigung und Lieferung.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dezentralisierte Herstellung lokal lösbar, aber CAR-T grundsätzlich komplexes spezialisiertes Therapieverfahren</w:t>
      </w:r>
    </w:p>
    <w:p>
      <w:r>
        <w:rPr>
          <w:color w:val="5A7D3A"/>
          <w:sz w:val="18"/>
        </w:rPr>
        <w:t>https://pubmed.ncbi.nlm.nih.gov/42660131/</w:t>
      </w:r>
    </w:p>
    <w:p>
      <w:pPr>
        <w:pStyle w:val="Heading2"/>
      </w:pPr>
      <w:r>
        <w:t>Pränatalintervention für Impfakzeptanz durch Bürgerbeteiligung entwickelt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Partizipative Entwicklung einer Antenatalintervention zur Förderung der Impfakzeptanz in Nordirland mit Eltern, Patienten und Öffentlichkeit (Maternity Service Liaison Committee, Sure Start-Programme, aufsuchende Klinik für Ostriesische Gemeinde).</w:t>
      </w:r>
    </w:p>
    <w:p>
      <w:r>
        <w:rPr>
          <w:b/>
        </w:rPr>
        <w:t xml:space="preserve">Ergebnis: </w:t>
      </w:r>
      <w:r>
        <w:t>Input von Eltern und Gemeindevertreter prägte Inhalt, Timing und Präsentation der Impfinformation. Wichtigste Erkenntnisse: klare, einfache Sprachinformation früh in der Schwangerschaft erforderlich, Informationen müssen an verschiedene Bedürfnisse zugeschnitten werden. Vertrauen in etablierte Netzwerke unterstützte Engagement mit unterrepräsentierten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Methode der Bürgerbeteiligung übertragbar, aber Antenatalstrukturen unterscheiden sich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Mpox-Impfstoff Jynneos: Sicherheitsprofil während Ausbruch in Deutschland bestätigt</w:t>
      </w:r>
    </w:p>
    <w:p>
      <w:r>
        <w:rPr>
          <w:i/>
          <w:color w:val="666666"/>
          <w:sz w:val="18"/>
        </w:rPr>
        <w:t>Oberle D et al.  ·  Euro Surveill  ·  Juli 2026  ·  PMID 42535289</w:t>
      </w:r>
    </w:p>
    <w:p>
      <w:r>
        <w:t>Überwachung unerwünschter Ereignisse nach MVA-BN-Impfung gegen Mpox in Deutschland Juni 2022 bis Februar 2024 bei 78.739 verabreichten Dosen.</w:t>
      </w:r>
    </w:p>
    <w:p>
      <w:r>
        <w:rPr>
          <w:b/>
        </w:rPr>
        <w:t xml:space="preserve">Ergebnis: </w:t>
      </w:r>
      <w:r>
        <w:t>32 Einzelfallberichte wurden identifiziert, davon 7 schwerwiegend; 87 unerwünschte Ereignisse insgesamt gemeldet (98,7 pro 100.000 Dosen adjustiert). Das Sicherheitsprofil entsprach der Produktcharakterisierung; keine neuen Sicherheitssignale wurden identifiziert. Lokale und systemische Reaktionen waren überwiegend mild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eigenes Surveillancesystem, direkt übertragbar</w:t>
      </w:r>
    </w:p>
    <w:p>
      <w:r>
        <w:rPr>
          <w:color w:val="5A7D3A"/>
          <w:sz w:val="18"/>
        </w:rPr>
        <w:t>https://pubmed.ncbi.nlm.nih.gov/42535289/</w:t>
      </w:r>
    </w:p>
    <w:p>
      <w:pPr>
        <w:pStyle w:val="Heading2"/>
      </w:pPr>
      <w:r>
        <w:t>Determinanten der Influenza- und COVID-19-Impfquoten bei Hochrisikopatienten</w:t>
      </w:r>
    </w:p>
    <w:p>
      <w:r>
        <w:rPr>
          <w:i/>
          <w:color w:val="666666"/>
          <w:sz w:val="18"/>
        </w:rPr>
        <w:t>Grape L et al.  ·  Hum Vaccin Immunother  ·  28.07.2026  ·  PMID 42518305</w:t>
      </w:r>
    </w:p>
    <w:p>
      <w:r>
        <w:t>Querschnittsstudie mit semistandardisierten Interviews und Patientenakten bei 600 Notaufnahme-Patienten in Nordschweden zur Identifikation von Impfquoten und Barrieren bei Hochrisikogruppen.</w:t>
      </w:r>
    </w:p>
    <w:p>
      <w:r>
        <w:rPr>
          <w:b/>
        </w:rPr>
        <w:t xml:space="preserve">Ergebnis: </w:t>
      </w:r>
      <w:r>
        <w:t>Quote unter berechtigten Personen: 52,0% für Influenza, 54,2% für COVID-19. Koinfektion beider Impfstoffe hoch (aOR 55,33). Männliches Geschlecht (aOR 0,57), jüngeres Alter (aOR 0,50), Rauchen (aOR 0,43) und nur altersbasierte Berechtigung (aOR 0,41) waren mit niedriger Impfakzeptanz assoziiert. Gemeindeebene-Determinanten zeigten wenig Einfluss.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deutsches Versicherungssystem ähnlich, aber Datenquellen und Populationsmerkmale unterscheiden sich</w:t>
      </w:r>
    </w:p>
    <w:p>
      <w:r>
        <w:rPr>
          <w:color w:val="5A7D3A"/>
          <w:sz w:val="18"/>
        </w:rPr>
        <w:t>https://pubmed.ncbi.nlm.nih.gov/42518305/</w:t>
      </w:r>
    </w:p>
    <w:p>
      <w:pPr>
        <w:pStyle w:val="Heading2"/>
      </w:pPr>
      <w:r>
        <w:t>Null-Dosis-Kinder in Madagaskar identifizieren und erreichen</w:t>
      </w:r>
    </w:p>
    <w:p>
      <w:r>
        <w:rPr>
          <w:i/>
          <w:color w:val="666666"/>
          <w:sz w:val="18"/>
        </w:rPr>
        <w:t>Muller N et al.  ·  Bull World Health Organ  ·  01.08.2026  ·  PMID 42516117</w:t>
      </w:r>
    </w:p>
    <w:p>
      <w:r>
        <w:t>Gemeindegestützte Erhebung zur Ermittlung von Kindern ohne DTP-Impfdokumentation in 16 südmadagassischen Distrikten (August 2024–Juni 2025) mit 3.975 ausgebildeten Gemeindegesundheitshelfern und digitalen Werkzeugen.</w:t>
      </w:r>
    </w:p>
    <w:p>
      <w:r>
        <w:rPr>
          <w:b/>
        </w:rPr>
        <w:t xml:space="preserve">Ergebnis: </w:t>
      </w:r>
      <w:r>
        <w:t>81% der fokontanys (3.538/4.347) aktualisierten Register. Von 368.227 erfassten Kindern unter 5 Jahren hatten 58% (213.173) keine dokumentierte DTP-Dosis. Distriktweite Prävalenz von Null-Dosis-Kindern lag zwischen 25% und 86%. 42.700 Null-Dosis-Kinder wurden mit DTP geimpft und übertrafen Programmziel vorzeitig.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Afrikanisches Setting; Digitale Hilfsmittel und Community-Engagement lokal anpassbar, aber Registrierungsinfrastruktur grundverschieden von Deutschland</w:t>
      </w:r>
    </w:p>
    <w:p>
      <w:r>
        <w:rPr>
          <w:color w:val="5A7D3A"/>
          <w:sz w:val="18"/>
        </w:rPr>
        <w:t>https://pubmed.ncbi.nlm.nih.gov/42516117/</w:t>
      </w:r>
    </w:p>
    <w:p>
      <w:pPr>
        <w:pStyle w:val="Heading2"/>
      </w:pPr>
      <w:r>
        <w:t>Impfskepsis im Kriegsgebiet Ukraine: Verhaltensmodellierung von Umfragedaten</w:t>
      </w:r>
    </w:p>
    <w:p>
      <w:r>
        <w:rPr>
          <w:i/>
          <w:color w:val="666666"/>
          <w:sz w:val="18"/>
        </w:rPr>
        <w:t>Naeem A et al.  ·  Health Policy  ·  17.07.2026  ·  PMID 42508188</w:t>
      </w:r>
    </w:p>
    <w:p>
      <w:r>
        <w:t>Agent-basierte Modellierung (ABM) von Impfverhalten in der konfliktbetroffenen Ukraine basierend auf Querschnittsbefragung in 557 Hromadas unter laufendem Krieg; Simulation der Wechselwirkung zwischen Verhaltens-, Struktur- und Sozialvariablen.</w:t>
      </w:r>
    </w:p>
    <w:p>
      <w:r>
        <w:rPr>
          <w:b/>
        </w:rPr>
        <w:t xml:space="preserve">Ergebnis: </w:t>
      </w:r>
      <w:r>
        <w:t>ABM zeigte, dass Impfakzeptanz durch Wechselspiel von Zugangsbarrieren und Peereinfluss gesteuert wird. Glaubenswechsel erreichten 88%; Vakzinierungsquote stieg um 3–15% durch Zugangsbeseitigung. Peer-Dynamiken erhöhten Impfquoten auf 69–89%. Peer-Konformität war dominanter Treiber, was auf Kollektivmechanismus zwischen Sozialsteckung und Verhaltensadoption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Konfliktzone, begrenzt auf Kriegssituationen übertragbar; Methodologie der Verhaltensmodellierung relevant</w:t>
      </w:r>
    </w:p>
    <w:p>
      <w:r>
        <w:rPr>
          <w:color w:val="5A7D3A"/>
          <w:sz w:val="18"/>
        </w:rPr>
        <w:t>https://pubmed.ncbi.nlm.nih.gov/42508188/</w:t>
      </w:r>
    </w:p>
    <w:p>
      <w:pPr>
        <w:pStyle w:val="Heading2"/>
      </w:pPr>
      <w:r>
        <w:t>XBB.1.5-Impfstoff gegen schwere COVID-19 bei immungeschwächten Erwachsenen</w:t>
      </w:r>
    </w:p>
    <w:p>
      <w:r>
        <w:rPr>
          <w:i/>
          <w:color w:val="666666"/>
          <w:sz w:val="18"/>
        </w:rPr>
        <w:t>Blake A et al.  ·  Expert Rev Vaccines  ·  31.12.2026  ·  PMID 42504085</w:t>
      </w:r>
    </w:p>
    <w:p>
      <w:r>
        <w:t>Retrospektive multländer-Kohortenstudie mit elektronischen Gesundheitsakten in Belgien, Dänemark, Italien, Portugal, Spanien (Navarra) und Schweden zur Wirksamkeit des angepassten XBB.1.5-Impfstoffs gegen Hospitalisierung und Tod bei Immungeschwächten (ICPs).</w:t>
      </w:r>
    </w:p>
    <w:p>
      <w:r>
        <w:rPr>
          <w:b/>
        </w:rPr>
        <w:t xml:space="preserve">Ergebnis: </w:t>
      </w:r>
      <w:r>
        <w:t>XBB.1.5-Impfstoffwirksamkeit (VE) betrug 52% (95%-KI 41–60) gegen Hospitalisierung und 75% (95%-KI 60–84) gegen Tod in den ersten 14–59 Tagen nach Impfung. VE nahm mit zeitlichem Abstand ab; kein Schutz mehr nach 180–365 Tagen. Moderate Schutzwirkung innerhalb von 120 Tagen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EHR-Netzwerk; vergleichbare Gesundheitssysteme (Belgien, Dänemark, Schweden, südliche EU)</w:t>
      </w:r>
    </w:p>
    <w:p>
      <w:r>
        <w:rPr>
          <w:color w:val="5A7D3A"/>
          <w:sz w:val="18"/>
        </w:rPr>
        <w:t>https://pubmed.ncbi.nlm.nih.gov/42504085/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