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Impfpraevention</w:t>
      </w:r>
    </w:p>
    <w:p>
      <w:r>
        <w:rPr>
          <w:i/>
          <w:color w:val="666666"/>
          <w:sz w:val="18"/>
        </w:rPr>
        <w:t>Stand: 28.09.2026  |  221 Studien  |  impfen.m-vf.de</w:t>
      </w:r>
    </w:p>
    <w:p>
      <w:pPr>
        <w:pStyle w:val="Heading1"/>
      </w:pPr>
      <w:r>
        <w:t>Aufgenommen am 28.09.2026</w:t>
      </w:r>
    </w:p>
    <w:p>
      <w:pPr>
        <w:pStyle w:val="Heading2"/>
      </w:pPr>
      <w:r>
        <w:t>MMR-Impfung und idiopathische thrombozytopenische Purpura: Risiko nach erster und zweiter Dosis bei englischen Kindern</w:t>
      </w:r>
    </w:p>
    <w:p>
      <w:r>
        <w:rPr>
          <w:i/>
          <w:color w:val="666666"/>
          <w:sz w:val="18"/>
        </w:rPr>
        <w:t>Andrews N et al.  ·  Vaccine  ·  24.10.2026  ·  PMID 42771940</w:t>
      </w:r>
    </w:p>
    <w:p>
      <w:r>
        <w:t>Retrospektive Kohortenstudie anhand von verknüpften Krankenhausdaten zu Blutungskomplikationen nach MMR-Impfung bei 3,9 Millionen Kindern in England 2000-2019.</w:t>
      </w:r>
    </w:p>
    <w:p>
      <w:r>
        <w:rPr>
          <w:b/>
        </w:rPr>
        <w:t xml:space="preserve">Ergebnis: </w:t>
      </w:r>
      <w:r>
        <w:t>Nach erster MMR-Dosis erhöhtes ITP-Risiko (relatives Risiko 2,38; 95%-KI 2,12–2,67), entsprechend 1 Fall pro 42.900 Dosen. Nach zweiter Dosis kein erhöhtes Risiko (RR 0,96; 95%-KI 0,81–1,13). Kinder mit ITP nach Dosis 1 zeigten kein zusätzliches Risiko nach Dosis 2; eine Wiederimpfung ist sicher.</w:t>
      </w:r>
    </w:p>
    <w:p>
      <w:r>
        <w:rPr>
          <w:b/>
          <w:sz w:val="19"/>
        </w:rPr>
        <w:t xml:space="preserve">Übertragbarkeit: </w:t>
      </w:r>
      <w:r>
        <w:rPr>
          <w:sz w:val="19"/>
        </w:rPr>
        <w:t>Englische Klinikdaten, vergleichbare Dokumentationspflichten mit Deutschland.</w:t>
      </w:r>
    </w:p>
    <w:p>
      <w:r>
        <w:rPr>
          <w:color w:val="5A7D3A"/>
          <w:sz w:val="18"/>
        </w:rPr>
        <w:t>https://pubmed.ncbi.nlm.nih.gov/42771940/</w:t>
      </w:r>
    </w:p>
    <w:p>
      <w:pPr>
        <w:pStyle w:val="Heading2"/>
      </w:pPr>
      <w:r>
        <w:t>HPV-Impfquote und Ungleichheit in Süditalien: Sozioökonomische Faktoren und Organisationsbarrieren</w:t>
      </w:r>
    </w:p>
    <w:p>
      <w:r>
        <w:rPr>
          <w:i/>
          <w:color w:val="666666"/>
          <w:sz w:val="18"/>
        </w:rPr>
        <w:t>Mercogliano M et al.  ·  Vaccine  ·  24.10.2026  ·  PMID 42763966</w:t>
      </w:r>
    </w:p>
    <w:p>
      <w:r>
        <w:t>Bevölkerungsbasierte Längsschnittanalyse mit Impfregister-Daten aus Kampanien 2006–2023 zu Einflussfaktoren auf HPV-Impfquoten bei Mädchen und Jungen.</w:t>
      </w:r>
    </w:p>
    <w:p>
      <w:r>
        <w:rPr>
          <w:b/>
        </w:rPr>
        <w:t xml:space="preserve">Ergebnis: </w:t>
      </w:r>
      <w:r>
        <w:t>Ein-Dosis-Quote Mädchen max. 68,5%, Jungen max. 41,1%. Vollständige Immunisierung Mädchen 62,2%, Jungen 29,9%. Sozioökonomische Deprivation senkte Impfquoten bei Jungen (Koeffizient −1,56 für Eine-Dosis-Quote), nicht aber bei routiner Impfung von Mädchen. Nachholimpfung stark von Deprivation betroffen. Impfdichtevariation über Bezirke hinweg unabhängig von Zentrenanzahl.</w:t>
      </w:r>
    </w:p>
    <w:p>
      <w:r>
        <w:rPr>
          <w:b/>
          <w:sz w:val="19"/>
        </w:rPr>
        <w:t xml:space="preserve">Übertragbarkeit: </w:t>
      </w:r>
      <w:r>
        <w:rPr>
          <w:sz w:val="19"/>
        </w:rPr>
        <w:t>Italien, vergleichbares Versicherungssystem und Impfprogramm mit Deutschland.</w:t>
      </w:r>
    </w:p>
    <w:p>
      <w:r>
        <w:rPr>
          <w:color w:val="5A7D3A"/>
          <w:sz w:val="18"/>
        </w:rPr>
        <w:t>https://pubmed.ncbi.nlm.nih.gov/42763966/</w:t>
      </w:r>
    </w:p>
    <w:p>
      <w:pPr>
        <w:pStyle w:val="Heading2"/>
      </w:pPr>
      <w:r>
        <w:t>Impfplan-Adhärenz in Deutschland: Komplexität im 1. Lebensjahr senkt Quote</w:t>
      </w:r>
    </w:p>
    <w:p>
      <w:r>
        <w:rPr>
          <w:i/>
          <w:color w:val="666666"/>
          <w:sz w:val="18"/>
        </w:rPr>
        <w:t>Arede M et al.  ·  Vaccine  ·  24.10.2026  ·  PMID 42759250</w:t>
      </w:r>
    </w:p>
    <w:p>
      <w:r>
        <w:t>Querschnitts- und Längsschnittanalyse aus KUNO-Kids-Studie (Bayern 2015–2020) zur Erreichung und zeitgerechten Durchführung des deutschen Impfkalenders bei 2.044 Kindern.</w:t>
      </w:r>
    </w:p>
    <w:p>
      <w:r>
        <w:rPr>
          <w:b/>
        </w:rPr>
        <w:t xml:space="preserve">Ergebnis: </w:t>
      </w:r>
      <w:r>
        <w:t>Bei 24 Monaten: Hexavalent-Impfquoten 71–76%, MMR 86–87%; keine Vakzine erreichte 90–95%-Ziel. Vollständige Kalender-Adhärenz bei 50–55% mit 2 Jahren, 59–76% mit 4 Jahren. Hexavalent-Quote bei 4 Jahren nur 84%, Nachholimpfung geringer als für MMR. Komplexe Mehrfach-Dosis-Schemata im 1. Lebensjahr assoziiert mit verzögerter Adhärenz.</w:t>
      </w:r>
    </w:p>
    <w:p>
      <w:r>
        <w:rPr>
          <w:b/>
          <w:sz w:val="19"/>
        </w:rPr>
        <w:t xml:space="preserve">Übertragbarkeit: </w:t>
      </w:r>
      <w:r>
        <w:rPr>
          <w:sz w:val="19"/>
        </w:rPr>
        <w:t>Deutsche Daten direkt, Versorgungsforschung im eigenen Gesundheitssystem.</w:t>
      </w:r>
    </w:p>
    <w:p>
      <w:r>
        <w:rPr>
          <w:color w:val="5A7D3A"/>
          <w:sz w:val="18"/>
        </w:rPr>
        <w:t>https://pubmed.ncbi.nlm.nih.gov/42759250/</w:t>
      </w:r>
    </w:p>
    <w:p>
      <w:pPr>
        <w:pStyle w:val="Heading2"/>
      </w:pPr>
      <w:r>
        <w:t>Grippe-Impfquoten senken Sterblichkeit älterer Europäer messbar</w:t>
      </w:r>
    </w:p>
    <w:p>
      <w:r>
        <w:rPr>
          <w:i/>
          <w:color w:val="666666"/>
          <w:sz w:val="18"/>
        </w:rPr>
        <w:t>Zhou B et al.  ·  Vaccine  ·  24.10.2026  ·  PMID 42759249</w:t>
      </w:r>
    </w:p>
    <w:p>
      <w:r>
        <w:t>Ökologische Panel-Analyse mit Surveys (SHARE) und GBD-Daten aus 21 EU/EEA-Ländern, Schweiz und Israel (2019/20 und 2021/22) zur Assoziation von Impfquoten mit Mortalität und Morbidität.</w:t>
      </w:r>
    </w:p>
    <w:p>
      <w:r>
        <w:rPr>
          <w:b/>
        </w:rPr>
        <w:t xml:space="preserve">Ergebnis: </w:t>
      </w:r>
      <w:r>
        <w:t>Mittlere Impfquote stieg von 34,5% auf 47,6%, blieb unter 75%-Ziel. Pro 1%-Punkt höhere Impfquote: 14,9 weniger Todesfälle/100.000 Ältere (95%-KI −22,8 bis −7,1), 328,1 weniger Gesamt-DALYs/100.000 (95%-KI −480,4 bis −175,8), 6,3 weniger LRTI-DALYs/100.000. Assoziationen auch für Diabetes-DALYs (−12,1).</w:t>
      </w:r>
    </w:p>
    <w:p>
      <w:r>
        <w:rPr>
          <w:b/>
          <w:sz w:val="19"/>
        </w:rPr>
        <w:t xml:space="preserve">Übertragbarkeit: </w:t>
      </w:r>
      <w:r>
        <w:rPr>
          <w:sz w:val="19"/>
        </w:rPr>
        <w:t>21 europäische Länder, vergleichbare Gesundheitssysteme und Erfassungsmethoden.</w:t>
      </w:r>
    </w:p>
    <w:p>
      <w:r>
        <w:rPr>
          <w:color w:val="5A7D3A"/>
          <w:sz w:val="18"/>
        </w:rPr>
        <w:t>https://pubmed.ncbi.nlm.nih.gov/42759249/</w:t>
      </w:r>
    </w:p>
    <w:p>
      <w:pPr>
        <w:pStyle w:val="Heading2"/>
      </w:pPr>
      <w:r>
        <w:t>Schulische HPV-Impfaufklärung hebt Impfquoten: Was wirkt wirklich?</w:t>
      </w:r>
    </w:p>
    <w:p>
      <w:r>
        <w:rPr>
          <w:i/>
          <w:color w:val="666666"/>
          <w:sz w:val="18"/>
        </w:rPr>
        <w:t>Munoz A et al.  ·  Vaccine  ·  24.10.2026  ·  PMID 42753385</w:t>
      </w:r>
    </w:p>
    <w:p>
      <w:r>
        <w:t>Randomisierte Interventionsstudie mit 2.758 Schülern in 39 französischen Schulen zur Mediation von Effekten zwischen Wissens-, Einstellungs- und Verhaltensänderungen und HPV-Impfakzeptanz.</w:t>
      </w:r>
    </w:p>
    <w:p>
      <w:r>
        <w:rPr>
          <w:b/>
        </w:rPr>
        <w:t xml:space="preserve">Ergebnis: </w:t>
      </w:r>
      <w:r>
        <w:t>Gemeinsame Aufklärung (EMM) erhöhte Impfakzeptanz/Impfabsicht (OR 1,57; 95%-KI 1,02–2,41). Stärkste Mediationswirkungen durch verbesserte Nutzen-Risiko-Einstellung (OR 1,14), Sicherheitswahrnehmung (OR 1,12), Zugänglichkeit (OR 1,11), Peer-Diskussionen (OR 1,11) und Selbsteingeschätztes Wissen (OR 1,10). Haltungsänderungen wichtiger als reine Wissenseerhöhung.</w:t>
      </w:r>
    </w:p>
    <w:p>
      <w:r>
        <w:rPr>
          <w:b/>
          <w:sz w:val="19"/>
        </w:rPr>
        <w:t xml:space="preserve">Übertragbarkeit: </w:t>
      </w:r>
      <w:r>
        <w:rPr>
          <w:sz w:val="19"/>
        </w:rPr>
        <w:t>Frankreich, vergleichbare Schulstrukturen und Impfprogramme.</w:t>
      </w:r>
    </w:p>
    <w:p>
      <w:r>
        <w:rPr>
          <w:color w:val="5A7D3A"/>
          <w:sz w:val="18"/>
        </w:rPr>
        <w:t>https://pubmed.ncbi.nlm.nih.gov/42753385/</w:t>
      </w:r>
    </w:p>
    <w:p>
      <w:pPr>
        <w:pStyle w:val="Heading2"/>
      </w:pPr>
      <w:r>
        <w:t>Pertussis-Impfung in der Schwangerschaft: Einflussfaktoren und Impfskepsis in den Niederlanden</w:t>
      </w:r>
    </w:p>
    <w:p>
      <w:r>
        <w:rPr>
          <w:i/>
          <w:color w:val="666666"/>
          <w:sz w:val="18"/>
        </w:rPr>
        <w:t>van Vreeswijk-van Donselaar L et al.  ·  Vaccine  ·  24.10.2026  ·  PMID 42743752</w:t>
      </w:r>
    </w:p>
    <w:p>
      <w:r>
        <w:t>Retrospektive Kohortenstudie mit 17.513 Müttern aus Jugendgesundheitszentren (Niederlande 2020–März 2025) zu Determinanten der Impfakzeptanz und Gründen für Ablehnung.</w:t>
      </w:r>
    </w:p>
    <w:p>
      <w:r>
        <w:rPr>
          <w:b/>
        </w:rPr>
        <w:t xml:space="preserve">Ergebnis: </w:t>
      </w:r>
      <w:r>
        <w:t>Höhere Impfquote mit älterem Alter (OR 1,78–2,70), Beschäftigung (OR 2,55). Niedrigere Quote bei geringerer Bildung (OR 0,41), Mehrparität (OR 0,61), Geburt außerhalb NL. Mütter ≥41 Jahre lehnten öfter wegen Graviditätsbedenken ab (OR 2,61). Nicht-niederländische Muttersprache führte zu fehlender Info von Fachleuten (OR 2,19–2,96). Impfskepsis verteilt sich über alle soziodemografischen Gruppen.</w:t>
      </w:r>
    </w:p>
    <w:p>
      <w:r>
        <w:rPr>
          <w:b/>
          <w:sz w:val="19"/>
        </w:rPr>
        <w:t xml:space="preserve">Übertragbarkeit: </w:t>
      </w:r>
      <w:r>
        <w:rPr>
          <w:sz w:val="19"/>
        </w:rPr>
        <w:t>Niederlande, ähnliches Versicherungssystem und Impfprogramm.</w:t>
      </w:r>
    </w:p>
    <w:p>
      <w:r>
        <w:rPr>
          <w:color w:val="5A7D3A"/>
          <w:sz w:val="18"/>
        </w:rPr>
        <w:t>https://pubmed.ncbi.nlm.nih.gov/42743752/</w:t>
      </w:r>
    </w:p>
    <w:p>
      <w:pPr>
        <w:pStyle w:val="Heading2"/>
      </w:pPr>
      <w:r>
        <w:t>HPV-Impfung bei Männern senkt Analkrebs-Viren: Effekte sichtbar</w:t>
      </w:r>
    </w:p>
    <w:p>
      <w:r>
        <w:rPr>
          <w:i/>
          <w:color w:val="666666"/>
          <w:sz w:val="18"/>
        </w:rPr>
        <w:t>Checchi M et al.  ·  Vaccine  ·  24.10.2026  ·  PMID 42702144</w:t>
      </w:r>
    </w:p>
    <w:p>
      <w:r>
        <w:t>Überwachungsstudie mit 5.787 Rektaltupfern bei Männern, die Sex mit Männern haben (England 2017–2024, zwei Phasen) zum HPV-Serotyp-Rückgang nach Impfprogrammstart 2016.</w:t>
      </w:r>
    </w:p>
    <w:p>
      <w:r>
        <w:rPr>
          <w:b/>
        </w:rPr>
        <w:t xml:space="preserve">Ergebnis: </w:t>
      </w:r>
      <w:r>
        <w:t>36% Rückgang von HPV16/18-Prävalenz zwischen Phase 1 (2017–19, 3.291 Proben) und Phase 2 (2021–24, 2.496 Proben). HPV16/18-Prävalenz ähnlich in geimpften (16,6%; 95%-KI 15,2–18,1) und ungeimpften (15,8%; 95%-KI 14,5–17,1) Männern. Nachweis von Herdenimmunität und vermutlich Untererfassung von Impfmeldungen.</w:t>
      </w:r>
    </w:p>
    <w:p>
      <w:r>
        <w:rPr>
          <w:b/>
          <w:sz w:val="19"/>
        </w:rPr>
        <w:t xml:space="preserve">Übertragbarkeit: </w:t>
      </w:r>
      <w:r>
        <w:rPr>
          <w:sz w:val="19"/>
        </w:rPr>
        <w:t>England mit Impfregister; Datenqualität höher als Deutschland ohne Register.</w:t>
      </w:r>
    </w:p>
    <w:p>
      <w:r>
        <w:rPr>
          <w:color w:val="5A7D3A"/>
          <w:sz w:val="18"/>
        </w:rPr>
        <w:t>https://pubmed.ncbi.nlm.nih.gov/42702144/</w:t>
      </w:r>
    </w:p>
    <w:p>
      <w:pPr>
        <w:pStyle w:val="Heading1"/>
      </w:pPr>
      <w:r>
        <w:t>Aufgenommen am 27.09.2026</w:t>
      </w:r>
    </w:p>
    <w:p>
      <w:pPr>
        <w:pStyle w:val="Heading2"/>
      </w:pPr>
      <w:r>
        <w:t>Nirsevimab-Immunisierung senkte RSV-Hospitalisierung bei Neugeborenen um 78 %</w:t>
      </w:r>
    </w:p>
    <w:p>
      <w:r>
        <w:rPr>
          <w:i/>
          <w:color w:val="666666"/>
          <w:sz w:val="18"/>
        </w:rPr>
        <w:t>Auriti C et al.  ·  Viruses  ·  07.09.2026  ·  PMID 42797813</w:t>
      </w:r>
    </w:p>
    <w:p>
      <w:r>
        <w:t>Italienische Studie zur Wirksamkeit der universellen Nirsevimab-Prophylaxe gegen RSV-assoziierte Krankenhauseinweisungen bei Neugeborenen im Routinebetrieb.</w:t>
      </w:r>
    </w:p>
    <w:p>
      <w:r>
        <w:rPr>
          <w:b/>
        </w:rPr>
        <w:t xml:space="preserve">Ergebnis: </w:t>
      </w:r>
      <w:r>
        <w:t>78,3 % Wirksamkeit gegen RSV-assoziierte Hospitalisierung; Nirsevimab-geimpfte Infanten hatten niedrigere RSV-Infektionsrate (33,99 % vs. 68,21 %; p&lt;0,001) und benötigten seltener Atemunterstützung (55,23 % vs. 70,07 %; p&lt;0,001). Unter hospitalisierten Infanten zeigte sich ein 80,2 % Rückgang der Atemunterstützung und 64,3 % weniger NICU-Aufnahmen durch Impfung.</w:t>
      </w:r>
    </w:p>
    <w:p>
      <w:r>
        <w:rPr>
          <w:b/>
          <w:sz w:val="19"/>
        </w:rPr>
        <w:t xml:space="preserve">Übertragbarkeit: </w:t>
      </w:r>
      <w:r>
        <w:rPr>
          <w:sz w:val="19"/>
        </w:rPr>
        <w:t>Italien, vergleichbares Versicherungssystem und Impfkalender wie DACH</w:t>
      </w:r>
    </w:p>
    <w:p>
      <w:r>
        <w:rPr>
          <w:color w:val="5A7D3A"/>
          <w:sz w:val="18"/>
        </w:rPr>
        <w:t>https://pubmed.ncbi.nlm.nih.gov/42797813/</w:t>
      </w:r>
    </w:p>
    <w:p>
      <w:pPr>
        <w:pStyle w:val="Heading2"/>
      </w:pPr>
      <w:r>
        <w:t>Pneumokokken-Nasopharyngeal-Besiedlung bei hospitalisierten Kindern in Lettland</w:t>
      </w:r>
    </w:p>
    <w:p>
      <w:r>
        <w:rPr>
          <w:i/>
          <w:color w:val="666666"/>
          <w:sz w:val="18"/>
        </w:rPr>
        <w:t>Cupeca H et al.  ·  PLoS One  ·  25.09.2026  ·  PMID 42789531</w:t>
      </w:r>
    </w:p>
    <w:p>
      <w:r>
        <w:t>Querschnittsstudie zur Prävalenz und Serotyp-Verteilung von Pneumokokken-Besiedlung bei hospitalisierten Kindern während des Übergangs von PCV13 zu PCV15/PCV20.</w:t>
      </w:r>
    </w:p>
    <w:p>
      <w:r>
        <w:rPr>
          <w:b/>
        </w:rPr>
        <w:t xml:space="preserve">Ergebnis: </w:t>
      </w:r>
      <w:r>
        <w:t>Gesamtprävalenz der Besiedlung 21,8 % (70/321; 95%-KI: 17,6–26,6%); PCV-Impfquote 63,2 % (203/321), überwiegend PCV10; kein signifikanter Unterschied zwischen geimpften und ungeimpften Kindern (25,6 % vs. 16,7 %; p=0,138); häufigste Serotypen 20, 13, 48 – keine in PCV13-abgedeckt.</w:t>
      </w:r>
    </w:p>
    <w:p>
      <w:r>
        <w:rPr>
          <w:b/>
          <w:sz w:val="19"/>
        </w:rPr>
        <w:t xml:space="preserve">Übertragbarkeit: </w:t>
      </w:r>
      <w:r>
        <w:rPr>
          <w:sz w:val="19"/>
        </w:rPr>
        <w:t>Baltische Region, aber Daten übertragbar auf deutschsprachige Länder bei ähnlichem PCV-Übergang</w:t>
      </w:r>
    </w:p>
    <w:p>
      <w:r>
        <w:rPr>
          <w:color w:val="5A7D3A"/>
          <w:sz w:val="18"/>
        </w:rPr>
        <w:t>https://pubmed.ncbi.nlm.nih.gov/42789531/</w:t>
      </w:r>
    </w:p>
    <w:p>
      <w:pPr>
        <w:pStyle w:val="Heading2"/>
      </w:pPr>
      <w:r>
        <w:t>Vertrauen und mRNA-Impfstoffakzeptanz durch deliberative Dialoge stärken</w:t>
      </w:r>
    </w:p>
    <w:p>
      <w:r>
        <w:rPr>
          <w:i/>
          <w:color w:val="666666"/>
          <w:sz w:val="18"/>
        </w:rPr>
        <w:t>Plamondon K et al.  ·  JMIR Res Protoc  ·  25.09.2026  ·  PMID 42789402</w:t>
      </w:r>
    </w:p>
    <w:p>
      <w:r>
        <w:t>Protokoll einer sequenziellen deliberativen Dialogstudie zu Bedingungen für informierte Öffentlichkeitsbeteiligung, Vertrauen und Akzeptanz emergenter Vakzin-Technologien am Beispiel mRNA-Impfstoffe.</w:t>
      </w:r>
    </w:p>
    <w:p>
      <w:r>
        <w:rPr>
          <w:b/>
        </w:rPr>
        <w:t xml:space="preserve">Ergebnis: </w:t>
      </w:r>
      <w:r>
        <w:t>Bis Juni 2026: 10 deliberative Dialoge und 1 selbstgeleiteter Dialog mit 77 Beteiligten durchgeführt; 2 summative Dialoge mit 18 Teilnehmern; erwartete Publikation Zweite Hälfte 2026; Fokus auf Verbesserung von Wissenschaftskompetenz, tailored Kommunikation unter Berücksichtigung historischer Ungleichheiten und Navigation von Polarisierung rund um Impfung.</w:t>
      </w:r>
    </w:p>
    <w:p>
      <w:r>
        <w:rPr>
          <w:b/>
          <w:sz w:val="19"/>
        </w:rPr>
        <w:t xml:space="preserve">Übertragbarkeit: </w:t>
      </w:r>
      <w:r>
        <w:rPr>
          <w:sz w:val="19"/>
        </w:rPr>
        <w:t>Kanada, aber deliberative Methode und Vertrauensfragen universal auf deutschsprachige Systeme übertragbar</w:t>
      </w:r>
    </w:p>
    <w:p>
      <w:r>
        <w:rPr>
          <w:color w:val="5A7D3A"/>
          <w:sz w:val="18"/>
        </w:rPr>
        <w:t>https://pubmed.ncbi.nlm.nih.gov/42789402/</w:t>
      </w:r>
    </w:p>
    <w:p>
      <w:pPr>
        <w:pStyle w:val="Heading2"/>
      </w:pPr>
      <w:r>
        <w:t>Hochdosis-Influenzaimpfung für kardiovaskuläre Prävention bei älteren Patienten</w:t>
      </w:r>
    </w:p>
    <w:p>
      <w:r>
        <w:rPr>
          <w:i/>
          <w:color w:val="666666"/>
          <w:sz w:val="18"/>
        </w:rPr>
        <w:t>Volpe M et al.  ·  G Ital Cardiol (Rome)  ·  Okt. 2026  ·  PMID 42788302</w:t>
      </w:r>
    </w:p>
    <w:p>
      <w:r>
        <w:t>Konsens-Papier fünf italienischer Fachgesellschaften zur Influenzaimpfung als Prävention kardiovaskulärer Komplikationen bei Risikopatienten, basierend auf FLUNITY-HD-Daten.</w:t>
      </w:r>
    </w:p>
    <w:p>
      <w:r>
        <w:rPr>
          <w:b/>
        </w:rPr>
        <w:t xml:space="preserve">Ergebnis: </w:t>
      </w:r>
      <w:r>
        <w:t>Hochdosis-Influenzaimpfung zeigt signifikante Vorteile gegenüber Standarddosis; Empfehlung für ältere Patienten und solche mit kardiovaskulärer Erkrankung zur Stärkung der Immunantwort und besseren kardiovaskulären Schutz.</w:t>
      </w:r>
    </w:p>
    <w:p>
      <w:r>
        <w:rPr>
          <w:b/>
          <w:sz w:val="19"/>
        </w:rPr>
        <w:t xml:space="preserve">Übertragbarkeit: </w:t>
      </w:r>
      <w:r>
        <w:rPr>
          <w:sz w:val="19"/>
        </w:rPr>
        <w:t>Italien, aber zunehmende Evidenz aus großen europäischen Studien; übertragbar auf deutsche Impfpraxis</w:t>
      </w:r>
    </w:p>
    <w:p>
      <w:r>
        <w:rPr>
          <w:color w:val="5A7D3A"/>
          <w:sz w:val="18"/>
        </w:rPr>
        <w:t>https://pubmed.ncbi.nlm.nih.gov/42788302/</w:t>
      </w:r>
    </w:p>
    <w:p>
      <w:pPr>
        <w:pStyle w:val="Heading2"/>
      </w:pPr>
      <w:r>
        <w:t>Anti-CD19-CAR-T-Therapie in SLE: Keine Signale für beeinträchtigte Eierstockreserve</w:t>
      </w:r>
    </w:p>
    <w:p>
      <w:r>
        <w:rPr>
          <w:i/>
          <w:color w:val="666666"/>
          <w:sz w:val="18"/>
        </w:rPr>
        <w:t>Pecher AC et al.  ·  Rheumatology (Oxford)  ·  01.08.2026  ·  PMID 42584071</w:t>
      </w:r>
    </w:p>
    <w:p>
      <w:r>
        <w:t>Longitudinale Studie zu reproduktiven Hormonmarkern bei 13 Frauen mit schwerem, therapierefraktärem SLE nach anti-CD19-CAR-T-Zelltherapie.</w:t>
      </w:r>
    </w:p>
    <w:p>
      <w:r>
        <w:rPr>
          <w:b/>
        </w:rPr>
        <w:t xml:space="preserve">Ergebnis: </w:t>
      </w:r>
      <w:r>
        <w:t>AMH-Level stabil (1,54 ng/ml [IQR 0,64–3,15] vs. 2,14 ng/ml [0,63–3,26]; p=0,886); FSH moderat erhöht (6,60 IU/l [4,00–7,90] vs. 7,20 IU/l [4,50–9,90]; p=0,033), aber ohne begleitenden AMH-Rückgang; keine Signale einer beeinträchtigten Eierstockreserve unter Standardlymphodepletion.</w:t>
      </w:r>
    </w:p>
    <w:p>
      <w:r>
        <w:rPr>
          <w:b/>
          <w:sz w:val="19"/>
        </w:rPr>
        <w:t xml:space="preserve">Übertragbarkeit: </w:t>
      </w:r>
      <w:r>
        <w:rPr>
          <w:sz w:val="19"/>
        </w:rPr>
        <w:t>Deutschland, Schweiz, Österreich – Immuntherapie-Zentren mit ähnlicher CAR-T-Infrastruktur</w:t>
      </w:r>
    </w:p>
    <w:p>
      <w:r>
        <w:rPr>
          <w:color w:val="5A7D3A"/>
          <w:sz w:val="18"/>
        </w:rPr>
        <w:t>https://pubmed.ncbi.nlm.nih.gov/42584071/</w:t>
      </w:r>
    </w:p>
    <w:p>
      <w:pPr>
        <w:pStyle w:val="Heading2"/>
      </w:pPr>
      <w:r>
        <w:t>Internetnutzung hat ambivalente Effekte auf Impfskepsis: Hochschulrechnung mit 48.538 Personen</w:t>
      </w:r>
    </w:p>
    <w:p>
      <w:r>
        <w:rPr>
          <w:i/>
          <w:color w:val="666666"/>
          <w:sz w:val="18"/>
        </w:rPr>
        <w:t>Helbing A et al.  ·  J Community Health  ·  16.07.2026  ·  PMID 42461515</w:t>
      </w:r>
    </w:p>
    <w:p>
      <w:r>
        <w:t>Multilevel-Logit-Analyse zu Zusammenhang zwischen Internetnutzung, digitaler Gesundheitskompetenz (DHL) und Impfskepsis auf Basis der ISSP 2021-Daten.</w:t>
      </w:r>
    </w:p>
    <w:p>
      <w:r>
        <w:rPr>
          <w:b/>
        </w:rPr>
        <w:t xml:space="preserve">Ergebnis: </w:t>
      </w:r>
      <w:r>
        <w:t>Nicht-lineare Beziehung: Personen ohne Internetzugang und solche mit sehr häufiger Online-Suche nach Impfinformation zeigen höhere Skepsis; niedrige DHL konsistent mit mehr Impfskepsis assoziiert; Unzufriedenheit mit Gesundheitssystem und niedrigere nationale Gesundheitsqualität verstärken Skepsis; Internetnutzung ist sowohl Bildungs- als auch Fehlinformationspotenzial.</w:t>
      </w:r>
    </w:p>
    <w:p>
      <w:r>
        <w:rPr>
          <w:b/>
          <w:sz w:val="19"/>
        </w:rPr>
        <w:t xml:space="preserve">Übertragbarkeit: </w:t>
      </w:r>
      <w:r>
        <w:rPr>
          <w:sz w:val="19"/>
        </w:rPr>
        <w:t>48 Länder (ISSP), inklusive Deutschland; vergleichbare Sozialversicherungssysteme</w:t>
      </w:r>
    </w:p>
    <w:p>
      <w:r>
        <w:rPr>
          <w:color w:val="5A7D3A"/>
          <w:sz w:val="18"/>
        </w:rPr>
        <w:t>https://pubmed.ncbi.nlm.nih.gov/42461515/</w:t>
      </w:r>
    </w:p>
    <w:p>
      <w:pPr>
        <w:pStyle w:val="Heading1"/>
      </w:pPr>
      <w:r>
        <w:t>Aufgenommen am 26.09.2026</w:t>
      </w:r>
    </w:p>
    <w:p>
      <w:pPr>
        <w:pStyle w:val="Heading2"/>
      </w:pPr>
      <w:r>
        <w:t>Tollwutimpfung bei Kindern in Thailand: Prävention mit Kosten-Nutzen-Vorteilen</w:t>
      </w:r>
    </w:p>
    <w:p>
      <w:r>
        <w:rPr>
          <w:i/>
          <w:color w:val="666666"/>
          <w:sz w:val="18"/>
        </w:rPr>
        <w:t>Soopairin S et al.  ·  BMJ Glob Health  ·  25.09.2026  ·  PMID 42791044</w:t>
      </w:r>
    </w:p>
    <w:p>
      <w:r>
        <w:t>Entscheidungsmodell-Analyse zum Kosten-Nutzen-Verhältnis einer Tollwut-Präexpositionsprophylaxe (PrEP) plus Postexpositionsprophylaxe (PEP) versus PEP allein bei 5-Jährigen in Thailand.</w:t>
      </w:r>
    </w:p>
    <w:p>
      <w:r>
        <w:rPr>
          <w:b/>
        </w:rPr>
        <w:t xml:space="preserve">Ergebnis: </w:t>
      </w:r>
      <w:r>
        <w:t>PrEP+PEP intrakutan mit inaktiviertem Hühnerzellvakzin war kosteneffektiv mit 40.977 THB (~1.161 USD) pro qualitätsbereinigtem Lebensjahr vs. PEP allein. Jährliche Bissinzidenz war einflussreichster Parameter; Kosten-Effektivität bleib robust über weitere Parameter.</w:t>
      </w:r>
    </w:p>
    <w:p>
      <w:r>
        <w:rPr>
          <w:b/>
          <w:sz w:val="19"/>
        </w:rPr>
        <w:t xml:space="preserve">Übertragbarkeit: </w:t>
      </w:r>
      <w:r>
        <w:rPr>
          <w:sz w:val="19"/>
        </w:rPr>
        <w:t>Thailand, außereuropäisches System; Kosten-Nutzen-Befund ist methodisch übertragbar für Priorisierung in Impfprogrammen.</w:t>
      </w:r>
    </w:p>
    <w:p>
      <w:r>
        <w:rPr>
          <w:color w:val="5A7D3A"/>
          <w:sz w:val="18"/>
        </w:rPr>
        <w:t>https://pubmed.ncbi.nlm.nih.gov/42791044/</w:t>
      </w:r>
    </w:p>
    <w:p>
      <w:pPr>
        <w:pStyle w:val="Heading2"/>
      </w:pPr>
      <w:r>
        <w:t>Influenza-Impfquoten in der Praxis: Defizite bei hochwertigen Impfstoffen</w:t>
      </w:r>
    </w:p>
    <w:p>
      <w:r>
        <w:rPr>
          <w:i/>
          <w:color w:val="666666"/>
          <w:sz w:val="18"/>
        </w:rPr>
        <w:t>Amicizia D et al.  ·  Hum Vaccin Immunother  ·  25.09.2026  ·  PMID 42788870</w:t>
      </w:r>
    </w:p>
    <w:p>
      <w:r>
        <w:t>Italienische Studie zur Influenzaimpfung ≥60-Jähriger in zwei Saisons (2023/24 und 2024/25), die den Wechsel zu dezentraler Versorgung durch Apotheken und Hausärzte untersucht.</w:t>
      </w:r>
    </w:p>
    <w:p>
      <w:r>
        <w:rPr>
          <w:b/>
        </w:rPr>
        <w:t xml:space="preserve">Ergebnis: </w:t>
      </w:r>
      <w:r>
        <w:t>Gesamtquote sank um 6% zwischen den Saisons; nur 65% (2023/24) bzw. 73% (2024/25) der ≥65-Jährigen erhielten altersgerechte hochdosierte Impfstoffe. Dezentrale Versorgung steigerte zwar Erreichbarkeit, führte aber zu erheblicher Varianz bei der Impfstoffwahl und suboptimalen Plattformen bei Hochrisikogruppen.</w:t>
      </w:r>
    </w:p>
    <w:p>
      <w:r>
        <w:rPr>
          <w:b/>
          <w:sz w:val="19"/>
        </w:rPr>
        <w:t xml:space="preserve">Übertragbarkeit: </w:t>
      </w:r>
      <w:r>
        <w:rPr>
          <w:sz w:val="19"/>
        </w:rPr>
        <w:t>Italien, vergleichbares Gesundheitssystem; zeigt Hürden bei Umsetzung von Leitlinien in dezentraler Versorgung.</w:t>
      </w:r>
    </w:p>
    <w:p>
      <w:r>
        <w:rPr>
          <w:color w:val="5A7D3A"/>
          <w:sz w:val="18"/>
        </w:rPr>
        <w:t>https://pubmed.ncbi.nlm.nih.gov/42788870/</w:t>
      </w:r>
    </w:p>
    <w:p>
      <w:pPr>
        <w:pStyle w:val="Heading2"/>
      </w:pPr>
      <w:r>
        <w:t>HPV-Impfung und Krebsvorsorge in Brasilien: Pandemie-Folgen bei Ungleichheit</w:t>
      </w:r>
    </w:p>
    <w:p>
      <w:r>
        <w:rPr>
          <w:i/>
          <w:color w:val="666666"/>
          <w:sz w:val="18"/>
        </w:rPr>
        <w:t>Carvalho TS et al.  ·  Rev Inst Med Trop Sao Paulo  ·  18.09.2026  ·  PMID 42788601</w:t>
      </w:r>
    </w:p>
    <w:p>
      <w:r>
        <w:t>Ökologische Studie (2016–2021) zur Auswirkung der COVID-19-Pandemie auf HPV-Impfquoten und Pap-Abstrich-Screening in Sao Paulo State mittels öffentlicher Datenbank.</w:t>
      </w:r>
    </w:p>
    <w:p>
      <w:r>
        <w:rPr>
          <w:b/>
        </w:rPr>
        <w:t xml:space="preserve">Ergebnis: </w:t>
      </w:r>
      <w:r>
        <w:t>HPV-Impfquoten stiegen 2020, hielten aber 2021 nicht an. Pap-Abstriche sanken 2020 und erholten sich 2021 nur teilweise, besonders in Gemeinden mit niedrigen sozioökonomischen Indikatoren. Anzahl der COVID-19-Fälle war nicht stark assoziiert mit Schwankungen in Präventionsdiensten.</w:t>
      </w:r>
    </w:p>
    <w:p>
      <w:r>
        <w:rPr>
          <w:b/>
          <w:sz w:val="19"/>
        </w:rPr>
        <w:t xml:space="preserve">Übertragbarkeit: </w:t>
      </w:r>
      <w:r>
        <w:rPr>
          <w:sz w:val="19"/>
        </w:rPr>
        <w:t>Brasilien, öffentliche Gesundheitsverwaltung; zeigt Resilienz-Probleme bei integrierten Präventionsprogrammen unter Krise, besonders bei vulnerablen Bevölkerungen.</w:t>
      </w:r>
    </w:p>
    <w:p>
      <w:r>
        <w:rPr>
          <w:color w:val="5A7D3A"/>
          <w:sz w:val="18"/>
        </w:rPr>
        <w:t>https://pubmed.ncbi.nlm.nih.gov/42788601/</w:t>
      </w:r>
    </w:p>
    <w:p>
      <w:pPr>
        <w:pStyle w:val="Heading2"/>
      </w:pPr>
      <w:r>
        <w:t>Sicherheit von HPV-Impfstoffen in China: Verträglichkeit unter Alltag</w:t>
      </w:r>
    </w:p>
    <w:p>
      <w:r>
        <w:rPr>
          <w:i/>
          <w:color w:val="666666"/>
          <w:sz w:val="18"/>
        </w:rPr>
        <w:t>Xie M et al.  ·  Hum Vaccin Immunother  ·  25.09.2026  ·  PMID 42788243</w:t>
      </w:r>
    </w:p>
    <w:p>
      <w:r>
        <w:t>Postmarketing-Sicherheitsüberwachung von HPV-Impfstoffen in Shandong 2017–2025 mittels Nebenwirkungsmeldungen.</w:t>
      </w:r>
    </w:p>
    <w:p>
      <w:r>
        <w:rPr>
          <w:b/>
        </w:rPr>
        <w:t xml:space="preserve">Ergebnis: </w:t>
      </w:r>
      <w:r>
        <w:t>1.056 Meldungen bei ~13,2 Millionen Dosen (Quote 7,99 pro 100.000 Dosen); 95,46% leichte Reaktionen, 1,42% seltene unerwünschte Ereignisse (u.a. Myalgie, Induration &gt;5 cm, Immunthrombozytopenie). Sicherheitsprofil insgesamt gut.</w:t>
      </w:r>
    </w:p>
    <w:p>
      <w:r>
        <w:rPr>
          <w:b/>
          <w:sz w:val="19"/>
        </w:rPr>
        <w:t xml:space="preserve">Übertragbarkeit: </w:t>
      </w:r>
      <w:r>
        <w:rPr>
          <w:sz w:val="19"/>
        </w:rPr>
        <w:t>China, anderes Meldesystem; bestätigt gutes Sicherheitsprofil auch bei Millionenfach-Anwendung.</w:t>
      </w:r>
    </w:p>
    <w:p>
      <w:r>
        <w:rPr>
          <w:color w:val="5A7D3A"/>
          <w:sz w:val="18"/>
        </w:rPr>
        <w:t>https://pubmed.ncbi.nlm.nih.gov/42788243/</w:t>
      </w:r>
    </w:p>
    <w:p>
      <w:pPr>
        <w:pStyle w:val="Heading2"/>
      </w:pPr>
      <w:r>
        <w:t>Enterovirus-71-Impfung senkt Fallzahlen von Hand-Fuß-Mund-Krankheit</w:t>
      </w:r>
    </w:p>
    <w:p>
      <w:r>
        <w:rPr>
          <w:i/>
          <w:color w:val="666666"/>
          <w:sz w:val="18"/>
        </w:rPr>
        <w:t>Li K et al.  ·  JMIR Public Health Surveill  ·  24.09.2026  ·  PMID 42785728</w:t>
      </w:r>
    </w:p>
    <w:p>
      <w:r>
        <w:t>Überwachungsstudie (2008–2023) in Anhui, China zur Epidemiologie von Hand-Fuß-Mund-Krankheit (HFMD) nach Einführung der EV71-Impfung und während COVID-19-Pandemie.</w:t>
      </w:r>
    </w:p>
    <w:p>
      <w:r>
        <w:rPr>
          <w:b/>
        </w:rPr>
        <w:t xml:space="preserve">Ergebnis: </w:t>
      </w:r>
      <w:r>
        <w:t>Typisierte EV71-Fälle sanken von 45,8% (vor Impfung) auf 3,4% (während COVID-19); Vorhersagemodelle für 2017–2019 zeigten 470 beobachtete vs. 659 vorhergesagte EV71-Fälle 2017 (95%-PI 467–933). Gesamtlast HFMD während COVID-19 substanziell unter Prognose, Todesfälle ab 2020 keine gemeldet.</w:t>
      </w:r>
    </w:p>
    <w:p>
      <w:r>
        <w:rPr>
          <w:b/>
          <w:sz w:val="19"/>
        </w:rPr>
        <w:t xml:space="preserve">Übertragbarkeit: </w:t>
      </w:r>
      <w:r>
        <w:rPr>
          <w:sz w:val="19"/>
        </w:rPr>
        <w:t>China, Überwachungsdaten; zeigt reale Impfeffektivität bei Bevölkerungsergebnissen unter Alltagsbedingungen.</w:t>
      </w:r>
    </w:p>
    <w:p>
      <w:r>
        <w:rPr>
          <w:color w:val="5A7D3A"/>
          <w:sz w:val="18"/>
        </w:rPr>
        <w:t>https://pubmed.ncbi.nlm.nih.gov/42785728/</w:t>
      </w:r>
    </w:p>
    <w:p>
      <w:pPr>
        <w:pStyle w:val="Heading2"/>
      </w:pPr>
      <w:r>
        <w:t>COVID-19-Impfung überwindet HLA-bedingte Unterschiede in Antikörper-Breite</w:t>
      </w:r>
    </w:p>
    <w:p>
      <w:r>
        <w:rPr>
          <w:i/>
          <w:color w:val="666666"/>
          <w:sz w:val="18"/>
        </w:rPr>
        <w:t>Nguyen TTN et al.  ·  Front Immunol  ·  08.09.2026  ·  PMID 42774458</w:t>
      </w:r>
    </w:p>
    <w:p>
      <w:r>
        <w:t>Longitudinale Kohortenstudie an 189 vietnamesischen Erwachsenen vor und nach COVID-19-Impfung, mit HLA-Genotypisierung und Neutralisierungstests gegen Variants of Concern.</w:t>
      </w:r>
    </w:p>
    <w:p>
      <w:r>
        <w:rPr>
          <w:b/>
        </w:rPr>
        <w:t xml:space="preserve">Ergebnis: </w:t>
      </w:r>
      <w:r>
        <w:t>Impfung erhöhte Antikörpertiter gegen Wuhan um 132-fach und gegen Omikron 10-fach; Neutralisierungbreite erweiterte sich substanziell. HLA-Assoziationen bei Zeitpunkt 1 beobachtet, aber Impfung erwies sich als stärkster Faktor für Neutralisierungsbreite bei Monat 15 (p&lt;0,001 in multivariablen Modellen).</w:t>
      </w:r>
    </w:p>
    <w:p>
      <w:r>
        <w:rPr>
          <w:b/>
          <w:sz w:val="19"/>
        </w:rPr>
        <w:t xml:space="preserve">Übertragbarkeit: </w:t>
      </w:r>
      <w:r>
        <w:rPr>
          <w:sz w:val="19"/>
        </w:rPr>
        <w:t>Vietnam, Hybridimmunität; zeigt, dass Impfung genetische Heterogenität in Antikörper-Breite überlagert und Population-spezifische Langzeitimmunität aufbaut.</w:t>
      </w:r>
    </w:p>
    <w:p>
      <w:r>
        <w:rPr>
          <w:color w:val="5A7D3A"/>
          <w:sz w:val="18"/>
        </w:rPr>
        <w:t>https://pubmed.ncbi.nlm.nih.gov/42774458/</w:t>
      </w:r>
    </w:p>
    <w:p>
      <w:pPr>
        <w:pStyle w:val="Heading1"/>
      </w:pPr>
      <w:r>
        <w:t>Aufgenommen am 25.09.2026</w:t>
      </w:r>
    </w:p>
    <w:p>
      <w:pPr>
        <w:pStyle w:val="Heading2"/>
      </w:pPr>
      <w:r>
        <w:t>SARS-CoV-2-Impfstoffverfügbarkeit in ruralen Regionen sub-Sahara-Afrikas – systematisches Reviewprotokoll</w:t>
      </w:r>
    </w:p>
    <w:p>
      <w:r>
        <w:rPr>
          <w:i/>
          <w:color w:val="666666"/>
          <w:sz w:val="18"/>
        </w:rPr>
        <w:t>Nyangi E et al.  ·  BMJ Open  ·  24.09.2026  ·  PMID 42785944</w:t>
      </w:r>
    </w:p>
    <w:p>
      <w:r>
        <w:t>Systematisches Reviewprotokoll zu Verfügbarkeit und Erreichbarkeit von COVID-19-Impfstoffen bei ruraler Bevölkerung in sub-Sahara-Afrika (Suche Oktober 2025–Oktober 2027).</w:t>
      </w:r>
    </w:p>
    <w:p>
      <w:r>
        <w:rPr>
          <w:b/>
        </w:rPr>
        <w:t xml:space="preserve">Ergebnis: </w:t>
      </w:r>
      <w:r>
        <w:t>Systematisches Review und Meta-Analyse in Planung; quantitative Befunde werden mit Modell mit Zufallseffekten gepoolt, qualitative Befunde thematisch synthetisiert. Schwerpunkt: strukturelle Barrieren, schwache Gesundheitssysteme, Ressourcenmangel.</w:t>
      </w:r>
    </w:p>
    <w:p>
      <w:r>
        <w:rPr>
          <w:b/>
          <w:sz w:val="19"/>
        </w:rPr>
        <w:t xml:space="preserve">Übertragbarkeit: </w:t>
      </w:r>
      <w:r>
        <w:rPr>
          <w:sz w:val="19"/>
        </w:rPr>
        <w:t>Sub-Sahara-Afrika, methodisch relevant für Reichweitenanalysen, aber Ressourcenlage sehr unterschiedlich</w:t>
      </w:r>
    </w:p>
    <w:p>
      <w:r>
        <w:rPr>
          <w:color w:val="5A7D3A"/>
          <w:sz w:val="18"/>
        </w:rPr>
        <w:t>https://pubmed.ncbi.nlm.nih.gov/42785944/</w:t>
      </w:r>
    </w:p>
    <w:p>
      <w:pPr>
        <w:pStyle w:val="Heading2"/>
      </w:pPr>
      <w:r>
        <w:t>Kostenloses Grippeimpfangebot erhöht Impfquote und psychisches Wohlbefinden älterer Menschen</w:t>
      </w:r>
    </w:p>
    <w:p>
      <w:r>
        <w:rPr>
          <w:i/>
          <w:color w:val="666666"/>
          <w:sz w:val="18"/>
        </w:rPr>
        <w:t>Wang Y  ·  Front Public Health  ·  09.09.2026  ·  PMID 42780378</w:t>
      </w:r>
    </w:p>
    <w:p>
      <w:r>
        <w:t>Chinesische Differenz-in-Differenzen-Analyse zur Wirkung einer kostenlosen Grippeimpfpolitik für die Bevölkerung ab 60 Jahren auf Impfquoten und Gesundheit.</w:t>
      </w:r>
    </w:p>
    <w:p>
      <w:r>
        <w:rPr>
          <w:b/>
        </w:rPr>
        <w:t xml:space="preserve">Ergebnis: </w:t>
      </w:r>
      <w:r>
        <w:t>Die Impfquote stieg um 23 Prozentpunkte. Die Wahrscheinlichkeit, dass gesundheitliche Probleme die täglichen Aktivitäten einschränken, sank um 16,9 Prozentpunkte; das Gefühl von Energie stieg um 28,1 Prozentpunkte. Der Effekt funktioniert über Verhaltenspfade, nicht nur biologisch.</w:t>
      </w:r>
    </w:p>
    <w:p>
      <w:r>
        <w:rPr>
          <w:b/>
          <w:sz w:val="19"/>
        </w:rPr>
        <w:t xml:space="preserve">Übertragbarkeit: </w:t>
      </w:r>
      <w:r>
        <w:rPr>
          <w:sz w:val="19"/>
        </w:rPr>
        <w:t>China, aber Versorgungsfrage (Kostenfreiheit und Quote) übertragbar auf Deutschland-Diskussionen zur Impffinanzierung</w:t>
      </w:r>
    </w:p>
    <w:p>
      <w:r>
        <w:rPr>
          <w:color w:val="5A7D3A"/>
          <w:sz w:val="18"/>
        </w:rPr>
        <w:t>https://pubmed.ncbi.nlm.nih.gov/42780378/</w:t>
      </w:r>
    </w:p>
    <w:p>
      <w:pPr>
        <w:pStyle w:val="Heading2"/>
      </w:pPr>
      <w:r>
        <w:t>Impfwissen und Eigenimpfung prägen Impfempfehlung durch Gesundheitspersonal</w:t>
      </w:r>
    </w:p>
    <w:p>
      <w:r>
        <w:rPr>
          <w:i/>
          <w:color w:val="666666"/>
          <w:sz w:val="18"/>
        </w:rPr>
        <w:t>Shi H et al.  ·  Front Public Health  ·  09.09.2026  ·  PMID 42780248</w:t>
      </w:r>
    </w:p>
    <w:p>
      <w:r>
        <w:t>Querschnittstudie zu Pfad zwischen Grippeimpfwissen, Eigenimpfung, zukünftiger Impfbereitschaft und Empfehlungsverhalten bei 4.238 Beschäftigten im Gesundheitswesen in Beijing.</w:t>
      </w:r>
    </w:p>
    <w:p>
      <w:r>
        <w:rPr>
          <w:b/>
        </w:rPr>
        <w:t xml:space="preserve">Ergebnis: </w:t>
      </w:r>
      <w:r>
        <w:t>22,1 % waren aktuell geimpft, 43,7 % wollten sich nächste Saison impfen, 82,0 % empfahlen Impfung Patienten. Impfwissen korrelierte mit Impfquote (β = 0,09, p &lt; 0,001); Eigenimpfung vorhersagend für zukünftige Impfbereitschaft (β = 0,47); zukünftige Bereitschaft stärkster Prädiktor für Empfehlung (β = 0,41, p &lt; 0,001).</w:t>
      </w:r>
    </w:p>
    <w:p>
      <w:r>
        <w:rPr>
          <w:b/>
          <w:sz w:val="19"/>
        </w:rPr>
        <w:t xml:space="preserve">Übertragbarkeit: </w:t>
      </w:r>
      <w:r>
        <w:rPr>
          <w:sz w:val="19"/>
        </w:rPr>
        <w:t>China, aber Pfadmodell (Wissen → Verhalten → Empfehlung) systemübergreifend relevant</w:t>
      </w:r>
    </w:p>
    <w:p>
      <w:r>
        <w:rPr>
          <w:color w:val="5A7D3A"/>
          <w:sz w:val="18"/>
        </w:rPr>
        <w:t>https://pubmed.ncbi.nlm.nih.gov/42780248/</w:t>
      </w:r>
    </w:p>
    <w:p>
      <w:pPr>
        <w:pStyle w:val="Heading2"/>
      </w:pPr>
      <w:r>
        <w:t>Impflücken bei Flüchtlingen und Migranten in Uganda: Systematische Analyse von Barrieren und Lösungen</w:t>
      </w:r>
    </w:p>
    <w:p>
      <w:r>
        <w:rPr>
          <w:i/>
          <w:color w:val="666666"/>
          <w:sz w:val="18"/>
        </w:rPr>
        <w:t>Nakachwa SM et al.  ·  Glob Public Health  ·  31.12.2026  ·  PMID 42776600</w:t>
      </w:r>
    </w:p>
    <w:p>
      <w:r>
        <w:t>Narrative Review zu Impfquoten, Barrieren und Maßnahmen bei Flüchtlingen und Migranten in Uganda bis September 2025.</w:t>
      </w:r>
    </w:p>
    <w:p>
      <w:r>
        <w:rPr>
          <w:b/>
        </w:rPr>
        <w:t xml:space="preserve">Ergebnis: </w:t>
      </w:r>
      <w:r>
        <w:t>Flüchtlings-Impfquoten unter nationalen Durchschnitten durch administrative Hürden, Engpässe, Entfernungen, Sprachhindernisse und Desinformation. Erfolgreiche Ansätze: Integration in nationale Systeme, vereinfachte Registrierung, mobile Angebote, Gemeindegesundheitspersonal, grenzübergreifende Datenkoordination.</w:t>
      </w:r>
    </w:p>
    <w:p>
      <w:r>
        <w:rPr>
          <w:b/>
          <w:sz w:val="19"/>
        </w:rPr>
        <w:t xml:space="preserve">Übertragbarkeit: </w:t>
      </w:r>
      <w:r>
        <w:rPr>
          <w:sz w:val="19"/>
        </w:rPr>
        <w:t>Uganda, aber Barrieren und Strategien (mobil, registrierungsarmut) für vulnerable Gruppen übertragbar</w:t>
      </w:r>
    </w:p>
    <w:p>
      <w:r>
        <w:rPr>
          <w:color w:val="5A7D3A"/>
          <w:sz w:val="18"/>
        </w:rPr>
        <w:t>https://pubmed.ncbi.nlm.nih.gov/42776600/</w:t>
      </w:r>
    </w:p>
    <w:p>
      <w:pPr>
        <w:pStyle w:val="Heading2"/>
      </w:pPr>
      <w:r>
        <w:t>Grippeimpfquote bei Fachpersonen in Guangzhou: Unterschiede nach Arbeitsstätte und Wissenstyp</w:t>
      </w:r>
    </w:p>
    <w:p>
      <w:r>
        <w:rPr>
          <w:i/>
          <w:color w:val="666666"/>
          <w:sz w:val="18"/>
        </w:rPr>
        <w:t>Lin D et al.  ·  Expert Rev Vaccines  ·  23.09.2026  ·  PMID 42775460</w:t>
      </w:r>
    </w:p>
    <w:p>
      <w:r>
        <w:t>Querschnittstudie unter 3.153 Gesundheitsfachleuten in Grundversorgung, Krankenhäusern und Schulen zur Grippeimpfquote und Empfehlungsverhalten.</w:t>
      </w:r>
    </w:p>
    <w:p>
      <w:r>
        <w:rPr>
          <w:b/>
        </w:rPr>
        <w:t xml:space="preserve">Ergebnis: </w:t>
      </w:r>
      <w:r>
        <w:t>46,2 % waren mindestens in einer der letzten vier Saisons geimpft, durchschnittliche saisonale Quote 28,2 %. Öffentlichkeitsgesundheit: OR 2,53, Schulgesundheit: OR 0,64 vs. Ärzte. Impfstoffwissen positiv assoziiert mit Impfung (OR 1,09) und Empfehlungsverhalten (OR 1,11).</w:t>
      </w:r>
    </w:p>
    <w:p>
      <w:r>
        <w:rPr>
          <w:b/>
          <w:sz w:val="19"/>
        </w:rPr>
        <w:t xml:space="preserve">Übertragbarkeit: </w:t>
      </w:r>
      <w:r>
        <w:rPr>
          <w:sz w:val="19"/>
        </w:rPr>
        <w:t>China, aber Versorgungsmuster (Quote nach Berufsgruppe) international vergleichbar</w:t>
      </w:r>
    </w:p>
    <w:p>
      <w:r>
        <w:rPr>
          <w:color w:val="5A7D3A"/>
          <w:sz w:val="18"/>
        </w:rPr>
        <w:t>https://pubmed.ncbi.nlm.nih.gov/42775460/</w:t>
      </w:r>
    </w:p>
    <w:p>
      <w:pPr>
        <w:pStyle w:val="Heading2"/>
      </w:pPr>
      <w:r>
        <w:t>HPV-Impfung und HPV-Screening kombiniert für vulnerable Frauen in Europa – Implementierungsprotokoll</w:t>
      </w:r>
    </w:p>
    <w:p>
      <w:r>
        <w:rPr>
          <w:i/>
          <w:color w:val="666666"/>
          <w:sz w:val="18"/>
        </w:rPr>
        <w:t>Mosquera I et al.  ·  Cancer Control  ·  02.09.2026  ·  PMID 42683830</w:t>
      </w:r>
    </w:p>
    <w:p>
      <w:r>
        <w:t>Implementierungsstudienprotokoll zur Kapazität von Gesundheitssystemen, HPV-Impfung und HPV-basiertes Screening kombiniert für vulnerable Gruppen (25–45 Jahre) in Spanien, Schweden, Dänemark, Rumänien und Frankreich anzubieten.</w:t>
      </w:r>
    </w:p>
    <w:p>
      <w:r>
        <w:rPr>
          <w:b/>
        </w:rPr>
        <w:t xml:space="preserve">Ergebnis: </w:t>
      </w:r>
      <w:r>
        <w:t>Protokoll umfasst Schreibtischreview, Vor-Ort-Prüfungen und Stakeholder-Interviews. Ziel: Systemkapazität messen und Strategien zur HPV-Schneller-Elimination in Europa tailoriert stärken. Studie läuft.</w:t>
      </w:r>
    </w:p>
    <w:p>
      <w:r>
        <w:rPr>
          <w:b/>
          <w:sz w:val="19"/>
        </w:rPr>
        <w:t xml:space="preserve">Übertragbarkeit: </w:t>
      </w:r>
      <w:r>
        <w:rPr>
          <w:sz w:val="19"/>
        </w:rPr>
        <w:t>Mehrere europäische Länder (DACH-nahes System), vergleichbare nationale Gesundheitssysteme</w:t>
      </w:r>
    </w:p>
    <w:p>
      <w:r>
        <w:rPr>
          <w:color w:val="5A7D3A"/>
          <w:sz w:val="18"/>
        </w:rPr>
        <w:t>https://pubmed.ncbi.nlm.nih.gov/42683830/</w:t>
      </w:r>
    </w:p>
    <w:p>
      <w:pPr>
        <w:pStyle w:val="Heading1"/>
      </w:pPr>
      <w:r>
        <w:t>Aufgenommen am 24.09.2026</w:t>
      </w:r>
    </w:p>
    <w:p>
      <w:pPr>
        <w:pStyle w:val="Heading2"/>
      </w:pPr>
      <w:r>
        <w:t>COVID-19-Impfung: Alter und Bildung bestimmen Annahme in Ostpolen stärker als Lebensstil</w:t>
      </w:r>
    </w:p>
    <w:p>
      <w:r>
        <w:rPr>
          <w:i/>
          <w:color w:val="666666"/>
          <w:sz w:val="18"/>
        </w:rPr>
        <w:t>Karczmarz S et al.  ·  Med Sci Monit  ·  23.09.2026  ·  PMID 42776929</w:t>
      </w:r>
    </w:p>
    <w:p>
      <w:r>
        <w:t>Querschnittsstudie an 458 Primärversorgungspatienten in Polen untersuchte, welche Faktoren mit vollständiger COVID-19-Impfung assoziiert sind.</w:t>
      </w:r>
    </w:p>
    <w:p>
      <w:r>
        <w:rPr>
          <w:b/>
        </w:rPr>
        <w:t xml:space="preserve">Ergebnis: </w:t>
      </w:r>
      <w:r>
        <w:t>Vollständige Impfung war assoziiert mit höherem Alter, höherer Bildung und Rentnerstatus; ländlicher Wohnort zeigte unerwartet höhere Impfquote als urban; Lifestyle-Profile zeigten keine konsistente unabhängige Assoziation mit Impfstatus.</w:t>
      </w:r>
    </w:p>
    <w:p>
      <w:r>
        <w:rPr>
          <w:b/>
          <w:sz w:val="19"/>
        </w:rPr>
        <w:t xml:space="preserve">Übertragbarkeit: </w:t>
      </w:r>
      <w:r>
        <w:rPr>
          <w:sz w:val="19"/>
        </w:rPr>
        <w:t>Polen, vergleichbares Versicherungssystem, dokumentiert Rollen von Zugang und Vertrauen</w:t>
      </w:r>
    </w:p>
    <w:p>
      <w:r>
        <w:rPr>
          <w:color w:val="5A7D3A"/>
          <w:sz w:val="18"/>
        </w:rPr>
        <w:t>https://pubmed.ncbi.nlm.nih.gov/42776929/</w:t>
      </w:r>
    </w:p>
    <w:p>
      <w:pPr>
        <w:pStyle w:val="Heading2"/>
      </w:pPr>
      <w:r>
        <w:t>Moderate bis hohe körperliche Aktivität verstärkt COVID-19-Antikörperreaktion unmittelbar nach Impfung</w:t>
      </w:r>
    </w:p>
    <w:p>
      <w:r>
        <w:rPr>
          <w:i/>
          <w:color w:val="666666"/>
          <w:sz w:val="18"/>
        </w:rPr>
        <w:t>Voulgaridi I et al.  ·  Front Public Health  ·  08.09.2026  ·  PMID 42774463</w:t>
      </w:r>
    </w:p>
    <w:p>
      <w:r>
        <w:t>Längsschnitt-Kohortenstudie mit 641 Erwachsenen untersuchte Assoziation zwischen Bewegungsaktivität und Anti-SARS-CoV-2-IgG/IgA-Antikörpern an den Tagen 21, 42, 90 und 180 nach COVID-19-Impfung.</w:t>
      </w:r>
    </w:p>
    <w:p>
      <w:r>
        <w:rPr>
          <w:b/>
        </w:rPr>
        <w:t xml:space="preserve">Ergebnis: </w:t>
      </w:r>
      <w:r>
        <w:t>IgG-Seropositividät an Tag 21 war höher bei moderater (92,6%) oder hoher (97,0%) Aktivität als bei niedriger (70,4%, p&lt;0,001); älteres Alter mit reduzierten IgG-Titern assoziiert (alle Zeitpunkte p&lt;0,001); Komorbidität mit niedrigeren Titern verknüpft.</w:t>
      </w:r>
    </w:p>
    <w:p>
      <w:r>
        <w:rPr>
          <w:b/>
          <w:sz w:val="19"/>
        </w:rPr>
        <w:t xml:space="preserve">Übertragbarkeit: </w:t>
      </w:r>
      <w:r>
        <w:rPr>
          <w:sz w:val="19"/>
        </w:rPr>
        <w:t>Griechenland, europäisches Gesundheitssystem, vergleichbare Impfprogramme</w:t>
      </w:r>
    </w:p>
    <w:p>
      <w:r>
        <w:rPr>
          <w:color w:val="5A7D3A"/>
          <w:sz w:val="18"/>
        </w:rPr>
        <w:t>https://pubmed.ncbi.nlm.nih.gov/42774463/</w:t>
      </w:r>
    </w:p>
    <w:p>
      <w:pPr>
        <w:pStyle w:val="Heading2"/>
      </w:pPr>
      <w:r>
        <w:t>Tdap-Sicherheit im VAERS-Register: Radiculitis bei Frauen erhöht, aber Schwangerschaft und Alter unbedenklich</w:t>
      </w:r>
    </w:p>
    <w:p>
      <w:r>
        <w:rPr>
          <w:i/>
          <w:color w:val="666666"/>
          <w:sz w:val="18"/>
        </w:rPr>
        <w:t>Song W et al.  ·  Front Cell Infect Microbiol  ·  08.09.2026  ·  PMID 42774241</w:t>
      </w:r>
    </w:p>
    <w:p>
      <w:r>
        <w:t>Post-Marketing-Surveillance von 20.128 VAERS-Meldungen zu Tdap (2015–2025) mit Disproportionalitätsanalyse nach Alter, Geschlecht und Schwangerschaftsstatus.</w:t>
      </w:r>
    </w:p>
    <w:p>
      <w:r>
        <w:rPr>
          <w:b/>
        </w:rPr>
        <w:t xml:space="preserve">Ergebnis: </w:t>
      </w:r>
      <w:r>
        <w:t>95,8% nicht-schwerwiegende Fälle; häufigste Signale: Injektionsstelle Erythem und Ödem; 70,3% Ereignisse innerhalb 1 Tag; bei Schwangeren (n=744): keine unerwarteten Sicherheitssignale; Adoleszenten: Opisthotonus erhöht (ROR=8,55); nicht-schwangere Frauen: Brachialradiculitis (ROR=14,42) und Bursa-Flüssigkeitsansammlung (ROR=21,22) erhöht.</w:t>
      </w:r>
    </w:p>
    <w:p>
      <w:r>
        <w:rPr>
          <w:b/>
          <w:sz w:val="19"/>
        </w:rPr>
        <w:t xml:space="preserve">Übertragbarkeit: </w:t>
      </w:r>
      <w:r>
        <w:rPr>
          <w:sz w:val="19"/>
        </w:rPr>
        <w:t>USA-VAERS-Daten, aber Pharmakovigilanz-Methode international verwendbar</w:t>
      </w:r>
    </w:p>
    <w:p>
      <w:r>
        <w:rPr>
          <w:color w:val="5A7D3A"/>
          <w:sz w:val="18"/>
        </w:rPr>
        <w:t>https://pubmed.ncbi.nlm.nih.gov/42774241/</w:t>
      </w:r>
    </w:p>
    <w:p>
      <w:pPr>
        <w:pStyle w:val="Heading2"/>
      </w:pPr>
      <w:r>
        <w:t>HPV16/18-Antikörper-Überwachung: Neutralisierungstest, cCLIA und IgG im Vergleich für Impfquoten-Monitoring</w:t>
      </w:r>
    </w:p>
    <w:p>
      <w:r>
        <w:rPr>
          <w:i/>
          <w:color w:val="666666"/>
          <w:sz w:val="18"/>
        </w:rPr>
        <w:t>Mao W et al.  ·  Front Immunol  ·  08.09.2026  ·  PMID 42774225</w:t>
      </w:r>
    </w:p>
    <w:p>
      <w:r>
        <w:t>Querschnitt- und Längsschnittstudie mit vollständig Geimpften und Ungeimpften verglich drei serologische Assays (Pseudovirionen-Neutralisierung, kompetitiver Chemilumineszenz-Immunoassay, indirekte IgG) für HPV16/18-Antikörper-Nachweis nach Vakzination.</w:t>
      </w:r>
    </w:p>
    <w:p>
      <w:r>
        <w:rPr>
          <w:b/>
        </w:rPr>
        <w:t xml:space="preserve">Ergebnis: </w:t>
      </w:r>
      <w:r>
        <w:t>Alle drei Assays reflektierten Impfantwort-Trends; cCLIA stabiler gegenüber Neutralisierungstest als IgG-Assay, besonders longitudinal und nach 2. Dosis; IgG zeigte niedrigere Stabilität für funktionale Klassifikation, aber konsistente Erfassung von Bevölkerungs-Reaktionen; persistente numerische Unterschiede bedeuten Assays nicht direkt austauschbar.</w:t>
      </w:r>
    </w:p>
    <w:p>
      <w:r>
        <w:rPr>
          <w:b/>
          <w:sz w:val="19"/>
        </w:rPr>
        <w:t xml:space="preserve">Übertragbarkeit: </w:t>
      </w:r>
      <w:r>
        <w:rPr>
          <w:sz w:val="19"/>
        </w:rPr>
        <w:t>China, aber Assay-Vergleich für HPV-Monitoring-Strategien europaweit relevant</w:t>
      </w:r>
    </w:p>
    <w:p>
      <w:r>
        <w:rPr>
          <w:color w:val="5A7D3A"/>
          <w:sz w:val="18"/>
        </w:rPr>
        <w:t>https://pubmed.ncbi.nlm.nih.gov/42774225/</w:t>
      </w:r>
    </w:p>
    <w:p>
      <w:pPr>
        <w:pStyle w:val="Heading2"/>
      </w:pPr>
      <w:r>
        <w:t>Hochdosis-Grippeimpfstoff für gebrechliche Ältere – Effektivität variiert nach Frailty-Risiko</w:t>
      </w:r>
    </w:p>
    <w:p>
      <w:r>
        <w:rPr>
          <w:i/>
          <w:color w:val="666666"/>
          <w:sz w:val="18"/>
        </w:rPr>
        <w:t>Espersen C et al.  ·  Lancet Healthy Longev  ·  17.09.2026  ·  PMID 42753782</w:t>
      </w:r>
    </w:p>
    <w:p>
      <w:r>
        <w:t>Prespecified Analyse der DANFLU-2-Studie mit 332.438 Personen ≥65 Jahren aus Dänemark verglich Hochdosis- vs. Standarddosis-Influenzavakzin nach Gebrechlichkeitsrisiko bezüglich Hospitalisierungen.</w:t>
      </w:r>
    </w:p>
    <w:p>
      <w:r>
        <w:rPr>
          <w:b/>
        </w:rPr>
        <w:t xml:space="preserve">Ergebnis: </w:t>
      </w:r>
      <w:r>
        <w:t>Bei niedriger Gebrechlichkeit: relative Vakzin-Effektivität (HD vs. SD) 0,2% (95% KI −10,8–10,2); bei mittlerer: 13,1% (−0,4–24,8); bei hoher: 19,9% (−10,3–42,1). Höhere Effektivitätsgewinne mit steigendem Gebrechlichkeitsrisiko, aber 95%-KIs überschreiten Null; Effekt-Modifikation nicht signifikant in vorgegebenen Kategorien.</w:t>
      </w:r>
    </w:p>
    <w:p>
      <w:r>
        <w:rPr>
          <w:b/>
          <w:sz w:val="19"/>
        </w:rPr>
        <w:t xml:space="preserve">Übertragbarkeit: </w:t>
      </w:r>
      <w:r>
        <w:rPr>
          <w:sz w:val="19"/>
        </w:rPr>
        <w:t>Dänemark, vergleichbares skandinavisches System mit Register und Krankenhausdaten</w:t>
      </w:r>
    </w:p>
    <w:p>
      <w:r>
        <w:rPr>
          <w:color w:val="5A7D3A"/>
          <w:sz w:val="18"/>
        </w:rPr>
        <w:t>https://pubmed.ncbi.nlm.nih.gov/42753782/</w:t>
      </w:r>
    </w:p>
    <w:p>
      <w:pPr>
        <w:pStyle w:val="Heading2"/>
      </w:pPr>
      <w:r>
        <w:t>Langzeitkomplikationen nach CAR-T-Zelltherapie: Infektionen und Sekundärmalignome überwiegen</w:t>
      </w:r>
    </w:p>
    <w:p>
      <w:r>
        <w:rPr>
          <w:i/>
          <w:color w:val="666666"/>
          <w:sz w:val="18"/>
        </w:rPr>
        <w:t>Eisenmann M et al.  ·  Curr Oncol  ·  01.08.2026  ·  PMID 42645366</w:t>
      </w:r>
    </w:p>
    <w:p>
      <w:r>
        <w:t>Scoping Review von 18 Primärstudien (2018 an) zu späten Nebenwirkungen (≥12 Monate nach Infusion) bei Patienten mit EMA-zugelassenen CAR-T-Produkten.</w:t>
      </w:r>
    </w:p>
    <w:p>
      <w:r>
        <w:rPr>
          <w:b/>
        </w:rPr>
        <w:t xml:space="preserve">Ergebnis: </w:t>
      </w:r>
      <w:r>
        <w:t>Spätkomplikationen konzentrierten sich auf Infektionen und Sekundärmalignome; Nicht-Rückfall-Mortalität in 7 Studien berichtet, Infektionen und Sekundärmalignome häufig als Todesursachen genannt; systematische Übersichtsarbeit ohne neue Ziffern, aber klare Kategorisierung der Evidenz.</w:t>
      </w:r>
    </w:p>
    <w:p>
      <w:r>
        <w:rPr>
          <w:b/>
          <w:sz w:val="19"/>
        </w:rPr>
        <w:t xml:space="preserve">Übertragbarkeit: </w:t>
      </w:r>
      <w:r>
        <w:rPr>
          <w:sz w:val="19"/>
        </w:rPr>
        <w:t>Europa, EMA-Daten, aber Übersicht ohne neue empirische Effekte – nur für Systemwissen</w:t>
      </w:r>
    </w:p>
    <w:p>
      <w:r>
        <w:rPr>
          <w:color w:val="5A7D3A"/>
          <w:sz w:val="18"/>
        </w:rPr>
        <w:t>https://pubmed.ncbi.nlm.nih.gov/42645366/</w:t>
      </w:r>
    </w:p>
    <w:p>
      <w:pPr>
        <w:pStyle w:val="Heading1"/>
      </w:pPr>
      <w:r>
        <w:t>Aufgenommen am 23.09.2026</w:t>
      </w:r>
    </w:p>
    <w:p>
      <w:pPr>
        <w:pStyle w:val="Heading2"/>
      </w:pPr>
      <w:r>
        <w:t>Impfkettenmanagement in koreanischen Gesundheitseinrichtungen: Defizite bei Temperaturüberwachung und Notstrom</w:t>
      </w:r>
    </w:p>
    <w:p>
      <w:r>
        <w:rPr>
          <w:i/>
          <w:color w:val="666666"/>
          <w:sz w:val="18"/>
        </w:rPr>
        <w:t>Kang CR et al.  ·  J Korean Med Sci  ·  21.09.2026  ·  PMID 42773072</w:t>
      </w:r>
    </w:p>
    <w:p>
      <w:r>
        <w:t>Nationale Querschnittserhebung zur Evaluierung der Impfkühllager-Praktiken in 53 südkoreanischen Immunisierungsanbietern (43 private Einrichtungen, 10 öffentliche Gesundheitszentren).</w:t>
      </w:r>
    </w:p>
    <w:p>
      <w:r>
        <w:rPr>
          <w:b/>
        </w:rPr>
        <w:t xml:space="preserve">Ergebnis: </w:t>
      </w:r>
      <w:r>
        <w:t>Alle Einrichtungen hatten dedizierte Impfkühlschränke (100 %), aber nur 73,6 % kontinuierliche Temperaturüberwachung auf allen Geräten; Alarmsysteme in 83,0 %; Notfallpläne in 52,8 %, regelmäßig getestet nur 40,9 %. Dokumentation und Entsorgung erfolgten regelkonform, aber Infrastruktur-Sicherheit ist lückenhaft.</w:t>
      </w:r>
    </w:p>
    <w:p>
      <w:r>
        <w:rPr>
          <w:b/>
          <w:sz w:val="19"/>
        </w:rPr>
        <w:t xml:space="preserve">Übertragbarkeit: </w:t>
      </w:r>
      <w:r>
        <w:rPr>
          <w:sz w:val="19"/>
        </w:rPr>
        <w:t>Südkorea, vergleichbare Infrastruktur-Herausforderungen, nicht direktes Deutschland-Modell</w:t>
      </w:r>
    </w:p>
    <w:p>
      <w:r>
        <w:rPr>
          <w:color w:val="5A7D3A"/>
          <w:sz w:val="18"/>
        </w:rPr>
        <w:t>https://pubmed.ncbi.nlm.nih.gov/42773072/</w:t>
      </w:r>
    </w:p>
    <w:p>
      <w:pPr>
        <w:pStyle w:val="Heading2"/>
      </w:pPr>
      <w:r>
        <w:t>COVID-19-Impfeffektivität: Test-negativ vs. Kohortenstudien liefern vergleichbare Ergebnisse</w:t>
      </w:r>
    </w:p>
    <w:p>
      <w:r>
        <w:rPr>
          <w:i/>
          <w:color w:val="666666"/>
          <w:sz w:val="18"/>
        </w:rPr>
        <w:t>Sukik L et al.  ·  Int J Epidemiol  ·  18.08.2026  ·  PMID 42772774</w:t>
      </w:r>
    </w:p>
    <w:p>
      <w:r>
        <w:t>Direkter Methodenvergleich: Test-negativ-Fall-Kontroll- vs. retrospektive Kohortenstudien zur COVID-19-Impfeffektivität in Katar mit identischer Population und Datenquelle.</w:t>
      </w:r>
    </w:p>
    <w:p>
      <w:r>
        <w:rPr>
          <w:b/>
        </w:rPr>
        <w:t xml:space="preserve">Ergebnis: </w:t>
      </w:r>
      <w:r>
        <w:t>BNT162b2-Effektivität gegen Infektion im Test-negativ-Design 71,0 % vs. Kohorten-Design 78,0 % (nach Korrektur für Testrate); gegen schwere COVID-19 96,3 % vs. 98,0 %. Beide Designs zeigten ähnliche Wirksamkeitsverluste. Methodische Unterschiede sind kleiner als erwartet.</w:t>
      </w:r>
    </w:p>
    <w:p>
      <w:r>
        <w:rPr>
          <w:b/>
          <w:sz w:val="19"/>
        </w:rPr>
        <w:t xml:space="preserve">Übertragbarkeit: </w:t>
      </w:r>
      <w:r>
        <w:rPr>
          <w:sz w:val="19"/>
        </w:rPr>
        <w:t>Katar (nicht Deutschland), aber Methodenvergleich für alle Impfstoff-Studien übertragbar</w:t>
      </w:r>
    </w:p>
    <w:p>
      <w:r>
        <w:rPr>
          <w:color w:val="5A7D3A"/>
          <w:sz w:val="18"/>
        </w:rPr>
        <w:t>https://pubmed.ncbi.nlm.nih.gov/42772774/</w:t>
      </w:r>
    </w:p>
    <w:p>
      <w:pPr>
        <w:pStyle w:val="Heading2"/>
      </w:pPr>
      <w:r>
        <w:t>WHO-Einfachdosis-Empfehlung für HPV-Impfung erhöhte Ländereinführungen um 22 weitere Länder</w:t>
      </w:r>
    </w:p>
    <w:p>
      <w:r>
        <w:rPr>
          <w:i/>
          <w:color w:val="666666"/>
          <w:sz w:val="18"/>
        </w:rPr>
        <w:t>Suh J et al.  ·  Expert Rev Vaccines  ·  22.09.2026  ·  PMID 42770688</w:t>
      </w:r>
    </w:p>
    <w:p>
      <w:r>
        <w:t>Analyse von Einflussfaktoren auf nationale HPV-Impfstoff-Einführungsraten in Ländern mit niedrigem und mittlerem Einkommen 2006–2025 mittels GLM und Changepoint-Analyse.</w:t>
      </w:r>
    </w:p>
    <w:p>
      <w:r>
        <w:rPr>
          <w:b/>
        </w:rPr>
        <w:t xml:space="preserve">Ergebnis: </w:t>
      </w:r>
      <w:r>
        <w:t>WHO-Einfachdosis-Empfehlung 2022 war der stärkste assoziierte Faktor; Gavi-Finanzierungserweiterung (2017–2025) auch bedeutsam. Modellprognosen: 22,46 zusätzliche nationale HPV-Impfstoff-Einführungen in LMIC allein durch die Einfachdosis-Empfehlung. Signifikanter Anstieg 2022.</w:t>
      </w:r>
    </w:p>
    <w:p>
      <w:r>
        <w:rPr>
          <w:b/>
          <w:sz w:val="19"/>
        </w:rPr>
        <w:t xml:space="preserve">Übertragbarkeit: </w:t>
      </w:r>
      <w:r>
        <w:rPr>
          <w:sz w:val="19"/>
        </w:rPr>
        <w:t>Globale Politikanalyse, zeigt Hebel für Impfprogramme weltweit, nicht Deutschland-spezifisch</w:t>
      </w:r>
    </w:p>
    <w:p>
      <w:r>
        <w:rPr>
          <w:color w:val="5A7D3A"/>
          <w:sz w:val="18"/>
        </w:rPr>
        <w:t>https://pubmed.ncbi.nlm.nih.gov/42770688/</w:t>
      </w:r>
    </w:p>
    <w:p>
      <w:pPr>
        <w:pStyle w:val="Heading2"/>
      </w:pPr>
      <w:r>
        <w:t>Impfablehnung in der Türkei: Eltern und Gesundheitspersonal berichten von Vertrauenskrise</w:t>
      </w:r>
    </w:p>
    <w:p>
      <w:r>
        <w:rPr>
          <w:i/>
          <w:color w:val="666666"/>
          <w:sz w:val="18"/>
        </w:rPr>
        <w:t>Sezer E et al.  ·  Front Public Health  ·  07.09.2026  ·  PMID 42769268</w:t>
      </w:r>
    </w:p>
    <w:p>
      <w:r>
        <w:t>Qualitative Studie mit 19 impfablehnenden Eltern und 21 Fachpersonen (Ärzte, Hebammen) zur Erkundung von Gründen und strukturellen Barrieren für Impfverweigerung in der Türkei 2017.</w:t>
      </w:r>
    </w:p>
    <w:p>
      <w:r>
        <w:rPr>
          <w:b/>
        </w:rPr>
        <w:t xml:space="preserve">Ergebnis: </w:t>
      </w:r>
      <w:r>
        <w:t>Vier zentrale ethische Spannungsfelder: (1) Lücke zwischen informierter Ablehnung und uninformierter Wahl durch Informationsasymmetrie; (2) Vertrauenskrise in Gesundheitsinstitutionen durch leistungsbasierte Bezahlung von Ärzten; (3) Konflikt zwischen religiöser und medizinischer Autorität; (4) angefochtene elterliche Autonomie in patriarchalen Strukturen. Leistungsbezahlte Ärzte dokumentieren lieber, als dass sie Gespräche führen.</w:t>
      </w:r>
    </w:p>
    <w:p>
      <w:r>
        <w:rPr>
          <w:b/>
          <w:sz w:val="19"/>
        </w:rPr>
        <w:t xml:space="preserve">Übertragbarkeit: </w:t>
      </w:r>
      <w:r>
        <w:rPr>
          <w:sz w:val="19"/>
        </w:rPr>
        <w:t>Türkei (LMIC), strukturelle Probleme aber in allen Systemen mit Leistungsvergütung relevant</w:t>
      </w:r>
    </w:p>
    <w:p>
      <w:r>
        <w:rPr>
          <w:color w:val="5A7D3A"/>
          <w:sz w:val="18"/>
        </w:rPr>
        <w:t>https://pubmed.ncbi.nlm.nih.gov/42769268/</w:t>
      </w:r>
    </w:p>
    <w:p>
      <w:pPr>
        <w:pStyle w:val="Heading2"/>
      </w:pPr>
      <w:r>
        <w:t>Adenovirus-Serotyp-Wechsel steigerte Ebola-Impfstoff-Immunantwort in Mäusen</w:t>
      </w:r>
    </w:p>
    <w:p>
      <w:r>
        <w:rPr>
          <w:i/>
          <w:color w:val="666666"/>
          <w:sz w:val="18"/>
        </w:rPr>
        <w:t>Wiggins J et al.  ·  J Med Virol  ·  Sept. 2026  ·  PMID 42765626</w:t>
      </w:r>
    </w:p>
    <w:p>
      <w:r>
        <w:t>Vergleichende Laborstu die mit verschiedenen Adenovirus-Vektoren und Immunisierungsrouten zur Optimierung der Ebolavirus-Glykoproteinin-Immunogenität.</w:t>
      </w:r>
    </w:p>
    <w:p>
      <w:r>
        <w:rPr>
          <w:b/>
        </w:rPr>
        <w:t xml:space="preserve">Ergebnis: </w:t>
      </w:r>
      <w:r>
        <w:t>Species-C-Vektoren (Ad5, Ad6) zeigten starke Antikörperreaktionen und schnelle Klassenumwandlung zu IgG im Vergleich zu Species B und D. Serotyp-Wechsel-Schemata erhöhten Antikörperniveaus und erzeugte robuste T-Zell-Reaktionen bei intramuskulärer Gabe. Intranasale Gabe induzierte nachweisbares IgA, aber keine messbaren T-Zell-Antworten – routenabhängige Immunkompartimentalisierung.</w:t>
      </w:r>
    </w:p>
    <w:p>
      <w:r>
        <w:rPr>
          <w:b/>
          <w:sz w:val="19"/>
        </w:rPr>
        <w:t xml:space="preserve">Übertragbarkeit: </w:t>
      </w:r>
      <w:r>
        <w:rPr>
          <w:sz w:val="19"/>
        </w:rPr>
        <w:t>Präklinische Mausstudien, Impfstoff-Entwicklungsphase, keine direkten Versorgungsdaten</w:t>
      </w:r>
    </w:p>
    <w:p>
      <w:r>
        <w:rPr>
          <w:color w:val="5A7D3A"/>
          <w:sz w:val="18"/>
        </w:rPr>
        <w:t>https://pubmed.ncbi.nlm.nih.gov/42765626/</w:t>
      </w:r>
    </w:p>
    <w:p>
      <w:pPr>
        <w:pStyle w:val="Heading2"/>
      </w:pPr>
      <w:r>
        <w:t>MMR-Impf-Anaphylaxie durch Schweineglatine: Fallbericht und praktische Empfehlungen</w:t>
      </w:r>
    </w:p>
    <w:p>
      <w:r>
        <w:rPr>
          <w:i/>
          <w:color w:val="666666"/>
          <w:sz w:val="18"/>
        </w:rPr>
        <w:t>Iordachescu M et al.  ·  Rev Med Liege  ·  Sept. 2026  ·  PMID 42751843</w:t>
      </w:r>
    </w:p>
    <w:p>
      <w:r>
        <w:t>Zwei pädiatrische Fallberichte von Anaphylaxie nach M-M-RVaxPro®-Impfung, zugeordnet der Schweineglatine (14,5 mg/Dosis) als Stabilisator.</w:t>
      </w:r>
    </w:p>
    <w:p>
      <w:r>
        <w:rPr>
          <w:b/>
        </w:rPr>
        <w:t xml:space="preserve">Ergebnis: </w:t>
      </w:r>
      <w:r>
        <w:t>Beide Patienten entwickelten schwere Reaktionen nach Auffrischung mit positiven Haut- und Bluttests für Gelatin; Allergien gegen Neomycin, Latex und Chlorhexidin ausgeschlossen. Empfehlungen: Vermeidung gelatinehaltiger Impfstoffe, Substitution mit gelatinefreien Alternativen (Priorix®), orale Herausforderungsprobe für Lebensmitteltoleranz, Epinephrin-Notfallset, Spitalüberwachung bei Mastzellstörungen.</w:t>
      </w:r>
    </w:p>
    <w:p>
      <w:r>
        <w:rPr>
          <w:b/>
          <w:sz w:val="19"/>
        </w:rPr>
        <w:t xml:space="preserve">Übertragbarkeit: </w:t>
      </w:r>
      <w:r>
        <w:rPr>
          <w:sz w:val="19"/>
        </w:rPr>
        <w:t>Belgien, europäische Fallberichte, Sicherheitserkenntnis für alle Mastzell-Erkrankungen</w:t>
      </w:r>
    </w:p>
    <w:p>
      <w:r>
        <w:rPr>
          <w:color w:val="5A7D3A"/>
          <w:sz w:val="18"/>
        </w:rPr>
        <w:t>https://pubmed.ncbi.nlm.nih.gov/42751843/</w:t>
      </w:r>
    </w:p>
    <w:p>
      <w:pPr>
        <w:pStyle w:val="Heading2"/>
      </w:pPr>
      <w:r>
        <w:t>RSV-Impfstoff verhinderte 70 % der Hospitalisierungen bei Erwachsenen</w:t>
      </w:r>
    </w:p>
    <w:p>
      <w:r>
        <w:rPr>
          <w:i/>
          <w:color w:val="666666"/>
          <w:sz w:val="18"/>
        </w:rPr>
        <w:t>Lassen MCH et al.  ·  NEJM Evid  ·  29.08.2026  ·  PMID 42666095</w:t>
      </w:r>
    </w:p>
    <w:p>
      <w:r>
        <w:t>Pragmatische randomisierte Studie zum Schutz der bivalenten RSV-Präfusion-F-Impfung vor RSV-Hospitalisierung in Dänemark und Spanien.</w:t>
      </w:r>
    </w:p>
    <w:p>
      <w:r>
        <w:rPr>
          <w:b/>
        </w:rPr>
        <w:t xml:space="preserve">Ergebnis: </w:t>
      </w:r>
      <w:r>
        <w:t>Von 513.358 randomisierten Teilnehmern lag die Impfeffektivität gegen RSV-Atemwegserkrankungen-Hospitalisierung bei 70,3 % (95 %-KI 49,7–83,2), gegen untere Atemwege bei 71,1 % (45,4–85,7). Schwere Nebenwirkungen traten in 2,0 % der Impfgruppe vs. 2,2 % der Kontrollgruppe auf – ein wirksamer und sicherer Impfstoff unter Alltagsbedingungen.</w:t>
      </w:r>
    </w:p>
    <w:p>
      <w:r>
        <w:rPr>
          <w:b/>
          <w:sz w:val="19"/>
        </w:rPr>
        <w:t xml:space="preserve">Übertragbarkeit: </w:t>
      </w:r>
      <w:r>
        <w:rPr>
          <w:sz w:val="19"/>
        </w:rPr>
        <w:t>Dänemark/Spanien, nationale Versicherungsdaten und Routineüberwachung, nicht USA-abhängig</w:t>
      </w:r>
    </w:p>
    <w:p>
      <w:r>
        <w:rPr>
          <w:color w:val="5A7D3A"/>
          <w:sz w:val="18"/>
        </w:rPr>
        <w:t>https://pubmed.ncbi.nlm.nih.gov/42666095/</w:t>
      </w:r>
    </w:p>
    <w:p>
      <w:pPr>
        <w:pStyle w:val="Heading1"/>
      </w:pPr>
      <w:r>
        <w:t>Aufgenommen am 22.09.2026</w:t>
      </w:r>
    </w:p>
    <w:p>
      <w:pPr>
        <w:pStyle w:val="Heading2"/>
      </w:pPr>
      <w:r>
        <w:t>Impfbelastung bei Kindern senken: Leitlinie 2026 zu Schmerz und Angst</w:t>
      </w:r>
    </w:p>
    <w:p>
      <w:r>
        <w:rPr>
          <w:i/>
          <w:color w:val="666666"/>
          <w:sz w:val="18"/>
        </w:rPr>
        <w:t>Taddio A et al.  ·  CMAJ  ·  20.09.2026  ·  PMID 42767684</w:t>
      </w:r>
    </w:p>
    <w:p>
      <w:r>
        <w:t>Systematische Übersichtsarbeiten zu 16 evidenzgestützten Empfehlungen gegen Impfangst und Schmerzen in fünf Domänen (Prozess, Technik, Körperlage, Medikament, Psychologie).</w:t>
      </w:r>
    </w:p>
    <w:p>
      <w:r>
        <w:rPr>
          <w:b/>
        </w:rPr>
        <w:t xml:space="preserve">Ergebnis: </w:t>
      </w:r>
      <w:r>
        <w:t>7 starke Empfehlungen mit moderater bis hoher Evidenz (z. B. mehrkomponentige Prozessinterventionen, orale Ernährung für Säuglinge); 9 bedingte Empfehlungen bei niedriger Evidenz. Empfehlungen zielgruppenspezifisch für Fachpersonen, Impflinge und Angehörige.</w:t>
      </w:r>
    </w:p>
    <w:p>
      <w:r>
        <w:rPr>
          <w:b/>
          <w:sz w:val="19"/>
        </w:rPr>
        <w:t xml:space="preserve">Übertragbarkeit: </w:t>
      </w:r>
      <w:r>
        <w:rPr>
          <w:sz w:val="19"/>
        </w:rPr>
        <w:t>Kanada, GRADE-Methodik, Impfpraxis in Hocheinkommensländern.</w:t>
      </w:r>
    </w:p>
    <w:p>
      <w:r>
        <w:rPr>
          <w:color w:val="5A7D3A"/>
          <w:sz w:val="18"/>
        </w:rPr>
        <w:t>https://pubmed.ncbi.nlm.nih.gov/42767684/</w:t>
      </w:r>
    </w:p>
    <w:p>
      <w:pPr>
        <w:pStyle w:val="Heading2"/>
      </w:pPr>
      <w:r>
        <w:t>HPV-Impfbereitschaft bei Frauen in Sierra Leone: hohe Akzeptanz trotz Wissenslücken</w:t>
      </w:r>
    </w:p>
    <w:p>
      <w:r>
        <w:rPr>
          <w:i/>
          <w:color w:val="666666"/>
          <w:sz w:val="18"/>
        </w:rPr>
        <w:t>Everman S et al.  ·  J Health Care Poor Underserved  ·  2026  ·  PMID 42766516</w:t>
      </w:r>
    </w:p>
    <w:p>
      <w:r>
        <w:t>Querschnittsstudie zur Akzeptanz der HPV-Impfung bei 189 Frauen in ländlichen und städtischen Gegenden Sierra Leones, untersucht Wissen über Gebärmutterhalskrebs und Impfverhalten.</w:t>
      </w:r>
    </w:p>
    <w:p>
      <w:r>
        <w:rPr>
          <w:b/>
        </w:rPr>
        <w:t xml:space="preserve">Ergebnis: </w:t>
      </w:r>
      <w:r>
        <w:t>Geringe Awareness für Gebärmutterhalskrebs und HPV-Impfung. Breite Willingness zur Impfung. Statistisch signifikante positive Assoziation zwischen formaler Bildung und Impfbereitschaft (p &lt; 0,01). Starke Präferenz für Schulmedizin.</w:t>
      </w:r>
    </w:p>
    <w:p>
      <w:r>
        <w:rPr>
          <w:b/>
          <w:sz w:val="19"/>
        </w:rPr>
        <w:t xml:space="preserve">Übertragbarkeit: </w:t>
      </w:r>
      <w:r>
        <w:rPr>
          <w:sz w:val="19"/>
        </w:rPr>
        <w:t>Wenig entwickelte Region, Impfakzeptanz ist Ausgangspunkt für Programmentwicklung.</w:t>
      </w:r>
    </w:p>
    <w:p>
      <w:r>
        <w:rPr>
          <w:color w:val="5A7D3A"/>
          <w:sz w:val="18"/>
        </w:rPr>
        <w:t>https://pubmed.ncbi.nlm.nih.gov/42766516/</w:t>
      </w:r>
    </w:p>
    <w:p>
      <w:pPr>
        <w:pStyle w:val="Heading2"/>
      </w:pPr>
      <w:r>
        <w:t>Saisonimpfung vor A(H5)-Impfung: marginal additivem Nutzen gegen pandemisches H5N1-Risiko</w:t>
      </w:r>
    </w:p>
    <w:p>
      <w:r>
        <w:rPr>
          <w:i/>
          <w:color w:val="666666"/>
          <w:sz w:val="18"/>
        </w:rPr>
        <w:t>Hatta M et al.  ·  Emerg Microbes Infect  ·  21.09.2026  ·  PMID 42765371</w:t>
      </w:r>
    </w:p>
    <w:p>
      <w:r>
        <w:t>Maus- und Frettchen-Modellstudie mit pandemischen H5N1-Viren (Klade 2.3.4.4b) zur Frage, ob saisonale Influenza-Impfung vor A(H5)-Impfung die Schutzwirkung verbessert.</w:t>
      </w:r>
    </w:p>
    <w:p>
      <w:r>
        <w:rPr>
          <w:b/>
        </w:rPr>
        <w:t xml:space="preserve">Ergebnis: </w:t>
      </w:r>
      <w:r>
        <w:t>Saisonale Impfung induzierte keine Antikörper gegen A(H5). Saisonale Impfung vor A(H5)-Impfung war in 1 von 3 Maus-Experimenten mit besseren Outcomes assoziiert, nicht aber in den anderen 2 Maus-Experimenten oder bei Frettchen. Begrenzte additive Vorteile.</w:t>
      </w:r>
    </w:p>
    <w:p>
      <w:r>
        <w:rPr>
          <w:b/>
          <w:sz w:val="19"/>
        </w:rPr>
        <w:t xml:space="preserve">Übertragbarkeit: </w:t>
      </w:r>
      <w:r>
        <w:rPr>
          <w:sz w:val="19"/>
        </w:rPr>
        <w:t>Präklinische Modelle, Pandemiebereitscha Deutschland für Ressourcenpriorisierung.</w:t>
      </w:r>
    </w:p>
    <w:p>
      <w:r>
        <w:rPr>
          <w:color w:val="5A7D3A"/>
          <w:sz w:val="18"/>
        </w:rPr>
        <w:t>https://pubmed.ncbi.nlm.nih.gov/42765371/</w:t>
      </w:r>
    </w:p>
    <w:p>
      <w:pPr>
        <w:pStyle w:val="Heading2"/>
      </w:pPr>
      <w:r>
        <w:t>Influenza- und Pneumokokken-Impfungen in Südafrika 2017–2021: COVID-19 beeinflusste Versorgungsmuster</w:t>
      </w:r>
    </w:p>
    <w:p>
      <w:r>
        <w:rPr>
          <w:i/>
          <w:color w:val="666666"/>
          <w:sz w:val="18"/>
        </w:rPr>
        <w:t>Truter I et al.  ·  Pharmacoepidemiol Drug Saf  ·  Okt. 2026  ·  PMID 42764173</w:t>
      </w:r>
    </w:p>
    <w:p>
      <w:r>
        <w:t>Longitudinale pharmakoepidemiologische Studie zu Abgabemengen von Influenza- und Pneumokokken-Impfstoffen in privaten Krankenversicherungsdaten Südafrikas (3,8 Mio. Versicherte).</w:t>
      </w:r>
    </w:p>
    <w:p>
      <w:r>
        <w:rPr>
          <w:b/>
        </w:rPr>
        <w:t xml:space="preserve">Ergebnis: </w:t>
      </w:r>
      <w:r>
        <w:t>Jährliche Abgabemuster unterschieden sich signifikant (p &lt; 0,01), Influenza-Impfung hauptsächlich März–Juni. Post-COVID-19 (2020–2021): signifikant mehr Influenza-Impfungen März–Juni (p &lt; 0,01), leichte Zunahme Pneumokokken-Impfungen (p &lt; 0,05). COVID-19-Impfung hatte insgesamt keinen signifikanten Effekt auf die Muster.</w:t>
      </w:r>
    </w:p>
    <w:p>
      <w:r>
        <w:rPr>
          <w:b/>
          <w:sz w:val="19"/>
        </w:rPr>
        <w:t xml:space="preserve">Übertragbarkeit: </w:t>
      </w:r>
      <w:r>
        <w:rPr>
          <w:sz w:val="19"/>
        </w:rPr>
        <w:t>Südafrika, Versicherungsdaten, Versorgungsrealität im Privatsektor.</w:t>
      </w:r>
    </w:p>
    <w:p>
      <w:r>
        <w:rPr>
          <w:color w:val="5A7D3A"/>
          <w:sz w:val="18"/>
        </w:rPr>
        <w:t>https://pubmed.ncbi.nlm.nih.gov/42764173/</w:t>
      </w:r>
    </w:p>
    <w:p>
      <w:pPr>
        <w:pStyle w:val="Heading2"/>
      </w:pPr>
      <w:r>
        <w:t>Influenza-Impfeffektivität bei Kindern in der Primärversorgung: 79 % Schutz vor laborbestätigter Erkrankung</w:t>
      </w:r>
    </w:p>
    <w:p>
      <w:r>
        <w:rPr>
          <w:i/>
          <w:color w:val="666666"/>
          <w:sz w:val="18"/>
        </w:rPr>
        <w:t>Barretta M et al.  ·  Clin Microbiol Infect  ·  11.07.2026  ·  PMID 42435855</w:t>
      </w:r>
    </w:p>
    <w:p>
      <w:r>
        <w:t>Multizenterstudie unter italienischen Kinderärzten zur Influenza-Impfeffektivität in der ambulanten Versorgung während der Saison 2024/2025.</w:t>
      </w:r>
    </w:p>
    <w:p>
      <w:r>
        <w:rPr>
          <w:b/>
        </w:rPr>
        <w:t xml:space="preserve">Ergebnis: </w:t>
      </w:r>
      <w:r>
        <w:t>79 % Reduktion von laborbestätigter Influenza bei geimpften vs. ungeimpften Kindern (95%-KI: 70–86 %). Kohorten-Analyse zeigte 76 % VE (95%-KI: 67–82 %). Effektivität konsistent für unterschiedliche Impfstofftypen und Testmethoden. Kein Schutz vor nicht-influenzabedingten Atemwegsinfekten.</w:t>
      </w:r>
    </w:p>
    <w:p>
      <w:r>
        <w:rPr>
          <w:b/>
          <w:sz w:val="19"/>
        </w:rPr>
        <w:t xml:space="preserve">Übertragbarkeit: </w:t>
      </w:r>
      <w:r>
        <w:rPr>
          <w:sz w:val="19"/>
        </w:rPr>
        <w:t>Italien, vergleichbare pädiatrische Versorgungsstrukturen, Praxisdaten.</w:t>
      </w:r>
    </w:p>
    <w:p>
      <w:r>
        <w:rPr>
          <w:color w:val="5A7D3A"/>
          <w:sz w:val="18"/>
        </w:rPr>
        <w:t>https://pubmed.ncbi.nlm.nih.gov/42435855/</w:t>
      </w:r>
    </w:p>
    <w:p>
      <w:pPr>
        <w:pStyle w:val="Heading1"/>
      </w:pPr>
      <w:r>
        <w:t>Aufgenommen am 21.09.2026</w:t>
      </w:r>
    </w:p>
    <w:p>
      <w:pPr>
        <w:pStyle w:val="Heading2"/>
      </w:pPr>
      <w:r>
        <w:t>Impfstoffsicherheit: Meningokokken-B und Routineimpfungen bei Säuglingen</w:t>
      </w:r>
    </w:p>
    <w:p>
      <w:r>
        <w:rPr>
          <w:i/>
          <w:color w:val="666666"/>
          <w:sz w:val="18"/>
        </w:rPr>
        <w:t>Nguyen T et al.  ·  Med J Aust  ·  Sept. 2026  ·  PMID 42764145</w:t>
      </w:r>
    </w:p>
    <w:p>
      <w:r>
        <w:t>Die Studie vergleicht Sicherheit und Reaktionen bei gleichzeitiger oder separater Verabreichung von Meningokokken-B-Impfstoff mit anderen Säuglingsimpfungen an 2-, 4-, 6- und 12 Monaten.</w:t>
      </w:r>
    </w:p>
    <w:p>
      <w:r>
        <w:rPr>
          <w:b/>
        </w:rPr>
        <w:t xml:space="preserve">Ergebnis: </w:t>
      </w:r>
      <w:r>
        <w:t>Bei 10.959 Säuglingen war die kumulative Rate unerwünschter Ereignisse nach gleichzeitiger Gabe bei 2 Monaten niedriger (29 % vs. 35 %, Risikodifferenz −6,7 %), bei 4, 6 und 12 Monaten vergleichbar. Ärztliche Konsultationen waren bei 12 Monaten unter gleichzeitiger Gabe seltener (4,1 % vs. 6,3 %). Separate Verabreichung reduziert nicht, kann aber die Reaktionslast erhöhen.</w:t>
      </w:r>
    </w:p>
    <w:p>
      <w:r>
        <w:rPr>
          <w:b/>
          <w:sz w:val="19"/>
        </w:rPr>
        <w:t xml:space="preserve">Übertragbarkeit: </w:t>
      </w:r>
      <w:r>
        <w:rPr>
          <w:sz w:val="19"/>
        </w:rPr>
        <w:t>Australien, vergleichbare Surveillance-Methodik über Online-Befragung anwendbar</w:t>
      </w:r>
    </w:p>
    <w:p>
      <w:r>
        <w:rPr>
          <w:color w:val="5A7D3A"/>
          <w:sz w:val="18"/>
        </w:rPr>
        <w:t>https://pubmed.ncbi.nlm.nih.gov/42764145/</w:t>
      </w:r>
    </w:p>
    <w:p>
      <w:pPr>
        <w:pStyle w:val="Heading2"/>
      </w:pPr>
      <w:r>
        <w:t>SARS-CoV-2 Langzeitschutz: MVA-Impfung erreicht mRNA-Niveau</w:t>
      </w:r>
    </w:p>
    <w:p>
      <w:r>
        <w:rPr>
          <w:i/>
          <w:color w:val="666666"/>
          <w:sz w:val="18"/>
        </w:rPr>
        <w:t>Pérez P et al.  ·  Front Immunol  ·  31.08.2026  ·  PMID 42741364</w:t>
      </w:r>
    </w:p>
    <w:p>
      <w:r>
        <w:t>Studie vergleicht Langzeitimmunität und Schutzwirkung nach homologer oder heterologer mRNA- und MVA-Impfung gegen XBB.1.5 in K18-hACE2-Mäusen über 9 Monate.</w:t>
      </w:r>
    </w:p>
    <w:p>
      <w:r>
        <w:rPr>
          <w:b/>
        </w:rPr>
        <w:t xml:space="preserve">Ergebnis: </w:t>
      </w:r>
      <w:r>
        <w:t>Alle Zwei-Dosen-Regimen reduzierten viral RNA und infektiöse Viruslast in oberen und unteren Atemwegen nach Challenge markant und vergleichbar. Bindungs-IgG blieb über 9 Monate hoch, neutralisierende Antikörper nahmen ab. mRNA/MVA-Heterologer Regimen zeigte Trend zu besserer CD8+-T-Zell-Persistenz. MVA als thermostabiler und kostengünstiger Kandidat bestätigt.</w:t>
      </w:r>
    </w:p>
    <w:p>
      <w:r>
        <w:rPr>
          <w:b/>
          <w:sz w:val="19"/>
        </w:rPr>
        <w:t xml:space="preserve">Übertragbarkeit: </w:t>
      </w:r>
      <w:r>
        <w:rPr>
          <w:sz w:val="19"/>
        </w:rPr>
        <w:t>Experimentell in Mäusen; Strategie für globale thermostabile Impfstoffversorgung relevant</w:t>
      </w:r>
    </w:p>
    <w:p>
      <w:r>
        <w:rPr>
          <w:color w:val="5A7D3A"/>
          <w:sz w:val="18"/>
        </w:rPr>
        <w:t>https://pubmed.ncbi.nlm.nih.gov/42741364/</w:t>
      </w:r>
    </w:p>
    <w:p>
      <w:pPr>
        <w:pStyle w:val="Heading2"/>
      </w:pPr>
      <w:r>
        <w:t>Digitale Impfdienste in Impfzentren: Strategien zur Effizienzsteigerung</w:t>
      </w:r>
    </w:p>
    <w:p>
      <w:r>
        <w:rPr>
          <w:i/>
          <w:color w:val="666666"/>
          <w:sz w:val="18"/>
        </w:rPr>
        <w:t>Song YF et al.  ·  Zhonghua Yu Fang Yi Xue Za Zhi  ·  06.09.2026  ·  PMID 42736157</w:t>
      </w:r>
    </w:p>
    <w:p>
      <w:r>
        <w:t>Chinesische Systemanalyse zu Strategien und Praktiken für digitale Services in Impfzentren, um Versorgungsqualität und Effizienz zu verbessern.</w:t>
      </w:r>
    </w:p>
    <w:p>
      <w:r>
        <w:rPr>
          <w:b/>
        </w:rPr>
        <w:t xml:space="preserve">Ergebnis: </w:t>
      </w:r>
      <w:r>
        <w:t>Artikel definiert digitale Impfdienste systematisch als Antwort auf steigende Impfstoffvielfalt, höhere Bevölkerungsmobilität und diversifizierte Impfbedarfe. Hauptkomponenten sind digitale Verwaltung, Planung und Patientenmanagement. Implementierungsempfehlungen zielen auf Verbesserung von Verwaltungseffizienz und Servicequalität.</w:t>
      </w:r>
    </w:p>
    <w:p>
      <w:r>
        <w:rPr>
          <w:b/>
          <w:sz w:val="19"/>
        </w:rPr>
        <w:t xml:space="preserve">Übertragbarkeit: </w:t>
      </w:r>
      <w:r>
        <w:rPr>
          <w:sz w:val="19"/>
        </w:rPr>
        <w:t>China; Systemansatz übertragbar auf Optimierung der Impflogistik in Gesundheitssystemen</w:t>
      </w:r>
    </w:p>
    <w:p>
      <w:r>
        <w:rPr>
          <w:color w:val="5A7D3A"/>
          <w:sz w:val="18"/>
        </w:rPr>
        <w:t>https://pubmed.ncbi.nlm.nih.gov/42736157/</w:t>
      </w:r>
    </w:p>
    <w:p>
      <w:pPr>
        <w:pStyle w:val="Heading2"/>
      </w:pPr>
      <w:r>
        <w:t>Dengue- und Chikungunya-Impfstoffe: Verfügbarkeit und Versorgungslücken</w:t>
      </w:r>
    </w:p>
    <w:p>
      <w:r>
        <w:rPr>
          <w:i/>
          <w:color w:val="666666"/>
          <w:sz w:val="18"/>
        </w:rPr>
        <w:t>Tee KK et al.  ·  Hum Vaccin Immunother  ·  10.09.2026  ·  PMID 42720969</w:t>
      </w:r>
    </w:p>
    <w:p>
      <w:r>
        <w:t>Analyse der Lücke zwischen Impfstoffverfügbarkeit nach regulativer Zulassung und tatsächlicher Aufnahme in nationale Impfprogramme in Ländern mit Übertragungsrisiko.</w:t>
      </w:r>
    </w:p>
    <w:p>
      <w:r>
        <w:rPr>
          <w:b/>
        </w:rPr>
        <w:t xml:space="preserve">Ergebnis: </w:t>
      </w:r>
      <w:r>
        <w:t>Dengue- und Chikungunya-Impfstoffe sind verfügbar, aber ihre Aufnahme in nationale Programme in vielen Hochrisiko-Ländern bleibt begrenzt oder ungleich verteilt. Die zentrale Herausforderung liegt nicht nur in der Verfügbarkeit, sondern in einem mehrschichtigen Zugangsdefizit: initiale Verfügbarkeit, anhaltende Bereitstellung und Anpassung an Übertragungsrisiko.</w:t>
      </w:r>
    </w:p>
    <w:p>
      <w:r>
        <w:rPr>
          <w:b/>
          <w:sz w:val="19"/>
        </w:rPr>
        <w:t xml:space="preserve">Übertragbarkeit: </w:t>
      </w:r>
      <w:r>
        <w:rPr>
          <w:sz w:val="19"/>
        </w:rPr>
        <w:t>Globale Perspektive; übertragbar auf Systemfähigkeit und Priorisierung in Gesundheitssystemen</w:t>
      </w:r>
    </w:p>
    <w:p>
      <w:r>
        <w:rPr>
          <w:color w:val="5A7D3A"/>
          <w:sz w:val="18"/>
        </w:rPr>
        <w:t>https://pubmed.ncbi.nlm.nih.gov/42720969/</w:t>
      </w:r>
    </w:p>
    <w:p>
      <w:pPr>
        <w:pStyle w:val="Heading2"/>
      </w:pPr>
      <w:r>
        <w:t>Impfstoff-Notfallreserven: Globales System entwickelt sich weiter</w:t>
      </w:r>
    </w:p>
    <w:p>
      <w:r>
        <w:rPr>
          <w:i/>
          <w:color w:val="666666"/>
          <w:sz w:val="18"/>
        </w:rPr>
        <w:t>Walldorf JA et al.  ·  Expert Rev Vaccines  ·  10.09.2026  ·  PMID 42717903</w:t>
      </w:r>
    </w:p>
    <w:p>
      <w:r>
        <w:t>Übersicht über die Entwicklung globaler Impfstoff-Stockpile-Strategien von 2014–2025 für Cholera, Gelbfieber, Polio, Meningokokken, COVID-19, Ebola und Mpox.</w:t>
      </w:r>
    </w:p>
    <w:p>
      <w:r>
        <w:rPr>
          <w:b/>
        </w:rPr>
        <w:t xml:space="preserve">Ergebnis: </w:t>
      </w:r>
      <w:r>
        <w:t>Globale Stockpile wurden für mehrere Impfstoffe etabliert. Die Strategie hat sich von reaktiv zu integriert entwickelt und verbindet Notfallreaktion mit Präventionsstrategie. Beschleunigte Impfstoffentwicklung erfordert effiziente und transparente Stockpile-Verwaltung für gerechte, bedarfsgerechte Verteilung.</w:t>
      </w:r>
    </w:p>
    <w:p>
      <w:r>
        <w:rPr>
          <w:b/>
          <w:sz w:val="19"/>
        </w:rPr>
        <w:t xml:space="preserve">Übertragbarkeit: </w:t>
      </w:r>
      <w:r>
        <w:rPr>
          <w:sz w:val="19"/>
        </w:rPr>
        <w:t>Governance und Versorgungslogistik; System betrifft Deutschland als Teilnehmer globaler Netzwerke</w:t>
      </w:r>
    </w:p>
    <w:p>
      <w:r>
        <w:rPr>
          <w:color w:val="5A7D3A"/>
          <w:sz w:val="18"/>
        </w:rPr>
        <w:t>https://pubmed.ncbi.nlm.nih.gov/42717903/</w:t>
      </w:r>
    </w:p>
    <w:p>
      <w:pPr>
        <w:pStyle w:val="Heading2"/>
      </w:pPr>
      <w:r>
        <w:t>BNT162b2-mRNA-Impfung: Plasmazytoide dendritische Zellen lenken Immunantwort</w:t>
      </w:r>
    </w:p>
    <w:p>
      <w:r>
        <w:rPr>
          <w:i/>
          <w:color w:val="666666"/>
          <w:sz w:val="18"/>
        </w:rPr>
        <w:t>Pizzichetti C et al.  ·  EBioMedicine  ·  21.08.2026  ·  PMID 42628376</w:t>
      </w:r>
    </w:p>
    <w:p>
      <w:r>
        <w:t>Vorklinische Mausstudie zur Rolle plasmatischer dendritischer Zellen (pDCs) bei humoralen und CD8+-T-Zell-Gedächtnisantworten nach BNT162b2-Impfung.</w:t>
      </w:r>
    </w:p>
    <w:p>
      <w:r>
        <w:rPr>
          <w:b/>
        </w:rPr>
        <w:t xml:space="preserve">Ergebnis: </w:t>
      </w:r>
      <w:r>
        <w:t>BNT162b2 wurde schnell zu drainierenden Lymphknoten transportiert, wo es hauptsächlich von Leukozyten aufgenommen wurde, die daraufhin Spike-Protein exprimierten. pDCs zeigten sich als Regulatoren entzündlicher und humoraler Immunantworten. Single-Cell-Transkriptomik offenbarte aktive Interaktionen zwischen pDCs und CD8+-T-Zellen; funktionelle Studien bestätigten, dass pDCs CD8+-T-Zell-Aktivierung und -Expansion fördern.</w:t>
      </w:r>
    </w:p>
    <w:p>
      <w:r>
        <w:rPr>
          <w:b/>
          <w:sz w:val="19"/>
        </w:rPr>
        <w:t xml:space="preserve">Übertragbarkeit: </w:t>
      </w:r>
      <w:r>
        <w:rPr>
          <w:sz w:val="19"/>
        </w:rPr>
        <w:t>Vorklinisch; Mechanismusverständnis der mRNA-Impfstoffwirksamkeit</w:t>
      </w:r>
    </w:p>
    <w:p>
      <w:r>
        <w:rPr>
          <w:color w:val="5A7D3A"/>
          <w:sz w:val="18"/>
        </w:rPr>
        <w:t>https://pubmed.ncbi.nlm.nih.gov/42628376/</w:t>
      </w:r>
    </w:p>
    <w:p>
      <w:pPr>
        <w:pStyle w:val="Heading1"/>
      </w:pPr>
      <w:r>
        <w:t>Aufgenommen am 20.09.2026</w:t>
      </w:r>
    </w:p>
    <w:p>
      <w:pPr>
        <w:pStyle w:val="Heading2"/>
      </w:pPr>
      <w:r>
        <w:t>COVID-19-Impfquote bei Lebertransplantierten: 84,9% mit stabiler psychosozialer Gesundheit</w:t>
      </w:r>
    </w:p>
    <w:p>
      <w:r>
        <w:rPr>
          <w:i/>
          <w:color w:val="666666"/>
          <w:sz w:val="18"/>
        </w:rPr>
        <w:t>Akbulut S et al.  ·  Front Public Health  ·  04.09.2026  ·  PMID 42761137</w:t>
      </w:r>
    </w:p>
    <w:p>
      <w:r>
        <w:t>Querschnittsstudie von 311 Lebertransplantierten in der Türkei zu Impfstatus, Impfakzeptanz, Hesitanz, Präventionsverhalten und psychosozialer Gesundheit.</w:t>
      </w:r>
    </w:p>
    <w:p>
      <w:r>
        <w:rPr>
          <w:b/>
        </w:rPr>
        <w:t xml:space="preserve">Ergebnis: </w:t>
      </w:r>
      <w:r>
        <w:t>84,9% Impfquote; Hauptgründe: Empfehlungen von Fachleuten (p=n.s.), wahrgenommene höhere Mortalität chronisch Kranker. Hesitanz wegen unzureichender Effektivitäts- und Sicherheitsdaten, Anti-Impf-Inhalte in sozialen Medien. Psychosoziales Wohlbefinden assoziiert mit Einkommen, Immunsuppression und Informationsquellen; Impfstatus nicht robust mit Risikoperzeption assoziiert.</w:t>
      </w:r>
    </w:p>
    <w:p>
      <w:r>
        <w:rPr>
          <w:b/>
          <w:sz w:val="19"/>
        </w:rPr>
        <w:t xml:space="preserve">Übertragbarkeit: </w:t>
      </w:r>
      <w:r>
        <w:rPr>
          <w:sz w:val="19"/>
        </w:rPr>
        <w:t>Türkei, aber Erkenntnisse zu Impfakzeptanz in Hochrisiko-Kohorten übertragbar</w:t>
      </w:r>
    </w:p>
    <w:p>
      <w:r>
        <w:rPr>
          <w:color w:val="5A7D3A"/>
          <w:sz w:val="18"/>
        </w:rPr>
        <w:t>https://pubmed.ncbi.nlm.nih.gov/42761137/</w:t>
      </w:r>
    </w:p>
    <w:p>
      <w:pPr>
        <w:pStyle w:val="Heading2"/>
      </w:pPr>
      <w:r>
        <w:t>HSV-1-Infektion nach Grippeimpfung: Kasuistik einer zeitlichen Assoziation</w:t>
      </w:r>
    </w:p>
    <w:p>
      <w:r>
        <w:rPr>
          <w:i/>
          <w:color w:val="666666"/>
          <w:sz w:val="18"/>
        </w:rPr>
        <w:t>Liu YH et al.  ·  Hum Vaccin Immunother  ·  18.09.2026  ·  PMID 42757534</w:t>
      </w:r>
    </w:p>
    <w:p>
      <w:r>
        <w:t>Fallbericht eines 28-Jährigen mit multifokaler HSV-1-Infektion sieben Tage nach Influenzaimpfung ohne bekannte Immunsuppression.</w:t>
      </w:r>
    </w:p>
    <w:p>
      <w:r>
        <w:rPr>
          <w:b/>
        </w:rPr>
        <w:t xml:space="preserve">Ergebnis: </w:t>
      </w:r>
      <w:r>
        <w:t>PCR bestätigte HSV-1-DNA in Läsionen; vollständige klinische Remission nach intravenösem Acyclovir. Kausalität kann nicht etabliert werden, zeitliche Nähe ist jedoch bemerkenswert; Differentialdiagnose sollte HSV-Infektionen nach Impfung einbeziehen, ohne Kausalität zu implizieren.</w:t>
      </w:r>
    </w:p>
    <w:p>
      <w:r>
        <w:rPr>
          <w:b/>
          <w:sz w:val="19"/>
        </w:rPr>
        <w:t xml:space="preserve">Übertragbarkeit: </w:t>
      </w:r>
      <w:r>
        <w:rPr>
          <w:sz w:val="19"/>
        </w:rPr>
        <w:t>Deutschland, klinische Einzelfallbeobachtung in Versorgungspraxis relevant</w:t>
      </w:r>
    </w:p>
    <w:p>
      <w:r>
        <w:rPr>
          <w:color w:val="5A7D3A"/>
          <w:sz w:val="18"/>
        </w:rPr>
        <w:t>https://pubmed.ncbi.nlm.nih.gov/42757534/</w:t>
      </w:r>
    </w:p>
    <w:p>
      <w:pPr>
        <w:pStyle w:val="Heading2"/>
      </w:pPr>
      <w:r>
        <w:t>Sabin-IPV in Erwachsenen: Sicherheitsprofil gleichwertig mit konventionellem Polio-Impfstoff</w:t>
      </w:r>
    </w:p>
    <w:p>
      <w:r>
        <w:rPr>
          <w:i/>
          <w:color w:val="666666"/>
          <w:sz w:val="18"/>
        </w:rPr>
        <w:t>Hussain M et al.  ·  Front Public Health  ·  03.09.2026  ·  PMID 42755970</w:t>
      </w:r>
    </w:p>
    <w:p>
      <w:r>
        <w:t>Systematische Übersicht und Meta-Analyse von vier RCTs (70–340 Teilnehmer) zum Vergleich der Sicherheit von Sabin-abgeleiteter inaktivierter Poliovirus-Impfung (sIPV) mit konventioneller IPV bei Erwachsenen als Auffrischung.</w:t>
      </w:r>
    </w:p>
    <w:p>
      <w:r>
        <w:rPr>
          <w:b/>
        </w:rPr>
        <w:t xml:space="preserve">Ergebnis: </w:t>
      </w:r>
      <w:r>
        <w:t>Kein statistisch signifikanter Unterschied in unerwünschten Ereignissen: Schmerz (RR 1,57; 95%-KI 0,98–2,50), Erythem (RR 1,54; 95%-KI 0,64–3,69), Fieber (RR 0,96; 95%-KI 0,39–2,33). Heterogenität I²=0%. Nebenwirkungen mild und transient, die meisten Studien berichteten keine ernstlichen unerwünschten Ereignisse. Evidenzsicherheit niedrig bis sehr niedrig wegen kleiner Stichproben.</w:t>
      </w:r>
    </w:p>
    <w:p>
      <w:r>
        <w:rPr>
          <w:b/>
          <w:sz w:val="19"/>
        </w:rPr>
        <w:t xml:space="preserve">Übertragbarkeit: </w:t>
      </w:r>
      <w:r>
        <w:rPr>
          <w:sz w:val="19"/>
        </w:rPr>
        <w:t>Evidenz aus RCTs, aber kleine Fallzahlen; sIPV-Zulassung in Deutschland prüfen</w:t>
      </w:r>
    </w:p>
    <w:p>
      <w:r>
        <w:rPr>
          <w:color w:val="5A7D3A"/>
          <w:sz w:val="18"/>
        </w:rPr>
        <w:t>https://pubmed.ncbi.nlm.nih.gov/42755970/</w:t>
      </w:r>
    </w:p>
    <w:p>
      <w:pPr>
        <w:pStyle w:val="Heading2"/>
      </w:pPr>
      <w:r>
        <w:t>mRNA-Impfung bei Post-COVID: Funktionelle Besserung unabhängig vom Impfstatus</w:t>
      </w:r>
    </w:p>
    <w:p>
      <w:r>
        <w:rPr>
          <w:i/>
          <w:color w:val="666666"/>
          <w:sz w:val="18"/>
        </w:rPr>
        <w:t>Pries P et al.  ·  Expert Rev Vaccines  ·  17.09.2026  ·  PMID 42755271</w:t>
      </w:r>
    </w:p>
    <w:p>
      <w:r>
        <w:t>Retrospektive Kohortenstudie zur Frage, ob mRNA-SARS-CoV-2-Impfungen bei Patienten mit Langzeit-COVID (PASC) Symptome verschlimmern oder die Genesung beeinträchtigen.</w:t>
      </w:r>
    </w:p>
    <w:p>
      <w:r>
        <w:rPr>
          <w:b/>
        </w:rPr>
        <w:t xml:space="preserve">Ergebnis: </w:t>
      </w:r>
      <w:r>
        <w:t>174 geimpfte und ungeimpfte PASC-Patienten zeigten nach 3–6 Monaten in beiden Gruppen signifikante Verbesserungen bei Müdigkeit und Leistungsfähigkeit; kein statistisch signifikanter Unterschied zwischen Gruppen. Die Studie findet keine Evidenz für eine Verschlechterung durch Impfung, kleinere Effekte sind aber nicht ausgeschlossen.</w:t>
      </w:r>
    </w:p>
    <w:p>
      <w:r>
        <w:rPr>
          <w:b/>
          <w:sz w:val="19"/>
        </w:rPr>
        <w:t xml:space="preserve">Übertragbarkeit: </w:t>
      </w:r>
      <w:r>
        <w:rPr>
          <w:sz w:val="19"/>
        </w:rPr>
        <w:t>Deutschland, vergleichbare Gesundheitssysteme, ambulante Langzeit-COVID-Versorgung</w:t>
      </w:r>
    </w:p>
    <w:p>
      <w:r>
        <w:rPr>
          <w:color w:val="5A7D3A"/>
          <w:sz w:val="18"/>
        </w:rPr>
        <w:t>https://pubmed.ncbi.nlm.nih.gov/42755271/</w:t>
      </w:r>
    </w:p>
    <w:p>
      <w:pPr>
        <w:pStyle w:val="Heading2"/>
      </w:pPr>
      <w:r>
        <w:t>BCG-Immuntherapie bei Typ-1-Diabetes: Glukosemetabolismus korrigiert, HbA1c-Reduktion 8 Jahre stabil</w:t>
      </w:r>
    </w:p>
    <w:p>
      <w:r>
        <w:rPr>
          <w:i/>
          <w:color w:val="666666"/>
          <w:sz w:val="18"/>
        </w:rPr>
        <w:t>Faustman DL et al.  ·  Cells  ·  03.09.2026  ·  PMID 42738899</w:t>
      </w:r>
    </w:p>
    <w:p>
      <w:r>
        <w:t>Übersichtsarbeit zu klinischen Studien und mechanistischen Arbeiten über multi-Dosis-BCG-Immuntherapie bei Typ-1-Diabetes (T1D) und latent autoimmune diabetes in adults (LADA) über 15 Jahre.</w:t>
      </w:r>
    </w:p>
    <w:p>
      <w:r>
        <w:rPr>
          <w:b/>
        </w:rPr>
        <w:t xml:space="preserve">Ergebnis: </w:t>
      </w:r>
      <w:r>
        <w:t>T1D: Multiple klinische Studien zeigen stabile, wiederholte Reduktionen des HbA1c zu nahezu normalen Werten (vs. Placebo) für mindestens 8 Jahre, ohne Wiederherstellung der Pankreasfunction. Mechanismus: BCG-induzierte Korrektur von aerober Glykolyse-Defekten in lymphoiden/myeloiden Zellen → erhöhter Glukoseaufnahme nachgewiesen durch Langzeit-PET/CT. LADA: Minimale oder fehlende klinische Verbesserung; aber BCG reduziert Entzündung und fördert regulatorische T-Zellen. Epigenetische Umgestaltung ohne Genotyp-Änderung.</w:t>
      </w:r>
    </w:p>
    <w:p>
      <w:r>
        <w:rPr>
          <w:b/>
          <w:sz w:val="19"/>
        </w:rPr>
        <w:t xml:space="preserve">Übertragbarkeit: </w:t>
      </w:r>
      <w:r>
        <w:rPr>
          <w:sz w:val="19"/>
        </w:rPr>
        <w:t>USA-Studien mit deutschen Kliniken; Diabetes-Versorgung übertragbar</w:t>
      </w:r>
    </w:p>
    <w:p>
      <w:r>
        <w:rPr>
          <w:color w:val="5A7D3A"/>
          <w:sz w:val="18"/>
        </w:rPr>
        <w:t>https://pubmed.ncbi.nlm.nih.gov/42738899/</w:t>
      </w:r>
    </w:p>
    <w:p>
      <w:pPr>
        <w:pStyle w:val="Heading2"/>
      </w:pPr>
      <w:r>
        <w:t>BCG-Impfung bei Kindern: Genetische Varianten in Entzündungsproteinen zeigen Interaktion mit Impfantwort</w:t>
      </w:r>
    </w:p>
    <w:p>
      <w:r>
        <w:rPr>
          <w:i/>
          <w:color w:val="666666"/>
          <w:sz w:val="18"/>
        </w:rPr>
        <w:t>Boahen CK et al.  ·  Biomed Pharmacother  ·  13.08.2026  ·  PMID 42594746</w:t>
      </w:r>
    </w:p>
    <w:p>
      <w:r>
        <w:t>Genom-weites pQTL-Mapping (Protein-Quantitative-Trait-Loci) von 65 zirkulierenden Entzündungsproteinen bei Monat 13 post-BCG-Impfung in dänischen Kindern zur Identifikation genetischer Varianten, die die Immunantwort beeinflussen.</w:t>
      </w:r>
    </w:p>
    <w:p>
      <w:r>
        <w:rPr>
          <w:b/>
        </w:rPr>
        <w:t xml:space="preserve">Ergebnis: </w:t>
      </w:r>
      <w:r>
        <w:t>11 unabhängige genomweit signifikante Loci identifiziert. Vier pQTL zeigten Evidenz für Genotyp-by-BCG-Interaktionen (rs10217747: CXCL11, rs13187850: CD6, rs56283092: LAP-TGF-β1, rs11708321: CDCP1) mit größeren Effektschätzungen in BCG-Gruppe. Diese Varianten wurden zuvor mit Entzündungs- und Autoimmun-Traits assoziiert. Befunde sind explorativ und hypothesengenerierend, erfordern weitere Validierung.</w:t>
      </w:r>
    </w:p>
    <w:p>
      <w:r>
        <w:rPr>
          <w:b/>
          <w:sz w:val="19"/>
        </w:rPr>
        <w:t xml:space="preserve">Übertragbarkeit: </w:t>
      </w:r>
      <w:r>
        <w:rPr>
          <w:sz w:val="19"/>
        </w:rPr>
        <w:t>Dänemark, Gesundheitssystem vergleichbar; nationale BCG-Impfquoten-Registry vorhanden</w:t>
      </w:r>
    </w:p>
    <w:p>
      <w:r>
        <w:rPr>
          <w:color w:val="5A7D3A"/>
          <w:sz w:val="18"/>
        </w:rPr>
        <w:t>https://pubmed.ncbi.nlm.nih.gov/42594746/</w:t>
      </w:r>
    </w:p>
    <w:p>
      <w:pPr>
        <w:pStyle w:val="Heading1"/>
      </w:pPr>
      <w:r>
        <w:t>Aufgenommen am 19.09.2026</w:t>
      </w:r>
    </w:p>
    <w:p>
      <w:pPr>
        <w:pStyle w:val="Heading2"/>
      </w:pPr>
      <w:r>
        <w:t>Maschinenlernen identifiziert Null-Dosis-Kinder in Subsahara-Afrika</w:t>
      </w:r>
    </w:p>
    <w:p>
      <w:r>
        <w:rPr>
          <w:i/>
          <w:color w:val="666666"/>
          <w:sz w:val="18"/>
        </w:rPr>
        <w:t>Endehabtu BF et al.  ·  BMJ Health Care Inform  ·  18.09.2026  ·  PMID 42759970</w:t>
      </w:r>
    </w:p>
    <w:p>
      <w:r>
        <w:t>Prädiktives Modellentwicklungs-Projekt mit Daten von 27 subsaharischen Ländern (Demographic Health Survey 2016–2024) zur Risikoidentifikation von Kindern ohne Impfung.</w:t>
      </w:r>
    </w:p>
    <w:p>
      <w:r>
        <w:rPr>
          <w:b/>
        </w:rPr>
        <w:t xml:space="preserve">Ergebnis: </w:t>
      </w:r>
      <w:r>
        <w:t>LightGBM-Modell zeigte beste Gesamtleistung: 80 % Genauigkeit, 91 % Sensitivität, AUROC 0,78. Wichtigste Prädiktoren: Entbindungsort, Geburtsvorkontakten, Mutter-Tetanus-Impfung, Haushaltsvermögen, mütterliche Bildung. Ermöglicht frühe Risikoidentifikation.</w:t>
      </w:r>
    </w:p>
    <w:p>
      <w:r>
        <w:rPr>
          <w:b/>
          <w:sz w:val="19"/>
        </w:rPr>
        <w:t xml:space="preserve">Übertragbarkeit: </w:t>
      </w:r>
      <w:r>
        <w:rPr>
          <w:sz w:val="19"/>
        </w:rPr>
        <w:t>Subsahara-Afrika, digitales Tooldesign auf Länder mit WHO DHSatz übertragbar.</w:t>
      </w:r>
    </w:p>
    <w:p>
      <w:r>
        <w:rPr>
          <w:color w:val="5A7D3A"/>
          <w:sz w:val="18"/>
        </w:rPr>
        <w:t>https://pubmed.ncbi.nlm.nih.gov/42759970/</w:t>
      </w:r>
    </w:p>
    <w:p>
      <w:pPr>
        <w:pStyle w:val="Heading2"/>
      </w:pPr>
      <w:r>
        <w:t>RSV-Impfeffektivität bei älteren Erwachsenen in den USA zeigt hohe Wirksamkeit</w:t>
      </w:r>
    </w:p>
    <w:p>
      <w:r>
        <w:rPr>
          <w:i/>
          <w:color w:val="666666"/>
          <w:sz w:val="18"/>
        </w:rPr>
        <w:t>Lu Y et al.  ·  JAMA Netw Open  ·  01.09.2026  ·  PMID 42758507</w:t>
      </w:r>
    </w:p>
    <w:p>
      <w:r>
        <w:t>Nationale Kohortenstudie zur klinischen Wirksamkeit zweier RSV-Impfstoffe bei Medicare-Patienten ab 65 Jahren in der ersten Saison nach Zulassung (August 2023 bis März 2024).</w:t>
      </w:r>
    </w:p>
    <w:p>
      <w:r>
        <w:rPr>
          <w:b/>
        </w:rPr>
        <w:t xml:space="preserve">Ergebnis: </w:t>
      </w:r>
      <w:r>
        <w:t>RSVPreF3+AS01 und RSVpreF hatten eine Effektivität von 81,8 % (95-%-KI 80,0–83,4 %) gegen RSV-bedingte Hospitalisierungen und 85,0 % gegen RSV-bedingte Todesfälle. Brand-spezifisch: RSVPreF3+AS01 79,9 %, RSVpreF 85,1 %. Bei immungeschwächten Personen 72,2 %. Wirksam über alle Altersgruppen ab 65 Jahren.</w:t>
      </w:r>
    </w:p>
    <w:p>
      <w:r>
        <w:rPr>
          <w:b/>
          <w:sz w:val="19"/>
        </w:rPr>
        <w:t xml:space="preserve">Übertragbarkeit: </w:t>
      </w:r>
      <w:r>
        <w:rPr>
          <w:sz w:val="19"/>
        </w:rPr>
        <w:t>Medicare-Daten, vergleichbare Dokumentationspflichten wie Deutschland.</w:t>
      </w:r>
    </w:p>
    <w:p>
      <w:r>
        <w:rPr>
          <w:color w:val="5A7D3A"/>
          <w:sz w:val="18"/>
        </w:rPr>
        <w:t>https://pubmed.ncbi.nlm.nih.gov/42758507/</w:t>
      </w:r>
    </w:p>
    <w:p>
      <w:pPr>
        <w:pStyle w:val="Heading2"/>
      </w:pPr>
      <w:r>
        <w:t>Impfbefürwortung durch Fachpersonal: Trainingseffekt bei Hebammen und Pflegekräften</w:t>
      </w:r>
    </w:p>
    <w:p>
      <w:r>
        <w:rPr>
          <w:i/>
          <w:color w:val="666666"/>
          <w:sz w:val="18"/>
        </w:rPr>
        <w:t>Tiryaki Ö  ·  Biomedica  ·  20.08.2026  ·  PMID 42757794</w:t>
      </w:r>
    </w:p>
    <w:p>
      <w:r>
        <w:t>Quasi-experimentelle Studie mit Vorher-Nachher-Messung zur Wirkung eines Impfaufklärungstrainings auf die Impfbefürwortung bei 249 Hebammen und Pflegekräften.</w:t>
      </w:r>
    </w:p>
    <w:p>
      <w:r>
        <w:rPr>
          <w:b/>
        </w:rPr>
        <w:t xml:space="preserve">Ergebnis: </w:t>
      </w:r>
      <w:r>
        <w:t>Vaccine Advocacy Scale für Kinderimpfungen stieg signifikant von 45,19 ± 2,85 vor auf 46,95 ± 1,99 Punkte nach dem Training (Wilcoxon p = 0,000). Effekt niedrig, aber statistisch robust; Ausgangsniveau bereits hoch.</w:t>
      </w:r>
    </w:p>
    <w:p>
      <w:r>
        <w:rPr>
          <w:b/>
          <w:sz w:val="19"/>
        </w:rPr>
        <w:t xml:space="preserve">Übertragbarkeit: </w:t>
      </w:r>
      <w:r>
        <w:rPr>
          <w:sz w:val="19"/>
        </w:rPr>
        <w:t>Türkisches Setting, Pflegekräfte-Schulung auf Deutschland übertragbar.</w:t>
      </w:r>
    </w:p>
    <w:p>
      <w:r>
        <w:rPr>
          <w:color w:val="5A7D3A"/>
          <w:sz w:val="18"/>
        </w:rPr>
        <w:t>https://pubmed.ncbi.nlm.nih.gov/42757794/</w:t>
      </w:r>
    </w:p>
    <w:p>
      <w:pPr>
        <w:pStyle w:val="Heading2"/>
      </w:pPr>
      <w:r>
        <w:t>RSVPreF3-Impfstoff bei älteren Chinesen immunogenetisch gleichwertig zu globaler Population</w:t>
      </w:r>
    </w:p>
    <w:p>
      <w:r>
        <w:rPr>
          <w:i/>
          <w:color w:val="666666"/>
          <w:sz w:val="18"/>
        </w:rPr>
        <w:t>Guo X et al.  ·  Front Immunol  ·  03.09.2026  ·  PMID 42756146</w:t>
      </w:r>
    </w:p>
    <w:p>
      <w:r>
        <w:t>Phase-3-Immunbrückungs-Studie zur Nichtunterlegenheit von RSVPreF3 bei ≥60-jährigen chinesischen Erwachsenen gegenüber internationaler Vergleichsgruppe (6 Länder).</w:t>
      </w:r>
    </w:p>
    <w:p>
      <w:r>
        <w:rPr>
          <w:b/>
        </w:rPr>
        <w:t xml:space="preserve">Ergebnis: </w:t>
      </w:r>
      <w:r>
        <w:t>Nichtunterlegenheitskriterien erfüllt: GMT-Verhältnisse für RSV-A/B 1,20/1,10 (akzeptabel ≤1,5), Seroresponse-Unterschiede 3,40 %/4,89 % (akzeptabel ≤10 %). RSV-A/B-Neutralisationstiter 5523/8073 ED60 (China), 6605/8286 (Ausland). Lokale Nebenwirkungen meist mild-moderat, Ernsthaftigkeit niedrig (0,2–0,3 % immune-vermittelt).</w:t>
      </w:r>
    </w:p>
    <w:p>
      <w:r>
        <w:rPr>
          <w:b/>
          <w:sz w:val="19"/>
        </w:rPr>
        <w:t xml:space="preserve">Übertragbarkeit: </w:t>
      </w:r>
      <w:r>
        <w:rPr>
          <w:sz w:val="19"/>
        </w:rPr>
        <w:t>China, aber Immunogenität-Ergebnis zur Globalität des Impfstoffs übertra gbar.</w:t>
      </w:r>
    </w:p>
    <w:p>
      <w:r>
        <w:rPr>
          <w:color w:val="5A7D3A"/>
          <w:sz w:val="18"/>
        </w:rPr>
        <w:t>https://pubmed.ncbi.nlm.nih.gov/42756146/</w:t>
      </w:r>
    </w:p>
    <w:p>
      <w:pPr>
        <w:pStyle w:val="Heading2"/>
      </w:pPr>
      <w:r>
        <w:t>Impfgerechtigkeit als Planungsprinzip: Lehren aus der COVID-19-Pandemie</w:t>
      </w:r>
    </w:p>
    <w:p>
      <w:r>
        <w:rPr>
          <w:i/>
          <w:color w:val="666666"/>
          <w:sz w:val="18"/>
        </w:rPr>
        <w:t>Ghafari M et al.  ·  Expert Rev Vaccines  ·  16.09.2026  ·  PMID 42750274</w:t>
      </w:r>
    </w:p>
    <w:p>
      <w:r>
        <w:t>Synthesearbeit von Literatur und Politikberichten zu globalen Impfstoff-Rollouts, insbesondere über Verteilungsszenarien, Beschaffung und dezentralisierte Herstellung.</w:t>
      </w:r>
    </w:p>
    <w:p>
      <w:r>
        <w:rPr>
          <w:b/>
        </w:rPr>
        <w:t xml:space="preserve">Ergebnis: </w:t>
      </w:r>
      <w:r>
        <w:t>COVID-19 zeigte: Schnelle Entwicklung ohne Gerechtigkeitsplanung schuf vermeidbare Schäden. Lösungen sind geografisch verteilte Herstellung, vorab vereinbarte epidemiologisch gesteuerte Zuteilung, transparente Datenaustausch und Neutralisierung kommerzieller Verzerrungen. Empfehlung: Institutionalisierte disaggregierte Berichterstattung und standardisierte Daten-Sharing.</w:t>
      </w:r>
    </w:p>
    <w:p>
      <w:r>
        <w:rPr>
          <w:b/>
          <w:sz w:val="19"/>
        </w:rPr>
        <w:t xml:space="preserve">Übertragbarkeit: </w:t>
      </w:r>
      <w:r>
        <w:rPr>
          <w:sz w:val="19"/>
        </w:rPr>
        <w:t>Europäisches und Schweizer System, Prinzipien auf DACH übertragbar.</w:t>
      </w:r>
    </w:p>
    <w:p>
      <w:r>
        <w:rPr>
          <w:color w:val="5A7D3A"/>
          <w:sz w:val="18"/>
        </w:rPr>
        <w:t>https://pubmed.ncbi.nlm.nih.gov/42750274/</w:t>
      </w:r>
    </w:p>
    <w:p>
      <w:pPr>
        <w:pStyle w:val="Heading2"/>
      </w:pPr>
      <w:r>
        <w:t>Inaktivierter Rotavirus-Impfstoff: Sicherheit und Immunogenität bei Kleinkindern</w:t>
      </w:r>
    </w:p>
    <w:p>
      <w:r>
        <w:rPr>
          <w:i/>
          <w:color w:val="666666"/>
          <w:sz w:val="18"/>
        </w:rPr>
        <w:t>Zhou Y et al.  ·  Nat Commun  ·  14.08.2026  ·  PMID 42733081</w:t>
      </w:r>
    </w:p>
    <w:p>
      <w:r>
        <w:t>Randomisierte, placebokontrollierte Phase-1-Studie zur Dosis-Eskalation von Rotavirus-Impfstoff bei 288 Kindern 2–71 Monate ohne vorherige Rotavirus-Impfung.</w:t>
      </w:r>
    </w:p>
    <w:p>
      <w:r>
        <w:rPr>
          <w:b/>
        </w:rPr>
        <w:t xml:space="preserve">Ergebnis: </w:t>
      </w:r>
      <w:r>
        <w:t>Keine impfstoffbezogenen SAEs; transiente Mild-bis-Mäßig-Fieber nur in Hochdosis-Säuglings-Gruppe (klinisch handhabbar). Neutralisierende Antikörper-GMT dose-abhängig erhöht. 3-Dosis-Säugling-Gruppe (320 EU): GMT 551,98 vs. 36,17 (Placebo), Serokonversionsrate 83,33 % vs. 10 %. 3-Dosis-Schema überlegen 2-Dosis.</w:t>
      </w:r>
    </w:p>
    <w:p>
      <w:r>
        <w:rPr>
          <w:b/>
          <w:sz w:val="19"/>
        </w:rPr>
        <w:t xml:space="preserve">Übertragbarkeit: </w:t>
      </w:r>
      <w:r>
        <w:rPr>
          <w:sz w:val="19"/>
        </w:rPr>
        <w:t>Chinesische Studie, Sicherheits- und Immunogenitätsdaten auf frühe Klinische Phasen übertragbar.</w:t>
      </w:r>
    </w:p>
    <w:p>
      <w:r>
        <w:rPr>
          <w:color w:val="5A7D3A"/>
          <w:sz w:val="18"/>
        </w:rPr>
        <w:t>https://pubmed.ncbi.nlm.nih.gov/42733081/</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Verständnis der Herpes-Zoster-Erkrankung steigert Impfquote bei älteren Erwachsenen in China</w:t>
      </w:r>
    </w:p>
    <w:p>
      <w:r>
        <w:rPr>
          <w:i/>
          <w:color w:val="666666"/>
          <w:sz w:val="18"/>
        </w:rPr>
        <w:t>Bolanos R et al.  ·  Expert Rev Vaccines  ·  12.09.2026  ·  PMID 42728842</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https://pubmed.ncbi.nlm.nih.gov/42728842/</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Dengue- und Chikungunya-Impfstoffe: Verfügbarkeit ungleich Erreichen von Risikogruppen</w:t>
      </w:r>
    </w:p>
    <w:p>
      <w:r>
        <w:rPr>
          <w:i/>
          <w:color w:val="666666"/>
          <w:sz w:val="18"/>
        </w:rPr>
        <w:t>La Porta CAM et al.  ·  Open Res Eur  ·  22.08.2026  ·  PMID 42728936</w:t>
      </w:r>
    </w:p>
    <w:p>
      <w:r>
        <w:t>Übersichtsarbeit zu Lücken zwischen Impfstoff-Zulassung/globaler Verfügbarkeit und epidemiologischer Risikoverbreitung sowie inkonsistentem Eintrag in nationale Impfprogramme.</w:t>
      </w:r>
    </w:p>
    <w:p>
      <w:r>
        <w:rPr>
          <w:b/>
        </w:rPr>
        <w:t xml:space="preserve">Ergebnis: </w:t>
      </w:r>
      <w:r>
        <w:t>Erhebliche Diskrepanzen zwischen geografischen Regionen mit regulatorischer Zulassung und Zonen höchster epidemiologischer Belastung (Dengue, Chikungunya). Nationale Impfprogramm-Inklusion fragmentarisch. Aktuelle Strategien reaktiv, unzureichend an Transmissionsmuster und Gesundheitssystem-Kapazität angepasst. Bedarf: Präparedness-orientierte Frameworks für zeitgerechte Einführung, nachhaltige Abdeckung, risikoadaptives Deployment.</w:t>
      </w:r>
    </w:p>
    <w:p>
      <w:r>
        <w:rPr>
          <w:b/>
          <w:sz w:val="19"/>
        </w:rPr>
        <w:t xml:space="preserve">Übertragbarkeit: </w:t>
      </w:r>
      <w:r>
        <w:rPr>
          <w:sz w:val="19"/>
        </w:rPr>
        <w:t>Global, zeigt Koordinationsproblem zwischen Zulassung und Programm-Aufnahme, relevant für deutsche Impfkalender-Entscheidungen.</w:t>
      </w:r>
    </w:p>
    <w:p>
      <w:r>
        <w:rPr>
          <w:color w:val="5A7D3A"/>
          <w:sz w:val="18"/>
        </w:rPr>
        <w:t>https://pubmed.ncbi.nlm.nih.gov/42728936/</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EV-A71-Impfung reduzierte Hand-Fuß-Mund-Krankheit um 57% in Shanghai – Shift zu anderen Serotypen beobachtet</w:t>
      </w:r>
    </w:p>
    <w:p>
      <w:r>
        <w:rPr>
          <w:i/>
          <w:color w:val="666666"/>
          <w:sz w:val="18"/>
        </w:rPr>
        <w:t>Deng L et al.  ·  Front Public Health  ·  12.08.2026  ·  PMID 42656515</w:t>
      </w:r>
    </w:p>
    <w:p>
      <w:r>
        <w:t>Analyse epidemiologischer Veränderungen der Hand-Fuß-Mund-Krankheit (HFMD) über 15 Jahre in Minhang-Bezirk Shanghai mit Schätzung der Impfeffektivität nach Test-Negative-Design.</w:t>
      </w:r>
    </w:p>
    <w:p>
      <w:r>
        <w:rPr>
          <w:b/>
        </w:rPr>
        <w:t xml:space="preserve">Ergebnis: </w:t>
      </w:r>
      <w:r>
        <w:t>Nach Einführung der EV-A71-Impfung (2016) sanken Inzidenz um 56,7%, Schweregrad um 95,2%, Sterblichkeit um 100%. Gesamtimpfeffektivität gegen EV-A71-assoziierte HFMD: 89,9% (95%-KI 74,5–96,0) für Zwei-Dosen-Serie; Durchimpfungsquote 50%. Keine Kreuzprotektion gegen andere Serotypen.</w:t>
      </w:r>
    </w:p>
    <w:p>
      <w:r>
        <w:rPr>
          <w:b/>
          <w:sz w:val="19"/>
        </w:rPr>
        <w:t xml:space="preserve">Übertragbarkeit: </w:t>
      </w:r>
      <w:r>
        <w:rPr>
          <w:sz w:val="19"/>
        </w:rPr>
        <w:t>China-Studie, System unterscheidet sich; Effektivitätsmessung an Bevölkerungsdaten aber global vergleichbar.</w:t>
      </w:r>
    </w:p>
    <w:p>
      <w:r>
        <w:rPr>
          <w:color w:val="5A7D3A"/>
          <w:sz w:val="18"/>
        </w:rPr>
        <w:t>https://pubmed.ncbi.nlm.nih.gov/42656515/</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Sicherheit von fünf COVID-19-Impfstoffen: Vergleich von Laborprüfung und Pharmakovigilanz</w:t>
      </w:r>
    </w:p>
    <w:p>
      <w:r>
        <w:rPr>
          <w:i/>
          <w:color w:val="666666"/>
          <w:sz w:val="18"/>
        </w:rPr>
        <w:t>Ren L et al.  ·  Trends Cancer  ·  09.07.2026  ·  PMID 42425835</w:t>
      </w:r>
    </w:p>
    <w:p>
      <w:r>
        <w:t>Vergleichende Analyse von Nichtkliniksicherheitsstudien und Pharmakovigilanzüberwachung zu fünf in Frankreich autorisierten COVID-19-Impfstoffen (Comirnaty, Spikevax, Vaxzevria, Jcovden, Nuvaxovid).</w:t>
      </w:r>
    </w:p>
    <w:p>
      <w:r>
        <w:rPr>
          <w:b/>
        </w:rPr>
        <w:t xml:space="preserve">Ergebnis: </w:t>
      </w:r>
      <w:r>
        <w:t>Reaktogenität bei Vektor-Impfstoffen höher als mRNA-Stoffen. Für seltene Ereignisse (Myokarditis, VITT) zeigten nichtklische Modelle begrenzte Vorhersagekraft. Troponin als klinischer Biomarker identifiziert; Harmonisierung der Biomarker-Überwachung empfohlen – klinische Phänomene wurden durch Labortests nicht vorhergesagt.</w:t>
      </w:r>
    </w:p>
    <w:p>
      <w:r>
        <w:rPr>
          <w:b/>
          <w:sz w:val="19"/>
        </w:rPr>
        <w:t xml:space="preserve">Übertragbarkeit: </w:t>
      </w:r>
      <w:r>
        <w:rPr>
          <w:sz w:val="19"/>
        </w:rPr>
        <w:t>Frankreich/Europa – europäische Zulassungsdaten, PV-Praktiken, pharmakovigilanzregeln vergleichbar</w:t>
      </w:r>
    </w:p>
    <w:p>
      <w:r>
        <w:rPr>
          <w:color w:val="5A7D3A"/>
          <w:sz w:val="18"/>
        </w:rPr>
        <w:t>https://pubmed.ncbi.nlm.nih.gov/42425835/</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Wirksamkeit nahm mit der Zeit seit Impfung ab (p&lt;0,001): 51,9% zwei bis acht Wochen nach Impfung, 44,6% nach 9-16 Wochen, 41,4% nach ≥16 Wochen. Höhere Effektivität bei Kindern 2-17 Jahre (60,8%) als bei Erwachsenen 18-64 Jahre (40,5%) oder ≥65 Jahre (42,3%).</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Impfpraevention</dc:title>
  <dc:subject/>
  <dc:creator>Monitor Versorgungsforschung</dc:creator>
  <cp:keywords/>
  <dc:description>generated by python-docx</dc:description>
  <cp:lastModifiedBy/>
  <cp:revision>1</cp:revision>
  <dcterms:created xsi:type="dcterms:W3CDTF">2026-09-28T06:00:00Z</dcterms:created>
  <dcterms:modified xsi:type="dcterms:W3CDTF">2026-09-28T06:00:00Z</dcterms:modified>
  <cp:category/>
</cp:coreProperties>
</file>